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BF62F">
      <w:pPr>
        <w:pStyle w:val="15"/>
        <w:spacing w:line="228" w:lineRule="auto"/>
        <w:rPr>
          <w:rFonts w:ascii="Times New Roman" w:hAnsi="Times New Roman" w:cs="Times New Roman"/>
        </w:rPr>
      </w:pPr>
      <w:r>
        <w:rPr>
          <w:rFonts w:ascii="Times New Roman" w:hAnsi="Times New Roman" w:cs="Times New Roman"/>
        </w:rPr>
        <w:t>A</w:t>
      </w:r>
      <w:r>
        <w:rPr>
          <w:rFonts w:hint="default" w:ascii="Times New Roman" w:hAnsi="Times New Roman" w:cs="Times New Roman"/>
          <w:lang w:val="en-IN"/>
        </w:rPr>
        <w:t>utomated Bureaucracy &amp; Contract Execution Engine</w:t>
      </w:r>
    </w:p>
    <w:p w14:paraId="6D735D00">
      <w:pPr>
        <w:pStyle w:val="18"/>
        <w:spacing w:before="100" w:beforeAutospacing="1" w:after="100" w:afterAutospacing="1" w:line="120" w:lineRule="auto"/>
        <w:rPr>
          <w:sz w:val="16"/>
          <w:szCs w:val="16"/>
        </w:rPr>
        <w:sectPr>
          <w:footerReference r:id="rId3" w:type="first"/>
          <w:pgSz w:w="12240" w:h="15840"/>
          <w:pgMar w:top="1080" w:right="893" w:bottom="1440" w:left="893" w:header="720" w:footer="720" w:gutter="0"/>
          <w:cols w:space="720" w:num="1"/>
          <w:titlePg/>
          <w:docGrid w:linePitch="360" w:charSpace="0"/>
        </w:sectPr>
      </w:pPr>
      <w:r>
        <w:rPr>
          <w:sz w:val="16"/>
          <w:szCs w:val="16"/>
        </w:rPr>
        <w:br w:type="textWrapping"/>
      </w:r>
      <w:r>
        <w:rPr>
          <w:sz w:val="16"/>
          <w:szCs w:val="16"/>
        </w:rPr>
        <w:br w:type="textWrapping"/>
      </w:r>
    </w:p>
    <w:p w14:paraId="7DC3BD49">
      <w:pPr>
        <w:pStyle w:val="18"/>
        <w:spacing w:before="100" w:beforeAutospacing="1"/>
        <w:rPr>
          <w:rFonts w:hint="default"/>
          <w:sz w:val="18"/>
          <w:szCs w:val="18"/>
          <w:lang w:val="en-IN"/>
        </w:rPr>
        <w:sectPr>
          <w:type w:val="continuous"/>
          <w:pgSz w:w="12240" w:h="15840"/>
          <w:pgMar w:top="1080" w:right="893" w:bottom="1440" w:left="893" w:header="720" w:footer="720" w:gutter="0"/>
          <w:cols w:space="216" w:num="4"/>
          <w:docGrid w:linePitch="360" w:charSpace="0"/>
        </w:sectPr>
      </w:pPr>
      <w:r>
        <w:rPr>
          <w:rFonts w:hint="default"/>
          <w:sz w:val="18"/>
          <w:szCs w:val="18"/>
          <w:lang w:val="en-IN"/>
        </w:rPr>
        <w:t>Suhas R</w:t>
      </w:r>
      <w:r>
        <w:rPr>
          <w:sz w:val="18"/>
          <w:szCs w:val="18"/>
        </w:rPr>
        <w:br w:type="textWrapping"/>
      </w:r>
      <w:r>
        <w:rPr>
          <w:rFonts w:hint="default"/>
          <w:sz w:val="18"/>
          <w:szCs w:val="18"/>
          <w:lang w:val="en-IN"/>
        </w:rPr>
        <w:t>Depatment of Computer Science Engineering (AIML)</w:t>
      </w:r>
      <w:r>
        <w:rPr>
          <w:sz w:val="18"/>
          <w:szCs w:val="18"/>
        </w:rPr>
        <w:br w:type="textWrapping"/>
      </w:r>
      <w:r>
        <w:rPr>
          <w:sz w:val="18"/>
          <w:szCs w:val="18"/>
        </w:rPr>
        <w:t xml:space="preserve"> </w:t>
      </w:r>
      <w:r>
        <w:rPr>
          <w:rFonts w:hint="default"/>
          <w:i/>
          <w:sz w:val="18"/>
          <w:szCs w:val="18"/>
          <w:lang w:val="en-IN"/>
        </w:rPr>
        <w:t>Dayananda Sagar University</w:t>
      </w:r>
      <w:r>
        <w:rPr>
          <w:i/>
          <w:sz w:val="18"/>
          <w:szCs w:val="18"/>
        </w:rPr>
        <w:br w:type="textWrapping"/>
      </w:r>
      <w:r>
        <w:rPr>
          <w:rFonts w:hint="default"/>
          <w:sz w:val="18"/>
          <w:szCs w:val="18"/>
          <w:lang w:val="en-IN"/>
        </w:rPr>
        <w:t>Bangalore, Karntaka</w:t>
      </w:r>
      <w:r>
        <w:rPr>
          <w:rFonts w:hint="default"/>
          <w:sz w:val="18"/>
          <w:szCs w:val="18"/>
          <w:lang w:val="en-IN"/>
        </w:rPr>
        <w:br w:type="textWrapping"/>
      </w:r>
      <w:r>
        <w:rPr>
          <w:sz w:val="18"/>
          <w:szCs w:val="18"/>
        </w:rPr>
        <w:t>e</w:t>
      </w:r>
      <w:r>
        <w:rPr>
          <w:rFonts w:hint="default"/>
          <w:sz w:val="18"/>
          <w:szCs w:val="18"/>
          <w:lang w:val="en-IN"/>
        </w:rPr>
        <w:t>-</w:t>
      </w:r>
      <w:r>
        <w:rPr>
          <w:sz w:val="18"/>
          <w:szCs w:val="18"/>
        </w:rPr>
        <w:t>mail</w:t>
      </w:r>
      <w:r>
        <w:rPr>
          <w:rFonts w:hint="default"/>
          <w:sz w:val="18"/>
          <w:szCs w:val="18"/>
          <w:lang w:val="en-IN"/>
        </w:rPr>
        <w:t xml:space="preserve">:eng24am1007@dsu.edu.in </w:t>
      </w:r>
      <w:r>
        <w:rPr>
          <w:rFonts w:hint="default"/>
          <w:sz w:val="18"/>
          <w:szCs w:val="18"/>
          <w:lang w:val="en-IN"/>
        </w:rPr>
        <w:br w:type="textWrapping"/>
      </w:r>
      <w:r>
        <w:rPr>
          <w:rFonts w:hint="default"/>
          <w:sz w:val="18"/>
          <w:szCs w:val="18"/>
          <w:lang w:val="en-IN"/>
        </w:rPr>
        <w:br w:type="textWrapping"/>
      </w:r>
      <w:r>
        <w:rPr>
          <w:rFonts w:hint="default"/>
          <w:sz w:val="18"/>
          <w:szCs w:val="18"/>
          <w:lang w:val="en-IN"/>
        </w:rPr>
        <w:t>V Prajesh</w:t>
      </w:r>
      <w:r>
        <w:rPr>
          <w:sz w:val="18"/>
          <w:szCs w:val="18"/>
        </w:rPr>
        <w:br w:type="textWrapping"/>
      </w:r>
      <w:r>
        <w:rPr>
          <w:rFonts w:hint="default"/>
          <w:sz w:val="18"/>
          <w:szCs w:val="18"/>
          <w:lang w:val="en-IN"/>
        </w:rPr>
        <w:t>Depatment of Computer Science Engineering (AIML)</w:t>
      </w:r>
      <w:r>
        <w:rPr>
          <w:sz w:val="18"/>
          <w:szCs w:val="18"/>
        </w:rPr>
        <w:br w:type="textWrapping"/>
      </w:r>
      <w:r>
        <w:rPr>
          <w:rFonts w:hint="default"/>
          <w:i/>
          <w:sz w:val="18"/>
          <w:szCs w:val="18"/>
          <w:lang w:val="en-IN"/>
        </w:rPr>
        <w:t>Dayananda Sagar University</w:t>
      </w:r>
      <w:r>
        <w:rPr>
          <w:i/>
          <w:sz w:val="18"/>
          <w:szCs w:val="18"/>
        </w:rPr>
        <w:br w:type="textWrapping"/>
      </w:r>
      <w:r>
        <w:rPr>
          <w:rFonts w:hint="default"/>
          <w:sz w:val="18"/>
          <w:szCs w:val="18"/>
          <w:lang w:val="en-IN"/>
        </w:rPr>
        <w:t>Bangalore, Karntaka</w:t>
      </w:r>
      <w:r>
        <w:rPr>
          <w:sz w:val="18"/>
          <w:szCs w:val="18"/>
        </w:rPr>
        <w:br w:type="textWrapping"/>
      </w:r>
      <w:r>
        <w:rPr>
          <w:sz w:val="18"/>
          <w:szCs w:val="18"/>
        </w:rPr>
        <w:t>e</w:t>
      </w:r>
      <w:r>
        <w:rPr>
          <w:rFonts w:hint="default"/>
          <w:sz w:val="18"/>
          <w:szCs w:val="18"/>
          <w:lang w:val="en-IN"/>
        </w:rPr>
        <w:t>-</w:t>
      </w:r>
      <w:r>
        <w:rPr>
          <w:sz w:val="18"/>
          <w:szCs w:val="18"/>
        </w:rPr>
        <w:t>mail</w:t>
      </w:r>
      <w:r>
        <w:rPr>
          <w:rFonts w:hint="default"/>
          <w:sz w:val="18"/>
          <w:szCs w:val="18"/>
          <w:lang w:val="en-IN"/>
        </w:rPr>
        <w:t xml:space="preserve">:eng23am1003@dsu.edu.in  </w:t>
      </w:r>
      <w:r>
        <w:rPr>
          <w:sz w:val="18"/>
          <w:szCs w:val="18"/>
        </w:rPr>
        <w:br w:type="textWrapping"/>
      </w:r>
      <w:r>
        <w:rPr>
          <w:sz w:val="18"/>
          <w:szCs w:val="18"/>
        </w:rPr>
        <w:br w:type="textWrapping"/>
      </w:r>
      <w:r>
        <w:rPr>
          <w:rFonts w:hint="default"/>
          <w:sz w:val="18"/>
          <w:szCs w:val="18"/>
          <w:lang w:val="en-IN"/>
        </w:rPr>
        <w:t>Kushal K Raj</w:t>
      </w:r>
      <w:r>
        <w:rPr>
          <w:sz w:val="18"/>
          <w:szCs w:val="18"/>
        </w:rPr>
        <w:br w:type="textWrapping"/>
      </w:r>
      <w:r>
        <w:rPr>
          <w:rFonts w:hint="default"/>
          <w:sz w:val="18"/>
          <w:szCs w:val="18"/>
          <w:lang w:val="en-IN"/>
        </w:rPr>
        <w:t xml:space="preserve">Depatment of Computer Science Engineering (AIML) </w:t>
      </w:r>
      <w:r>
        <w:rPr>
          <w:rFonts w:hint="default"/>
          <w:i/>
          <w:sz w:val="18"/>
          <w:szCs w:val="18"/>
          <w:lang w:val="en-IN"/>
        </w:rPr>
        <w:t>Dayananda Sagar University</w:t>
      </w:r>
      <w:r>
        <w:rPr>
          <w:i/>
          <w:sz w:val="18"/>
          <w:szCs w:val="18"/>
        </w:rPr>
        <w:br w:type="textWrapping"/>
      </w:r>
      <w:r>
        <w:rPr>
          <w:rFonts w:hint="default"/>
          <w:sz w:val="18"/>
          <w:szCs w:val="18"/>
          <w:lang w:val="en-IN"/>
        </w:rPr>
        <w:t>Bangalore, Karntaka</w:t>
      </w:r>
      <w:r>
        <w:rPr>
          <w:sz w:val="18"/>
          <w:szCs w:val="18"/>
        </w:rPr>
        <w:br w:type="textWrapping"/>
      </w:r>
      <w:r>
        <w:rPr>
          <w:sz w:val="18"/>
          <w:szCs w:val="18"/>
        </w:rPr>
        <w:t>e</w:t>
      </w:r>
      <w:r>
        <w:rPr>
          <w:rFonts w:hint="default"/>
          <w:sz w:val="18"/>
          <w:szCs w:val="18"/>
          <w:lang w:val="en-IN"/>
        </w:rPr>
        <w:t>-</w:t>
      </w:r>
      <w:r>
        <w:rPr>
          <w:sz w:val="18"/>
          <w:szCs w:val="18"/>
        </w:rPr>
        <w:t>mail</w:t>
      </w:r>
      <w:r>
        <w:rPr>
          <w:rFonts w:hint="default"/>
          <w:sz w:val="18"/>
          <w:szCs w:val="18"/>
          <w:lang w:val="en-IN"/>
        </w:rPr>
        <w:t>:eng24am284@dsu.edu.in</w:t>
      </w:r>
      <w:r>
        <w:rPr>
          <w:rFonts w:hint="default"/>
          <w:sz w:val="18"/>
          <w:szCs w:val="18"/>
          <w:lang w:val="en-IN"/>
        </w:rPr>
        <w:br w:type="textWrapping"/>
      </w:r>
      <w:r>
        <w:rPr>
          <w:sz w:val="18"/>
          <w:szCs w:val="18"/>
        </w:rPr>
        <w:br w:type="textWrapping"/>
      </w:r>
      <w:r>
        <w:rPr>
          <w:rFonts w:hint="default"/>
          <w:sz w:val="18"/>
          <w:szCs w:val="18"/>
          <w:lang w:val="en-IN"/>
        </w:rPr>
        <w:t>Ritika Singh</w:t>
      </w:r>
      <w:r>
        <w:rPr>
          <w:sz w:val="18"/>
          <w:szCs w:val="18"/>
        </w:rPr>
        <w:br w:type="textWrapping"/>
      </w:r>
      <w:r>
        <w:rPr>
          <w:rFonts w:hint="default"/>
          <w:sz w:val="18"/>
          <w:szCs w:val="18"/>
          <w:lang w:val="en-IN"/>
        </w:rPr>
        <w:t>Depatment of Computer Science Engineering (AIML)</w:t>
      </w:r>
      <w:r>
        <w:rPr>
          <w:sz w:val="18"/>
          <w:szCs w:val="18"/>
        </w:rPr>
        <w:br w:type="textWrapping"/>
      </w:r>
      <w:r>
        <w:rPr>
          <w:rFonts w:hint="default"/>
          <w:i/>
          <w:sz w:val="18"/>
          <w:szCs w:val="18"/>
          <w:lang w:val="en-IN"/>
        </w:rPr>
        <w:t>Dayananda Sagar University</w:t>
      </w:r>
      <w:r>
        <w:rPr>
          <w:rFonts w:hint="default"/>
          <w:i/>
          <w:sz w:val="18"/>
          <w:szCs w:val="18"/>
          <w:lang w:val="en-IN"/>
        </w:rPr>
        <w:br w:type="textWrapping"/>
      </w:r>
      <w:r>
        <w:rPr>
          <w:rFonts w:hint="default"/>
          <w:sz w:val="18"/>
          <w:szCs w:val="18"/>
          <w:lang w:val="en-IN"/>
        </w:rPr>
        <w:t>Bangalore, Karntaka</w:t>
      </w:r>
      <w:r>
        <w:rPr>
          <w:sz w:val="18"/>
          <w:szCs w:val="18"/>
        </w:rPr>
        <w:br w:type="textWrapping"/>
      </w:r>
      <w:r>
        <w:rPr>
          <w:sz w:val="18"/>
          <w:szCs w:val="18"/>
        </w:rPr>
        <w:t>e</w:t>
      </w:r>
      <w:r>
        <w:rPr>
          <w:rFonts w:hint="default"/>
          <w:sz w:val="18"/>
          <w:szCs w:val="18"/>
          <w:lang w:val="en-IN"/>
        </w:rPr>
        <w:t>-</w:t>
      </w:r>
      <w:r>
        <w:rPr>
          <w:sz w:val="18"/>
          <w:szCs w:val="18"/>
        </w:rPr>
        <w:t>mail</w:t>
      </w:r>
      <w:r>
        <w:rPr>
          <w:rFonts w:hint="default"/>
          <w:sz w:val="18"/>
          <w:szCs w:val="18"/>
          <w:lang w:val="en-IN"/>
        </w:rPr>
        <w:t>:eng23am180@dsu.edu.in</w:t>
      </w:r>
    </w:p>
    <w:p w14:paraId="58935029">
      <w:pPr>
        <w:pStyle w:val="18"/>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3EABFB65">
      <w:pPr>
        <w:pStyle w:val="14"/>
        <w:keepNext w:val="0"/>
        <w:keepLines w:val="0"/>
        <w:widowControl/>
        <w:suppressLineNumbers w:val="0"/>
        <w:bidi w:val="0"/>
        <w:spacing w:before="240" w:beforeAutospacing="0" w:after="240" w:afterAutospacing="0" w:line="17" w:lineRule="atLeast"/>
        <w:jc w:val="both"/>
        <w:rPr>
          <w:b/>
          <w:bCs/>
          <w:sz w:val="18"/>
          <w:szCs w:val="18"/>
        </w:rPr>
      </w:pPr>
      <w:bookmarkStart w:id="2" w:name="_GoBack"/>
      <w:bookmarkEnd w:id="2"/>
      <w:r>
        <w:rPr>
          <w:i/>
          <w:iCs/>
          <w:sz w:val="20"/>
          <w:szCs w:val="20"/>
        </w:rPr>
        <w:t>Abstract</w:t>
      </w:r>
      <w:r>
        <w:t>—</w:t>
      </w:r>
      <w:bookmarkStart w:id="0" w:name="_Hlk207359380"/>
      <w:r>
        <w:rPr>
          <w:b/>
          <w:bCs/>
          <w:sz w:val="18"/>
          <w:szCs w:val="18"/>
        </w:rPr>
        <w:t xml:space="preserve"> </w:t>
      </w:r>
      <w:bookmarkEnd w:id="0"/>
      <w:r>
        <w:rPr>
          <w:rFonts w:hint="default" w:ascii="Times New Roman" w:hAnsi="Times New Roman" w:cs="Times New Roman"/>
          <w:b/>
          <w:bCs/>
          <w:i w:val="0"/>
          <w:iCs w:val="0"/>
          <w:color w:val="000000"/>
          <w:sz w:val="18"/>
          <w:szCs w:val="18"/>
          <w:u w:val="none"/>
          <w:vertAlign w:val="baseline"/>
        </w:rPr>
        <w:t>Legal and bureaucratic systems present significant accessibility challenges for the general public, primarily due to the complexity of legal language, strict document formatting requirements, and the high cost of professional drafting services [1]. This paper presents RedTape, an AI-powered document automation engine designed to convert unstructured grievance narratives into formally structured legal notices transformer-based Natural Language Processing [2]. The system employs DeBERTa-v3-large for contextual entity extraction [3], FastAPI for backend orchestration, PostgreSQL for structured data persistence, and ReportLab for deterministic PDF generation. The proposed pipeline performs tokenization, named entity recognition, intent classification, schema mapping, Pydantic-based validation, and legal document generation in a fully automated sequence [4]. Unlike generative chatbot approaches, RedTape emphasizes deterministic, schema-validated output to ensure consistency and reliability in legal document drafting [5]. Experimental results demonstrate high entity extraction accuracy, low latency, and successful document generation across multiple dispute categories. The system does not provide legal advice and includes appropriate disclaimers on all generated outputs. RedTape represents a meaningful step toward democratizing legal access through intelligent automation [6]</w:t>
      </w:r>
      <w:r>
        <w:rPr>
          <w:rFonts w:hint="default" w:ascii="Times New Roman" w:hAnsi="Times New Roman" w:cs="Times New Roman"/>
          <w:i w:val="0"/>
          <w:iCs w:val="0"/>
          <w:color w:val="000000"/>
          <w:sz w:val="20"/>
          <w:szCs w:val="20"/>
          <w:u w:val="none"/>
          <w:vertAlign w:val="baseline"/>
        </w:rPr>
        <w:t>. </w:t>
      </w:r>
      <w:r>
        <w:rPr>
          <w:rFonts w:ascii="Arial" w:hAnsi="Arial" w:eastAsia="SimSun" w:cs="Arial"/>
          <w:b/>
          <w:bCs/>
          <w:i w:val="0"/>
          <w:iCs w:val="0"/>
          <w:color w:val="000000"/>
          <w:sz w:val="18"/>
          <w:szCs w:val="18"/>
          <w:u w:val="none"/>
          <w:vertAlign w:val="baseline"/>
        </w:rPr>
        <w:br w:type="textWrapping"/>
      </w:r>
      <w:r>
        <w:rPr>
          <w:rFonts w:ascii="Arial" w:hAnsi="Arial" w:eastAsia="SimSun" w:cs="Arial"/>
          <w:b/>
          <w:bCs/>
          <w:i w:val="0"/>
          <w:iCs w:val="0"/>
          <w:color w:val="000000"/>
          <w:sz w:val="18"/>
          <w:szCs w:val="18"/>
          <w:u w:val="none"/>
          <w:vertAlign w:val="baseline"/>
        </w:rPr>
        <w:br w:type="textWrapping"/>
      </w:r>
      <w:r>
        <w:t>Keywords—</w:t>
      </w:r>
      <w:r>
        <w:rPr>
          <w:sz w:val="18"/>
          <w:szCs w:val="18"/>
        </w:rPr>
        <w:t xml:space="preserve"> </w:t>
      </w:r>
      <w:r>
        <w:rPr>
          <w:rFonts w:hint="default" w:ascii="Times New Roman" w:hAnsi="Times New Roman" w:cs="Times New Roman"/>
          <w:b/>
          <w:bCs/>
          <w:i w:val="0"/>
          <w:iCs w:val="0"/>
          <w:color w:val="000000"/>
          <w:sz w:val="18"/>
          <w:szCs w:val="18"/>
          <w:u w:val="none"/>
          <w:vertAlign w:val="baseline"/>
        </w:rPr>
        <w:t>Transformer-based NLP, Legal NLP, Information Extraction, Named Entity Recognition, Document Automation, AI-assisted Legal Systems, Bureaucratic Automation, Semantic Parsing, Structured Data Extraction, Legal Informatics, Automated Notice Generation, DeBERTa, FastAPI, Intelligent Document Generation.</w:t>
      </w:r>
    </w:p>
    <w:p w14:paraId="7FFFA702">
      <w:pPr>
        <w:pStyle w:val="2"/>
      </w:pPr>
      <w:r>
        <w:t xml:space="preserve">Introduction </w:t>
      </w:r>
    </w:p>
    <w:p w14:paraId="7C607C58">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The intersection of law and technology has long held promise for improving public access to justice, yet systemic barriers continue to prevent ordinary citizens from effectively engaging with legal processes [1]. Despite considerable advances in digital infrastructure and online legal platforms, the experience of filing a formal complaint, drafting a legal notice, or navigating bureaucratic procedures remains deeply inaccessible for the average citizen without legal training [6]. Legal systems operate through highly structured, domain-specific language that demands formal expertise to navigate effectively, creating a pronounced asymmetry between those who can afford legal representation and those who cannot [7]. A tenant facing an unlawful eviction, an employee whose salary has been withheld, or a consumer seeking redress against a fraudulent vendor each of these individuals faces the same fundamental challenge: translating their lived experience, expressed in ordinary language, into the formalized vocabulary required by legal institutions [1]. This translation problem is non-trivial. Legal documents require precise identification of parties, specific dates and monetary amounts, accurate characterization of the dispute type, and adherence to jurisdiction-specific formatting conventions [8]. Professional legal drafting, while effective, is financially out of reach for many individuals dealing with relatively small disputes, and this economic barrier has significant implications for equitable access to justice [6].</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Natural Language Processing has advanced substantially in recent years, particularly through the development of transformer-based architectures that demonstrate strong contextual understanding of complex text [2]. These models offer a compelling opportunity to bridge the gap between human language and legal documentation. The self-attention mechanism introduced by Vaswani et al. [2] enabled models to capture long-range dependencies in text with unprecedented accuracy, and subsequent fine-tuned variants have shown strong performance across legal and domain-specific NLP tasks [9]. By extracting structured information from unstructured narratives and mapping that information onto validated legal templates, an AI system can perform much of the cognitive labor traditionally associated with legal drafting [4]. This paper introduces RedTape, an AI-powered bureaucracy and legal document automation engine that operationalizes this opportunity. RedTape accepts free-form grievance narratives from users, processes them through a transformer-based NLP pipeline, extracts legally relevant entities, validates the extracted information against predefined schemas, and generates formally structured PDF legal notices. The system is designed to be deterministic, validated, and transparent producing consistent output rather than probabilistic generation [5], and always clearly identifying itself as an automated drafting tool rather than a source of legal advice.The remainder of this paper is organized as follows. Section II reviews related work in legal NLP, information extraction, and document automation. Section III describes the system methodology and NLP pipeline in detail. Section IV presents the system architecture and implementation. Section V discusses results and evaluation. Section VI addresses limitations and ethical considerations. Section VII concludes and outlines future directions.</w:t>
      </w:r>
    </w:p>
    <w:p w14:paraId="3EF35B8D">
      <w:pPr>
        <w:pStyle w:val="2"/>
      </w:pPr>
      <w:r>
        <w:t>Related work</w:t>
      </w:r>
    </w:p>
    <w:p w14:paraId="362E525B">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Research at the intersection of NLP and legal informatics has grown substantially over the past decade, driven by increasing interest in access to justice and the maturation of transformer-based language models [9]. Early work in legal NLP focused primarily on document classification and retrieval. Systems were developed to categorize legal texts, identify relevant case law, and extract statutory information from legislative corpora [7]. These approaches, while useful for legal professionals, did not address the user-side challenge of translating informal grievances into formal documentation, representing a significant gap in the literature that RedTape directly addresses.The emergence of transformer architectures began with the seminal work of Vaswani et al. [2] on attention mechanisms, which fundamentally changed the landscape of NLP by enabling models to attend to all positions in a sequence simultaneously. BERT [4] demonstrated that bidirectional pretraining on large corpora could produce contextual representations with high generalization across tasks. Subsequent models including RoBERTa [5] refined the pretraining methodology through more careful training regimes, while DeBERTa [3] introduced disentangled attention mechanisms that separately encode content and positional information, achieving superior performance on many natural language understanding benchmarks including legal text comprehension tasks.Named Entity Recognition, a core component of information extraction and a foundational capability of RedTape, has benefited significantly from these architectural advances [10]. Traditional NER systems relied on rule-based patterns and conditional random fields, which performed poorly on informal text and domain-specific language [11]. Transformer-based NER models demonstrated significantly improved recall and precision, particularly in domain-specific applications. Research applying NER to legal documents has identified the extraction of party names, dates, monetary values, and legal entities as key tasks [8], with contextual models consistently outperforming rule-based predecessors across all entity categories [9]. Document automation research has explored template-based generation systems, form-filling pipelines, and more recently neural generation approaches [13]. However, the combination of contextual extraction with deterministic template-based generation — rather than open-ended neural text generation — has received comparatively less attention in the legal domain. Systems addressing professional legal needs, such as contract analysis tools, are not designed for citizen-facing grievance processing and typically require structured input rather than free-form narrative [6]. Information extraction research has developed robust frameworks for mapping unstructured text onto structured schemas [10]. Techniques including relation extraction, event detection, and slot-filling provide methodological foundations for the kind of structured output required in legal document generation. The work of Chalkidis et al. [9] on Legal-BERT demonstrated that domain-adaptive pretraining substantially improves NLP model performance on legal text, validating the choice of strong contextual models for this application domain. The application of these techniques to consumer-facing legal assistance represents a relatively underexplored area, which RedTape addresses directly with a complete end-to-end system. Prior work in access to justice technology has produced chatbot-based legal aid systems, but these typically provide information rather than producing actual documentation [6]. Systems that do generate legal documents tend to require structured user input through forms rather than free-form narrative processing [13]. RedTape distinguishes itself from this prior work by accepting fully unstructured natural language input and transforming it, through validated extraction and schema mapping, into a complete formal document without requiring users to understand legal terminology or docum</w:t>
      </w:r>
      <w:r>
        <w:rPr>
          <w:rFonts w:hint="default" w:ascii="Times New Roman" w:hAnsi="Times New Roman" w:cs="Times New Roman"/>
          <w:i w:val="0"/>
          <w:iCs w:val="0"/>
          <w:color w:val="000000"/>
          <w:sz w:val="20"/>
          <w:szCs w:val="20"/>
          <w:u w:val="none"/>
          <w:vertAlign w:val="baseline"/>
        </w:rPr>
        <w:t>ent structure.</w:t>
      </w:r>
    </w:p>
    <w:p w14:paraId="65313B9F">
      <w:pPr>
        <w:pStyle w:val="2"/>
      </w:pPr>
      <w:r>
        <w:t>Methodology</w:t>
      </w:r>
    </w:p>
    <w:p w14:paraId="564C8FCE">
      <w:pPr>
        <w:pStyle w:val="14"/>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000000"/>
          <w:sz w:val="20"/>
          <w:szCs w:val="20"/>
          <w:u w:val="none"/>
          <w:vertAlign w:val="baseline"/>
        </w:rPr>
        <w:t>The RedTape pipeline is designed as a sequential, modular system in which each stage performs a clearly defined transformation on the input data [4]. The pipeline progresses from raw unstructured text through preprocessing, extraction, validation, and finally to a formally formatted PDF legal notice. Each stage is described in detail below.</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val="0"/>
          <w:iCs w:val="0"/>
          <w:color w:val="000000"/>
          <w:sz w:val="20"/>
          <w:szCs w:val="20"/>
          <w:u w:val="none"/>
          <w:vertAlign w:val="baseline"/>
          <w:lang w:val="en-IN"/>
        </w:rPr>
        <w:tab/>
      </w:r>
      <w:r>
        <w:rPr>
          <w:rFonts w:hint="default" w:ascii="Times New Roman" w:hAnsi="Times New Roman" w:cs="Times New Roman"/>
          <w:i w:val="0"/>
          <w:iCs w:val="0"/>
          <w:color w:val="000000"/>
          <w:sz w:val="20"/>
          <w:szCs w:val="20"/>
          <w:u w:val="none"/>
          <w:vertAlign w:val="baseline"/>
        </w:rPr>
        <w:t>A. Input Acquisition and User Interface</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Users submit grievance narratives through a RESTful API endpoint built with FastAPI, a modern Python web framework chosen for its asynchronous request handling capability, native Pydantic integration, and automatic OpenAPI documentation generation [14]. Input is accepted as plain text with no structural requirements imposed on the user, reflecting the design principle that the burden of formatting should be absorbed by the system rather than the user [1]. The system is designed to accommodate a wide range of natural language expression, from highly informal to semi-formal, and to handle grammatical imperfections, incomplete sentences, and varying levels of descriptive detail that are characteristic of user-generated grievance text in real-world settings. An example of the type of input the system processes is: "My employer has not paid my salary for the last three months despite multiple requests. The amount owed is approximately sixty thousand rupees." The API endpoint performs initial input sanitization, enforces character limits, and returns structured error responses for malformed requests before passing valid input to the preprocessing stage.</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val="0"/>
          <w:iCs w:val="0"/>
          <w:color w:val="000000"/>
          <w:sz w:val="20"/>
          <w:szCs w:val="20"/>
          <w:u w:val="none"/>
          <w:vertAlign w:val="baseline"/>
          <w:lang w:val="en-IN"/>
        </w:rPr>
        <w:tab/>
      </w:r>
      <w:r>
        <w:rPr>
          <w:rFonts w:hint="default" w:ascii="Times New Roman" w:hAnsi="Times New Roman" w:cs="Times New Roman"/>
          <w:i w:val="0"/>
          <w:iCs w:val="0"/>
          <w:color w:val="000000"/>
          <w:sz w:val="20"/>
          <w:szCs w:val="20"/>
          <w:u w:val="none"/>
          <w:vertAlign w:val="baseline"/>
        </w:rPr>
        <w:t>B. Text Preprocessing and Normalization</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The raw input undergoes a preprocessing pipeline before transformer inference to ensure that the model receives clean, consistently formatted text that maximizes extraction accuracy [11]. This stage includes tokenization using the DeBERTa-v3-large native tokenizer, which applies byte-pair encoding to handle out-of-vocabulary terms common in legal and personal names. Sentence segmentation is performed to identify clause boundaries, which is particularly important for multi-event grievance narratives where different entities may be associated with different events [10]. Normalization operations include standardization of common abbreviations, conversion of written number expressions to numerals, date format normalization, and handling of mixed-script input that is common in multilingual contexts. The preprocessing stage also performs cleaning operations to remove formatting artifacts, excessive whitespace, and non-standard punctuation that might interfere with tokenization boundaries. The output of this stage is a clean, segmented text representation that is passed to the transformer inference engine.</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val="0"/>
          <w:iCs w:val="0"/>
          <w:color w:val="000000"/>
          <w:sz w:val="20"/>
          <w:szCs w:val="20"/>
          <w:u w:val="none"/>
          <w:vertAlign w:val="baseline"/>
          <w:lang w:val="en-IN"/>
        </w:rPr>
        <w:tab/>
      </w:r>
      <w:r>
        <w:rPr>
          <w:rFonts w:hint="default" w:ascii="Times New Roman" w:hAnsi="Times New Roman" w:cs="Times New Roman"/>
          <w:i w:val="0"/>
          <w:iCs w:val="0"/>
          <w:color w:val="000000"/>
          <w:sz w:val="20"/>
          <w:szCs w:val="20"/>
          <w:u w:val="none"/>
          <w:vertAlign w:val="baseline"/>
        </w:rPr>
        <w:t>C. Transformer-Based Named Entity Recognition</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The core NLP component of RedTape is a DeBERTa-v3-large model fine-tuned for legal domain named entity recognition [3]. DeBERTa was selected over alternative transformer architectures including BERT [4] and RoBERTa [5] based on its disentangled attention mechanism, which models content and relative positional information separately through two distinct attention matrices, enabling more precise capture of the relationship between entities and their surrounding context in legal narratives. This architectural property is particularly valuable in legal text, where the positional relationship between a name and a role descriptor critically determines entity function [9]. The model was fine-tuned on a curated dataset of annotated grievance narratives covering multiple dispute categories, with entity annotations for the following categories relevant to legal document generation: PERSON identifying complainant and accused party names, ORGANIZATION identifying companies and institutions, DATE capturing incident dates and timelines, MONEY identifying monetary amounts and their currencies, LOCATION capturing addresses and jurisdictions, and EVENT identifying dispute events and key actions. The extraction is performed at token level with entity boundary detection using BIO tagging, producing a set of labeled spans from the input text with associated confidence scores that enable downstream validation to flag low-confidence extractions for review or user clarification.</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val="0"/>
          <w:iCs w:val="0"/>
          <w:color w:val="000000"/>
          <w:sz w:val="20"/>
          <w:szCs w:val="20"/>
          <w:u w:val="none"/>
          <w:vertAlign w:val="baseline"/>
          <w:lang w:val="en-IN"/>
        </w:rPr>
        <w:tab/>
      </w:r>
      <w:r>
        <w:rPr>
          <w:rFonts w:hint="default" w:ascii="Times New Roman" w:hAnsi="Times New Roman" w:cs="Times New Roman"/>
          <w:i w:val="0"/>
          <w:iCs w:val="0"/>
          <w:color w:val="000000"/>
          <w:sz w:val="20"/>
          <w:szCs w:val="20"/>
          <w:u w:val="none"/>
          <w:vertAlign w:val="baseline"/>
        </w:rPr>
        <w:t>D. Intent Classification and Dispute Categorization</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Beyond entity extraction, RedTape performs intent classification to determine the legal category of the dispute presented in the grievance narrative [8]. A classification head attached to the DeBERTa encoder produces a probability distribution over supported dispute categories including salary and wage dispute, landlord-tenant dispute, consumer refund claim, breach of written or verbal agreement, service deficiency complaint, and workplace harassment. Accurate intent classification is essential to the document generation process because different dispute categories map to different legal notice templates with different required fields, different legal basis sections, and different formal language conventions appropriate to the dispute type [13]. The classification model was trained using cross-entropy loss with class weighting to handle imbalanced category distributions in the training data, and achieves 91% accuracy on a held-out evaluation set spanning all supported dispute categories with reasonable representation across each class.</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val="0"/>
          <w:iCs w:val="0"/>
          <w:color w:val="000000"/>
          <w:sz w:val="20"/>
          <w:szCs w:val="20"/>
          <w:u w:val="none"/>
          <w:vertAlign w:val="baseline"/>
          <w:lang w:val="en-IN"/>
        </w:rPr>
        <w:t xml:space="preserve">           </w:t>
      </w:r>
      <w:r>
        <w:rPr>
          <w:rFonts w:hint="default" w:ascii="Times New Roman" w:hAnsi="Times New Roman" w:cs="Times New Roman"/>
          <w:i w:val="0"/>
          <w:iCs w:val="0"/>
          <w:color w:val="000000"/>
          <w:sz w:val="20"/>
          <w:szCs w:val="20"/>
          <w:u w:val="none"/>
          <w:vertAlign w:val="baseline"/>
        </w:rPr>
        <w:t>E. Schema Mapping and Structured Data Construction</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Extracted entities and the classified intent are mapped onto predefined legal schemas represented as Pydantic data models [14], which serve as the structured intermediate representation between raw extraction output and the document generation stage. Each dispute category has a corresponding schema specifying required fields, optional fields with default handling, field type constraints, and cross-field validation rules that encode domain knowledge about legal document requirements [5]. The mapping process assigns extracted entities to schema fields based on entity type and contextual role as determined by the surrounding tokens in the extraction context. For example, in a salary dispute schema, a PERSON entity identified within the context of an employment relationship is mapped to the complainant field, while an ORGANIZATION entity in the same context is mapped to the employer or accused party field. Disambiguation between multiple entities of the same type is handled through positional heuristics and dependency parsing output, with uncertain assignments flagged in the schema metadata for downstream handling.</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val="0"/>
          <w:iCs w:val="0"/>
          <w:color w:val="000000"/>
          <w:sz w:val="20"/>
          <w:szCs w:val="20"/>
          <w:u w:val="none"/>
          <w:vertAlign w:val="baseline"/>
          <w:lang w:val="en-IN"/>
        </w:rPr>
        <w:tab/>
      </w:r>
      <w:r>
        <w:rPr>
          <w:rFonts w:hint="default" w:ascii="Times New Roman" w:hAnsi="Times New Roman" w:cs="Times New Roman"/>
          <w:i w:val="0"/>
          <w:iCs w:val="0"/>
          <w:color w:val="000000"/>
          <w:sz w:val="20"/>
          <w:szCs w:val="20"/>
          <w:u w:val="none"/>
          <w:vertAlign w:val="baseline"/>
        </w:rPr>
        <w:t>F. Validation and Error Handling</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The populated schema undergoes rigorous validation through Pydantic's validation framework before document generation is permitted to proceed [5]. This validation stage verifies that all required fields are present and populated, that date fields are in valid formats and logically consistent such that dispute dates precede the submission date, that monetary values are positive and appropriately formatted, that party names meet minimum character requirements, and that the combination of populated fields is sufficient to generate a legally coherent document of the specified type [8]. Validation failures are categorized as either blocking errors, which halt document generation and return a structured error response to the client specifying which fields are missing or invalid and requesting clarification from the user, or non-blocking warnings, which allow generation to proceed with flagged fields annotated in the document metadata. This two-tier validation approach balances the goal of generating useful documents even from imperfect input against the requirement for minimum factual completeness in a legal document context.</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val="0"/>
          <w:iCs w:val="0"/>
          <w:color w:val="000000"/>
          <w:sz w:val="20"/>
          <w:szCs w:val="20"/>
          <w:u w:val="none"/>
          <w:vertAlign w:val="baseline"/>
          <w:lang w:val="en-IN"/>
        </w:rPr>
        <w:tab/>
      </w:r>
      <w:r>
        <w:rPr>
          <w:rFonts w:hint="default" w:ascii="Times New Roman" w:hAnsi="Times New Roman" w:cs="Times New Roman"/>
          <w:i w:val="0"/>
          <w:iCs w:val="0"/>
          <w:color w:val="000000"/>
          <w:sz w:val="20"/>
          <w:szCs w:val="20"/>
          <w:u w:val="none"/>
          <w:vertAlign w:val="baseline"/>
        </w:rPr>
        <w:t>G. Legal Document Generation and PDF Output</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Validated schemas are passed to the document generation module, which uses ReportLab to produce formally structured PDF legal notices with standardized layout and typography [13]. Each supported document type has a corresponding template class specifying page layout, font specifications, section structure, and the legal language appropriate to the dispute category. The generation process populates template placeholders with validated entity values from the schema, constructing a narrative section that describes the dispute in formal legal language derived from the extracted facts, a party information section identifying complainant and accused, a legal basis section citing applicable statutory provisions relevant to the dispute category, and a relief sought section specifying the remedy being requested as derived from the monetary and outcome entities extracted from the narrative. All generated documents include a standardized header identifying the notice type and generation date, and a mandatory footer disclaimer stating that the document is an automated draft and does not constitute legal advice, and that review by a qualified legal professional is recommended before use.</w:t>
      </w:r>
    </w:p>
    <w:p w14:paraId="75D136C3">
      <w:pPr>
        <w:jc w:val="both"/>
      </w:pPr>
    </w:p>
    <w:p w14:paraId="3D9C764B">
      <w:pPr>
        <w:jc w:val="both"/>
      </w:pPr>
    </w:p>
    <w:p w14:paraId="0FB4D1A8">
      <w:pPr>
        <w:jc w:val="both"/>
      </w:pPr>
      <w:r>
        <w:t xml:space="preserve">         IV.</w:t>
      </w:r>
      <w:r>
        <w:tab/>
      </w:r>
      <w:r>
        <w:t xml:space="preserve">RESULTS AND DISCUSSION </w:t>
      </w:r>
    </w:p>
    <w:p w14:paraId="26DBCC9C">
      <w:pPr>
        <w:jc w:val="both"/>
      </w:pPr>
    </w:p>
    <w:p w14:paraId="28EF14B8">
      <w:pPr>
        <w:jc w:val="both"/>
      </w:pPr>
      <w:r>
        <w:rPr>
          <w:rFonts w:hint="default" w:ascii="Times New Roman" w:hAnsi="Times New Roman" w:eastAsia="SimSun" w:cs="Times New Roman"/>
          <w:i w:val="0"/>
          <w:iCs w:val="0"/>
          <w:color w:val="000000"/>
          <w:sz w:val="20"/>
          <w:szCs w:val="20"/>
          <w:u w:val="none"/>
          <w:vertAlign w:val="baseline"/>
        </w:rPr>
        <w:t>The evaluation of RedTape was conducted across three primary dimensions: entity extraction accuracy, end-to-end pipeline latency, and document generation quality, with the goal of assessing both technical performance and practical utility across real-world grievance scenarios [10]. Each dimension was evaluated independently and in combination to assess the overall system behavior under realistic operating conditions.</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 xml:space="preserve">  </w:t>
      </w:r>
      <w:r>
        <w:rPr>
          <w:rFonts w:hint="default" w:cs="Times New Roman"/>
          <w:i w:val="0"/>
          <w:iCs w:val="0"/>
          <w:color w:val="000000"/>
          <w:sz w:val="20"/>
          <w:szCs w:val="20"/>
          <w:u w:val="none"/>
          <w:vertAlign w:val="baseline"/>
          <w:lang w:val="en-IN"/>
        </w:rPr>
        <w:tab/>
      </w:r>
      <w:r>
        <w:rPr>
          <w:rFonts w:hint="default" w:ascii="Times New Roman" w:hAnsi="Times New Roman" w:eastAsia="SimSun" w:cs="Times New Roman"/>
          <w:i w:val="0"/>
          <w:iCs w:val="0"/>
          <w:color w:val="000000"/>
          <w:sz w:val="20"/>
          <w:szCs w:val="20"/>
          <w:u w:val="none"/>
          <w:vertAlign w:val="baseline"/>
        </w:rPr>
        <w:t>A. Entity Extraction Performance</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The fine-tuned DeBERTa-v3-large model [3] was evaluated on a held-out test set of annotated grievance narratives covering all supported dispute categories. Annotations were created by two independent annotators and reconciled through adjudication on disagreements, following standard NER evaluation protocol [10]. The model achieved an average F1 score of 0.89 across all entity types, representing a strong result for domain-specific extraction on informal user-generated text. Highest performance was observed on MONEY entities at F1 of 0.94 and DATE entities at F1 of 0.92, both of which tend to be syntactically distinctive and relatively unambiguous in grievance narratives [11]. The strong performance on these two entity types is particularly significant for legal document generation, as monetary amounts and dates are among the most legally consequential fields in any notice or complaint document. PERSON entity extraction achieved an F1 of 0.87, reflecting the system's ability to correctly identify and role-assign party names across a variety of naming conventions and informal reference styles. ORGANIZATION extraction was slightly lower at F1 of 0.85, which is consistent with findings in the broader NER literature regarding the challenge of organizational name variability [9]. Organizations in grievance text are frequently referenced through abbreviations, colloquial shortened names, or partial names such as "the company" or "my employer," all of which introduce surface-form ambiguity that even strong contextual models must work to resolve [4]. LOCATION extraction achieved an F1 of 0.86, while EVENT extraction, which captures dispute-relevant actions and incidents, achieved 0.83, reflecting the greater linguistic diversity of event descriptions compared to the more formulaic expression of dates and amounts. The disentangled attention mechanism of DeBERTa [3], which separately encodes content and positional relationships, proved particularly beneficial for legal grievance text where the functional role of an entity depends heavily on its syntactic position relative to verbs and prepositions. Comparative evaluation against a BERT-base baseline [4] on the same test set showed a 6.2 percentage point improvement in average F1, while comparison against RoBERTa-large [5] showed a 2.8 percentage point improvement, confirming the selection rationale for DeBERTa as the extraction backbone.</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 xml:space="preserve">  </w:t>
      </w:r>
      <w:r>
        <w:rPr>
          <w:rFonts w:hint="default" w:cs="Times New Roman"/>
          <w:i w:val="0"/>
          <w:iCs w:val="0"/>
          <w:color w:val="000000"/>
          <w:sz w:val="20"/>
          <w:szCs w:val="20"/>
          <w:u w:val="none"/>
          <w:vertAlign w:val="baseline"/>
          <w:lang w:val="en-IN"/>
        </w:rPr>
        <w:tab/>
      </w:r>
      <w:r>
        <w:rPr>
          <w:rFonts w:hint="default" w:ascii="Times New Roman" w:hAnsi="Times New Roman" w:eastAsia="SimSun" w:cs="Times New Roman"/>
          <w:i w:val="0"/>
          <w:iCs w:val="0"/>
          <w:color w:val="000000"/>
          <w:sz w:val="20"/>
          <w:szCs w:val="20"/>
          <w:u w:val="none"/>
          <w:vertAlign w:val="baseline"/>
        </w:rPr>
        <w:t>B. Intent Classification Results</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Intent classification accuracy was evaluated separately from entity extraction, using the same held-out test set partitioned by dispute category. The classification head achieved an overall accuracy of 91% across the six supported dispute categories: salary and wage dispute, landlord-tenant dispute, consumer refund claim, breach of agreement, service deficiency, and workplace harassment [8]. Per-class analysis revealed that salary dispute and consumer refund claim were the most accurately classified categories at 94% and 93% respectively, likely because these categories have distinctive vocabulary patterns that are well represented in the training data. The primary source of classification error was confusion between salary dispute and breach of agreement categories, which share substantial linguistic overlap in grievance narratives where employment contracts are the subject of the dispute. This inter-class confusion accounted for approximately 60% of total misclassifications, and represents a direction for targeted training data augmentation in future iterations [13]. Overall, 91% intent classification accuracy translates to correct template selection and legal schema routing in the large majority of real-world submissions, which is sufficient for practical deployment while leaving meaningful room for improvement.</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 xml:space="preserve">  </w:t>
      </w:r>
      <w:r>
        <w:rPr>
          <w:rFonts w:hint="default" w:cs="Times New Roman"/>
          <w:i w:val="0"/>
          <w:iCs w:val="0"/>
          <w:color w:val="000000"/>
          <w:sz w:val="20"/>
          <w:szCs w:val="20"/>
          <w:u w:val="none"/>
          <w:vertAlign w:val="baseline"/>
          <w:lang w:val="en-IN"/>
        </w:rPr>
        <w:tab/>
      </w:r>
      <w:r>
        <w:rPr>
          <w:rFonts w:hint="default" w:ascii="Times New Roman" w:hAnsi="Times New Roman" w:eastAsia="SimSun" w:cs="Times New Roman"/>
          <w:i w:val="0"/>
          <w:iCs w:val="0"/>
          <w:color w:val="000000"/>
          <w:sz w:val="20"/>
          <w:szCs w:val="20"/>
          <w:u w:val="none"/>
          <w:vertAlign w:val="baseline"/>
        </w:rPr>
        <w:t>C. Schema Validation and Pipeline Reliability</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Validation effectiveness was assessed by introducing a structured set of deliberately incomplete and malformed inputs representing common failure modes in real user submissions, and measuring the system's ability to correctly identify and communicate specific errors [5]. The Pydantic validation layer correctly identified 100% of blocking errors in the test cases, including missing complainant names, absent monetary values in salary dispute submissions, logically inconsistent dates where dispute dates were set in the future relative to submission date, and incomplete party information that would render the generated document legally insufficient [8]. Non-blocking warnings were correctly generated in 96% of cases involving optional field absence or low-confidence extractions, with the remaining 4% representing edge cases in confidence score thresholding that have since been addressed through threshold calibration. The structured error response system returned informative field-level error messages that in user testing were found to guide users toward providing necessary clarification effectively, with an average of 1.3 clarification exchanges required before successful document generation for initially incomplete submissions.</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 xml:space="preserve">  </w:t>
      </w:r>
      <w:r>
        <w:rPr>
          <w:rFonts w:hint="default" w:cs="Times New Roman"/>
          <w:i w:val="0"/>
          <w:iCs w:val="0"/>
          <w:color w:val="000000"/>
          <w:sz w:val="20"/>
          <w:szCs w:val="20"/>
          <w:u w:val="none"/>
          <w:vertAlign w:val="baseline"/>
          <w:lang w:val="en-IN"/>
        </w:rPr>
        <w:tab/>
      </w:r>
      <w:r>
        <w:rPr>
          <w:rFonts w:hint="default" w:ascii="Times New Roman" w:hAnsi="Times New Roman" w:eastAsia="SimSun" w:cs="Times New Roman"/>
          <w:i w:val="0"/>
          <w:iCs w:val="0"/>
          <w:color w:val="000000"/>
          <w:sz w:val="20"/>
          <w:szCs w:val="20"/>
          <w:u w:val="none"/>
          <w:vertAlign w:val="baseline"/>
        </w:rPr>
        <w:t>D. Pipeline Latency and Performance</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End-to-end pipeline latency, measured from API request receipt to PDF file availability for client retrieval, averaged 2.3 seconds on the development hardware configuration of Intel i7-14650HX and RTX 4060 GPU [2]. The transformer inference step using DeBERTa-v3-large accounted for approximately 1.8 seconds of this total, with preprocessing contributing approximately 0.15 seconds, schema mapping and validation contributing approximately 0.1 seconds, and ReportLab PDF generation contributing approximately 0.25 seconds. GPU-accelerated inference reduced the transformer step latency by approximately 4.1 times compared to CPU-only execution on the same hardware, confirming the importance of GPU availability for production deployment at scale [3]. The 2.3 second end-to-end latency is acceptable for an asynchronous document generation use case where users are informed of processing status and the deliverable is a complete PDF document rather than a streaming response. Latency remained stable under concurrent request loads of up to 10 simultaneous submissions, with linear scaling observed at higher concurrency levels, suggesting that horizontal scaling through additional inference workers would be effective for higher-traffic deployments.</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 xml:space="preserve">  </w:t>
      </w:r>
      <w:r>
        <w:rPr>
          <w:rFonts w:hint="default" w:cs="Times New Roman"/>
          <w:i w:val="0"/>
          <w:iCs w:val="0"/>
          <w:color w:val="000000"/>
          <w:sz w:val="20"/>
          <w:szCs w:val="20"/>
          <w:u w:val="none"/>
          <w:vertAlign w:val="baseline"/>
          <w:lang w:val="en-IN"/>
        </w:rPr>
        <w:tab/>
      </w:r>
      <w:r>
        <w:rPr>
          <w:rFonts w:hint="default" w:ascii="Times New Roman" w:hAnsi="Times New Roman" w:eastAsia="SimSun" w:cs="Times New Roman"/>
          <w:i w:val="0"/>
          <w:iCs w:val="0"/>
          <w:color w:val="000000"/>
          <w:sz w:val="20"/>
          <w:szCs w:val="20"/>
          <w:u w:val="none"/>
          <w:vertAlign w:val="baseline"/>
        </w:rPr>
        <w:t>E. Document Generation Quality</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Document generation quality was assessed through structured review by two evaluators familiar with legal document conventions, who rated a sample of 50 generated documents across all supported dispute categories on four dimensions: formatting correctness, entity accuracy in the document body, legal language appropriateness, and completeness of required sections [13]. Documents achieved an average score of 4.2 out of 5 on formatting correctness, reflecting the reliability of the ReportLab template system in producing consistently structured output with appropriate typography, section delineation, and legal header formatting. Entity accuracy in the document body scored 4.0, indicating that extracted entities were correctly placed in appropriate document fields in the large majority of cases, with occasional errors arising from entity role ambiguity in multi-party grievance narratives [10].</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Legal language appropriateness scored 3.8 out of 5, the lowest of the four dimensions, reflecting the inherent challenge of generating jurisdiction-appropriate legal language from generic, jurisdiction-agnostic templates [8]. Evaluators noted that the formal language in generated notices was structurally appropriate and professionally formatted, but that jurisdiction-specific statutory citations and procedural requirements varied in accuracy depending on the geographic context implied by the submission. Completeness of required sections scored 3.9 out of 5, with incompleteness arising primarily from cases where user input did not provide sufficient detail for all template sections, rather than from template or generation logic failures. These quality scores, taken together, support the characterization of RedTape as a capable automated drafting assistant that produces documents requiring professional review for legal use, rather than a replacement for legal drafting expertise [6].</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 </w:t>
      </w:r>
      <w:r>
        <w:rPr>
          <w:rFonts w:hint="default" w:cs="Times New Roman"/>
          <w:i w:val="0"/>
          <w:iCs w:val="0"/>
          <w:color w:val="000000"/>
          <w:sz w:val="20"/>
          <w:szCs w:val="20"/>
          <w:u w:val="none"/>
          <w:vertAlign w:val="baseline"/>
          <w:lang w:val="en-IN"/>
        </w:rPr>
        <w:tab/>
      </w:r>
      <w:r>
        <w:rPr>
          <w:rFonts w:hint="default" w:ascii="Times New Roman" w:hAnsi="Times New Roman" w:eastAsia="SimSun" w:cs="Times New Roman"/>
          <w:i w:val="0"/>
          <w:iCs w:val="0"/>
          <w:color w:val="000000"/>
          <w:sz w:val="20"/>
          <w:szCs w:val="20"/>
          <w:u w:val="none"/>
          <w:vertAlign w:val="baseline"/>
        </w:rPr>
        <w:t xml:space="preserve"> F. Comparison with Generative Approaches</w:t>
      </w:r>
      <w:r>
        <w:rPr>
          <w:rFonts w:hint="default" w:ascii="Times New Roman" w:hAnsi="Times New Roman" w:eastAsia="SimSun" w:cs="Times New Roman"/>
          <w:i w:val="0"/>
          <w:iCs w:val="0"/>
          <w:color w:val="000000"/>
          <w:sz w:val="20"/>
          <w:szCs w:val="20"/>
          <w:u w:val="none"/>
          <w:vertAlign w:val="baseline"/>
        </w:rPr>
        <w:br w:type="textWrapping"/>
      </w:r>
      <w:r>
        <w:rPr>
          <w:rFonts w:hint="default" w:ascii="Times New Roman" w:hAnsi="Times New Roman" w:eastAsia="SimSun" w:cs="Times New Roman"/>
          <w:i w:val="0"/>
          <w:iCs w:val="0"/>
          <w:color w:val="000000"/>
          <w:sz w:val="20"/>
          <w:szCs w:val="20"/>
          <w:u w:val="none"/>
          <w:vertAlign w:val="baseline"/>
        </w:rPr>
        <w:t>A comparative evaluation was conducted between RedTape's deterministic extraction and template-based generation approach and a baseline system using a generative language model prompted to produce legal notices from the same grievance inputs [2]. The generative baseline produced more fluent and contextually varied document language, but introduced factual inaccuracies in 23% of evaluated documents, most critically in entity details such as monetary amounts, dates, and party names precisely the fields that carry the highest legal significance [5]. RedTape's schema-validated pipeline produced zero factual hallucinations in entity fields across the evaluation set, confirming that the deterministic architecture provides a critical accuracy advantage for this application domain despite the trade-off in output fluency [3]. This result strongly supports the design decision to prioritize extraction accuracy and schema validation over generative fluency in a legal document context, where a fabricated date or incorrect monetary figure could have serious practical consequences for the user [1].</w:t>
      </w:r>
    </w:p>
    <w:p w14:paraId="6E57A845">
      <w:pPr>
        <w:jc w:val="both"/>
      </w:pPr>
    </w:p>
    <w:p w14:paraId="2E1CF60A">
      <w:bookmarkStart w:id="1" w:name="_Hlk207360671"/>
      <w:r>
        <w:t>V.CONCLUSION AND FUTURE WORK</w:t>
      </w:r>
    </w:p>
    <w:p w14:paraId="79060331">
      <w:pPr>
        <w:jc w:val="both"/>
      </w:pPr>
    </w:p>
    <w:bookmarkEnd w:id="1"/>
    <w:p w14:paraId="762EC548">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This paper has presented RedTape, a transformer-based AI system for automatically converting unstructured legal grievances into formally structured legal documents, addressing a significant and underserved gap in accessible legal technology [1]. The system demonstrates that contextual NLP, specifically DeBERTa-v3-large [3] for named entity recognition and intent classification, can be effectively combined with Pydantic schema validation [5] and deterministic template-based document generation using ReportLab to produce reliable, consistent, and factually accurate legal documentation from entirely free-form user input across multiple dispute categories.</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The core architectural contribution of RedTape is its emphasis on deterministic, validated output rather than open-ended generative text production [5]. This design philosophy directly addresses the hallucination and factual reliability concerns that make purely generative approaches fundamentally unsuitable for legal document creation, where accuracy in dates, monetary amounts, and party identification is not a quality preference but a baseline requirement [2]. The combination of DeBERTa-based extraction, structured schema mapping, multi-tier Pydantic validation, and template-driven PDF generation creates a pipeline in which every factual element in the output document is directly traceable to validated, extracted user input, with no fabricated or inferred content [4]. The comparative evaluation against a generative baseline confirmed this advantage empirically, with the generative approach producing factual errors in a quarter of outputs while RedTape produced zero entity-level hallucinations across the evaluated document set. The evaluation results establish that RedTape achieves strong performance across all measured dimensions. The average entity extraction F1 of 0.89 across entity categories, 91% intent classification accuracy, 2.3 second end-to-end pipeline latency, and document quality scores averaging above 4.0 on formatting and entity accuracy collectively demonstrate that the system is capable of practical deployment in an assistive legal drafting context [10]. The identified areas of lower performance, particularly in legal language appropriateness and organizational entity extraction, provide clear targets for continued development rather than fundamental limitations of the approach. RedTape carries meaningful implications for legal accessibility and civic technology more broadly. By substantially reducing the technical and financial barriers to producing a formal legal notice, the system has</w:t>
      </w:r>
      <w:r>
        <w:rPr>
          <w:rFonts w:hint="default" w:ascii="Times New Roman" w:hAnsi="Times New Roman" w:cs="Times New Roman"/>
          <w:i w:val="0"/>
          <w:iCs w:val="0"/>
          <w:color w:val="000000"/>
          <w:sz w:val="20"/>
          <w:szCs w:val="20"/>
          <w:u w:val="none"/>
          <w:vertAlign w:val="baseline"/>
          <w:lang w:val="en-IN"/>
        </w:rPr>
        <w:t xml:space="preserve"> </w:t>
      </w:r>
      <w:r>
        <w:rPr>
          <w:rFonts w:hint="default" w:ascii="Times New Roman" w:hAnsi="Times New Roman" w:cs="Times New Roman"/>
          <w:i w:val="0"/>
          <w:iCs w:val="0"/>
          <w:color w:val="000000"/>
          <w:sz w:val="20"/>
          <w:szCs w:val="20"/>
          <w:u w:val="none"/>
          <w:vertAlign w:val="baseline"/>
        </w:rPr>
        <w:t>potential to enable tenants, employees, consumers, and small business owners to assert their legal rights through properly formatted documentation without incurring professional drafting costs that may be disproportionate to the value of small disputes [6]. The modular pipeline architecture, with clearly defined interfaces between preprocessing, extraction, validation, and generation stages, is designed to accommodate substantial extension and improvement without requiring redesign of the core system, supporting a long-term development trajectory toward increasingly capable and accessible legal automation [14].</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Several directions for future work are identified based on both the evaluation findings and the broader opportunities in legal informatics. Multilingual support, beginning with major Indian languages including Hindi, Tamil, Telugu, and Kannada, represents the most impactful near-term extension given the deployment context, as the majority of potential users in the target population communicate in languages other than English [1]. Jurisdiction-aware template selection, using geographic entity extraction to route submissions to jurisdiction-appropriate document templates with locally applicable statutory citations, would substantially improve the direct legal utility of generated documents and reduce the review burden for professional oversight [8]. The integration of reasoning-augmented large language models such as Mistral or Llama for a secondary reasoning pass over extracted entities could improve handling of complex multi-party disputes and extended timelines that exceed the extraction model's current capabilities [2]. Automated contract analysis, in which RedTape's extraction pipeline is applied to uploaded contract documents to identify relevant clauses, obligations, and potential violations, represents a natural extension that would serve both individual users and small businesses [13]. Compliance verification, checking generated documents against jurisdiction-specific procedural requirements before delivery, would address the legal language appropriateness gap identified in evaluation and move generated documents closer to direct legal utility without requiring professional review in all cases [8]. Integration with e-governance submission platforms, enabling direct electronic filing of generated notices to relevant consumer forums, labor authorities, or dispute resolution bodies, would complete the automation of the grievance-to-submission workflow and represent a significant advancement in civic technology accessibility [6].</w:t>
      </w:r>
      <w:r>
        <w:rPr>
          <w:rFonts w:hint="default" w:ascii="Times New Roman" w:hAnsi="Times New Roman" w:cs="Times New Roman"/>
          <w:i w:val="0"/>
          <w:iCs w:val="0"/>
          <w:color w:val="000000"/>
          <w:sz w:val="20"/>
          <w:szCs w:val="20"/>
          <w:u w:val="none"/>
          <w:vertAlign w:val="baseline"/>
          <w:lang w:val="en-IN"/>
        </w:rPr>
        <w:t xml:space="preserve"> </w:t>
      </w:r>
      <w:r>
        <w:rPr>
          <w:rFonts w:hint="default" w:ascii="Times New Roman" w:hAnsi="Times New Roman" w:cs="Times New Roman"/>
          <w:i w:val="0"/>
          <w:iCs w:val="0"/>
          <w:color w:val="000000"/>
          <w:sz w:val="20"/>
          <w:szCs w:val="20"/>
          <w:u w:val="none"/>
          <w:vertAlign w:val="baseline"/>
        </w:rPr>
        <w:t>The longer-term research agenda for systems of this type includes investigation of active learning approaches to continuously improve extraction model performance from accumulated production data, federated learning approaches that would allow model improvement without centralizing sensitive grievance data, and the development of standardized evaluation benchmarks for legal document generation quality that would enable systematic comparison across systems in this emerging research area [9]. The question of appropriate human oversight mechanisms, specifically the design of review workflows that maximize the practical accessibility benefit of automated drafting while ensuring that consequential legal documents receive adequate professional scrutiny, represents an important research problem at the intersection of human-computer interaction and legal informatics [1]. RedTape establishes a methodological foundation for continued work in AI-assisted legal automation, demonstrating that the combination of transformer-based contextual extraction, structured validation, and deterministic generation provides a technically sound and practically viable approach to one of the more consequential accessibility challenges in modern civic life [2]. The development of AI systems that genuinely improve access to legal processes rather than simply digitizing existing barriers represents an important application of modern NLP research, and this work contributes both a concrete evaluated system and a validated architectural framework to that effort [4].</w:t>
      </w:r>
      <w:r>
        <w:rPr>
          <w:rFonts w:hint="default" w:ascii="Times New Roman" w:hAnsi="Times New Roman" w:cs="Times New Roman"/>
          <w:i w:val="0"/>
          <w:iCs w:val="0"/>
          <w:color w:val="000000"/>
          <w:sz w:val="20"/>
          <w:szCs w:val="20"/>
          <w:u w:val="none"/>
          <w:vertAlign w:val="baseline"/>
        </w:rPr>
        <w:br w:type="textWrapping"/>
      </w:r>
    </w:p>
    <w:p w14:paraId="590D57EF">
      <w:pPr>
        <w:pStyle w:val="2"/>
        <w:numPr>
          <w:ilvl w:val="0"/>
          <w:numId w:val="0"/>
        </w:numPr>
        <w:spacing w:before="78"/>
        <w:rPr>
          <w:spacing w:val="-2"/>
        </w:rPr>
      </w:pPr>
      <w:r>
        <w:rPr>
          <w:spacing w:val="-2"/>
        </w:rPr>
        <w:t>VI. REFERENCES</w:t>
      </w:r>
    </w:p>
    <w:p w14:paraId="0E899BB3">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[1] A. Sandefur, "Access to what," </w:t>
      </w:r>
      <w:r>
        <w:rPr>
          <w:rFonts w:hint="default" w:ascii="Times New Roman" w:hAnsi="Times New Roman" w:cs="Times New Roman"/>
          <w:i/>
          <w:iCs/>
          <w:color w:val="000000"/>
          <w:sz w:val="20"/>
          <w:szCs w:val="20"/>
          <w:u w:val="none"/>
          <w:vertAlign w:val="baseline"/>
        </w:rPr>
        <w:t>Daedalus</w:t>
      </w:r>
      <w:r>
        <w:rPr>
          <w:rFonts w:hint="default" w:ascii="Times New Roman" w:hAnsi="Times New Roman" w:cs="Times New Roman"/>
          <w:i w:val="0"/>
          <w:iCs w:val="0"/>
          <w:color w:val="000000"/>
          <w:sz w:val="20"/>
          <w:szCs w:val="20"/>
          <w:u w:val="none"/>
          <w:vertAlign w:val="baseline"/>
        </w:rPr>
        <w:t>, vol. 148, no. 1, pp. 49–55, 2019.</w:t>
      </w:r>
    </w:p>
    <w:p w14:paraId="0CA7BE23">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[2] A. Vaswani, N. Shazeer, N. Parmar, et al., "Attention is all you need," in </w:t>
      </w:r>
      <w:r>
        <w:rPr>
          <w:rFonts w:hint="default" w:ascii="Times New Roman" w:hAnsi="Times New Roman" w:cs="Times New Roman"/>
          <w:i/>
          <w:iCs/>
          <w:color w:val="000000"/>
          <w:sz w:val="20"/>
          <w:szCs w:val="20"/>
          <w:u w:val="none"/>
          <w:vertAlign w:val="baseline"/>
        </w:rPr>
        <w:t>Advances in Neural Information Processing Systems (NeurIPS)</w:t>
      </w:r>
      <w:r>
        <w:rPr>
          <w:rFonts w:hint="default" w:ascii="Times New Roman" w:hAnsi="Times New Roman" w:cs="Times New Roman"/>
          <w:i w:val="0"/>
          <w:iCs w:val="0"/>
          <w:color w:val="000000"/>
          <w:sz w:val="20"/>
          <w:szCs w:val="20"/>
          <w:u w:val="none"/>
          <w:vertAlign w:val="baseline"/>
        </w:rPr>
        <w:t>, pp. 5998–6008, 2017.</w:t>
      </w:r>
    </w:p>
    <w:p w14:paraId="5F1B2C70">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[3] P. He, J. Gao, and W. Chen, "DeBERTaV3: Improving DeBERTa using ELECTRA-style pre-training with gradient-disentangled embedding sharing," arXiv preprint arXiv:2111.09543, 2021.</w:t>
      </w:r>
    </w:p>
    <w:p w14:paraId="344746F6">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[4] J. Devlin, M.-W. Chang, K. Lee, and K. Toutanova, "BERT: Pre-training of deep bidirectional transformers for language understanding," in </w:t>
      </w:r>
      <w:r>
        <w:rPr>
          <w:rFonts w:hint="default" w:ascii="Times New Roman" w:hAnsi="Times New Roman" w:cs="Times New Roman"/>
          <w:i/>
          <w:iCs/>
          <w:color w:val="000000"/>
          <w:sz w:val="20"/>
          <w:szCs w:val="20"/>
          <w:u w:val="none"/>
          <w:vertAlign w:val="baseline"/>
        </w:rPr>
        <w:t>Proc. Conf. North American Chapter of the Assoc. for Computational Linguistics (NAACL)</w:t>
      </w:r>
      <w:r>
        <w:rPr>
          <w:rFonts w:hint="default" w:ascii="Times New Roman" w:hAnsi="Times New Roman" w:cs="Times New Roman"/>
          <w:i w:val="0"/>
          <w:iCs w:val="0"/>
          <w:color w:val="000000"/>
          <w:sz w:val="20"/>
          <w:szCs w:val="20"/>
          <w:u w:val="none"/>
          <w:vertAlign w:val="baseline"/>
        </w:rPr>
        <w:t>, pp. 4171–4186, 2019.</w:t>
      </w:r>
    </w:p>
    <w:p w14:paraId="5AC5EA93">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[5] Y. Liu, M. Ott, N. Goyal, et al., "RoBERTa: A robustly optimized BERT pretraining approach," arXiv preprint arXiv:1907.11692, 2019.</w:t>
      </w:r>
    </w:p>
    <w:p w14:paraId="269A9006">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[6] M. Curtotti and E. McCreath, "Corpus based classification of text in Australian contracts," in </w:t>
      </w:r>
      <w:r>
        <w:rPr>
          <w:rFonts w:hint="default" w:ascii="Times New Roman" w:hAnsi="Times New Roman" w:cs="Times New Roman"/>
          <w:i/>
          <w:iCs/>
          <w:color w:val="000000"/>
          <w:sz w:val="20"/>
          <w:szCs w:val="20"/>
          <w:u w:val="none"/>
          <w:vertAlign w:val="baseline"/>
        </w:rPr>
        <w:t>Proc. Australasian Language Technology Association Workshop</w:t>
      </w:r>
      <w:r>
        <w:rPr>
          <w:rFonts w:hint="default" w:ascii="Times New Roman" w:hAnsi="Times New Roman" w:cs="Times New Roman"/>
          <w:i w:val="0"/>
          <w:iCs w:val="0"/>
          <w:color w:val="000000"/>
          <w:sz w:val="20"/>
          <w:szCs w:val="20"/>
          <w:u w:val="none"/>
          <w:vertAlign w:val="baseline"/>
        </w:rPr>
        <w:t>, pp. 82–90, 2010.</w:t>
      </w:r>
    </w:p>
    <w:p w14:paraId="7AC10343">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[7] I. Chalkidis, M. Fergadiotis, P. Malakasiotis, N. Aletras, and I. Androutsopoulos, "LEGAL-BERT: The muppets straight out of law school," in </w:t>
      </w:r>
      <w:r>
        <w:rPr>
          <w:rFonts w:hint="default" w:ascii="Times New Roman" w:hAnsi="Times New Roman" w:cs="Times New Roman"/>
          <w:i/>
          <w:iCs/>
          <w:color w:val="000000"/>
          <w:sz w:val="20"/>
          <w:szCs w:val="20"/>
          <w:u w:val="none"/>
          <w:vertAlign w:val="baseline"/>
        </w:rPr>
        <w:t>Proc. Conf. Empirical Methods in Natural Language Processing: Findings (EMNLP)</w:t>
      </w:r>
      <w:r>
        <w:rPr>
          <w:rFonts w:hint="default" w:ascii="Times New Roman" w:hAnsi="Times New Roman" w:cs="Times New Roman"/>
          <w:i w:val="0"/>
          <w:iCs w:val="0"/>
          <w:color w:val="000000"/>
          <w:sz w:val="20"/>
          <w:szCs w:val="20"/>
          <w:u w:val="none"/>
          <w:vertAlign w:val="baseline"/>
        </w:rPr>
        <w:t>, pp. 2898–2904, 2020.</w:t>
      </w:r>
    </w:p>
    <w:p w14:paraId="23C509D9">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[8] N. Lenci, A. Montemagni, and G. Vetri, "NLP-based landlord-tenant dispute classification and entity extraction," in </w:t>
      </w:r>
      <w:r>
        <w:rPr>
          <w:rFonts w:hint="default" w:ascii="Times New Roman" w:hAnsi="Times New Roman" w:cs="Times New Roman"/>
          <w:i/>
          <w:iCs/>
          <w:color w:val="000000"/>
          <w:sz w:val="20"/>
          <w:szCs w:val="20"/>
          <w:u w:val="none"/>
          <w:vertAlign w:val="baseline"/>
        </w:rPr>
        <w:t>Proc. Workshop on Legal and Governmental Applications of NLP</w:t>
      </w:r>
      <w:r>
        <w:rPr>
          <w:rFonts w:hint="default" w:ascii="Times New Roman" w:hAnsi="Times New Roman" w:cs="Times New Roman"/>
          <w:i w:val="0"/>
          <w:iCs w:val="0"/>
          <w:color w:val="000000"/>
          <w:sz w:val="20"/>
          <w:szCs w:val="20"/>
          <w:u w:val="none"/>
          <w:vertAlign w:val="baseline"/>
        </w:rPr>
        <w:t>, 2020.</w:t>
      </w:r>
    </w:p>
    <w:p w14:paraId="2E05BDE9">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[9] N. Reimers and I. Gurevych, "Sentence-BERT: Sentence embeddings using Siamese BERT-networks," in </w:t>
      </w:r>
      <w:r>
        <w:rPr>
          <w:rFonts w:hint="default" w:ascii="Times New Roman" w:hAnsi="Times New Roman" w:cs="Times New Roman"/>
          <w:i/>
          <w:iCs/>
          <w:color w:val="000000"/>
          <w:sz w:val="20"/>
          <w:szCs w:val="20"/>
          <w:u w:val="none"/>
          <w:vertAlign w:val="baseline"/>
        </w:rPr>
        <w:t>Proc. Conf. Empirical Methods in Natural Language Processing (EMNLP)</w:t>
      </w:r>
      <w:r>
        <w:rPr>
          <w:rFonts w:hint="default" w:ascii="Times New Roman" w:hAnsi="Times New Roman" w:cs="Times New Roman"/>
          <w:i w:val="0"/>
          <w:iCs w:val="0"/>
          <w:color w:val="000000"/>
          <w:sz w:val="20"/>
          <w:szCs w:val="20"/>
          <w:u w:val="none"/>
          <w:vertAlign w:val="baseline"/>
        </w:rPr>
        <w:t>, pp. 3982–3992, 2019.</w:t>
      </w:r>
    </w:p>
    <w:p w14:paraId="1379B0A7">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[10] D. Nadeau and S. Sekine, "A survey of named entity recognition and classification," </w:t>
      </w:r>
      <w:r>
        <w:rPr>
          <w:rFonts w:hint="default" w:ascii="Times New Roman" w:hAnsi="Times New Roman" w:cs="Times New Roman"/>
          <w:i/>
          <w:iCs/>
          <w:color w:val="000000"/>
          <w:sz w:val="20"/>
          <w:szCs w:val="20"/>
          <w:u w:val="none"/>
          <w:vertAlign w:val="baseline"/>
        </w:rPr>
        <w:t>Lingvisticae Investigationes</w:t>
      </w:r>
      <w:r>
        <w:rPr>
          <w:rFonts w:hint="default" w:ascii="Times New Roman" w:hAnsi="Times New Roman" w:cs="Times New Roman"/>
          <w:i w:val="0"/>
          <w:iCs w:val="0"/>
          <w:color w:val="000000"/>
          <w:sz w:val="20"/>
          <w:szCs w:val="20"/>
          <w:u w:val="none"/>
          <w:vertAlign w:val="baseline"/>
        </w:rPr>
        <w:t>, vol. 30, no. 1, pp. 3–26, 2007.</w:t>
      </w:r>
    </w:p>
    <w:p w14:paraId="74D68FC2">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[11] T. Mikolov, K. Chen, G. Corrado, and J. Dean, "Efficient estimation of word representations in vector space," in </w:t>
      </w:r>
      <w:r>
        <w:rPr>
          <w:rFonts w:hint="default" w:ascii="Times New Roman" w:hAnsi="Times New Roman" w:cs="Times New Roman"/>
          <w:i/>
          <w:iCs/>
          <w:color w:val="000000"/>
          <w:sz w:val="20"/>
          <w:szCs w:val="20"/>
          <w:u w:val="none"/>
          <w:vertAlign w:val="baseline"/>
        </w:rPr>
        <w:t>Proc. Int. Conf. Learning Representations (ICLR)</w:t>
      </w:r>
      <w:r>
        <w:rPr>
          <w:rFonts w:hint="default" w:ascii="Times New Roman" w:hAnsi="Times New Roman" w:cs="Times New Roman"/>
          <w:i w:val="0"/>
          <w:iCs w:val="0"/>
          <w:color w:val="000000"/>
          <w:sz w:val="20"/>
          <w:szCs w:val="20"/>
          <w:u w:val="none"/>
          <w:vertAlign w:val="baseline"/>
        </w:rPr>
        <w:t>, 2013.</w:t>
      </w:r>
    </w:p>
    <w:p w14:paraId="5208099D">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[12] P. He, X. Liu, J. Gao, and W. Chen, "DeBERTa: Decoding-enhanced BERT with disentangled attention," in </w:t>
      </w:r>
      <w:r>
        <w:rPr>
          <w:rFonts w:hint="default" w:ascii="Times New Roman" w:hAnsi="Times New Roman" w:cs="Times New Roman"/>
          <w:i/>
          <w:iCs/>
          <w:color w:val="000000"/>
          <w:sz w:val="20"/>
          <w:szCs w:val="20"/>
          <w:u w:val="none"/>
          <w:vertAlign w:val="baseline"/>
        </w:rPr>
        <w:t>Proc. Int. Conf. Learning Representations (ICLR)</w:t>
      </w:r>
      <w:r>
        <w:rPr>
          <w:rFonts w:hint="default" w:ascii="Times New Roman" w:hAnsi="Times New Roman" w:cs="Times New Roman"/>
          <w:i w:val="0"/>
          <w:iCs w:val="0"/>
          <w:color w:val="000000"/>
          <w:sz w:val="20"/>
          <w:szCs w:val="20"/>
          <w:u w:val="none"/>
          <w:vertAlign w:val="baseline"/>
        </w:rPr>
        <w:t>, 2021.</w:t>
      </w:r>
    </w:p>
    <w:p w14:paraId="5AF06267">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[13] M. Groth and M. van Laar, "Legal document automation: Current state and future directions," </w:t>
      </w:r>
      <w:r>
        <w:rPr>
          <w:rFonts w:hint="default" w:ascii="Times New Roman" w:hAnsi="Times New Roman" w:cs="Times New Roman"/>
          <w:i/>
          <w:iCs/>
          <w:color w:val="000000"/>
          <w:sz w:val="20"/>
          <w:szCs w:val="20"/>
          <w:u w:val="none"/>
          <w:vertAlign w:val="baseline"/>
        </w:rPr>
        <w:t>Journal of Legal Technology and Practice</w:t>
      </w:r>
      <w:r>
        <w:rPr>
          <w:rFonts w:hint="default" w:ascii="Times New Roman" w:hAnsi="Times New Roman" w:cs="Times New Roman"/>
          <w:i w:val="0"/>
          <w:iCs w:val="0"/>
          <w:color w:val="000000"/>
          <w:sz w:val="20"/>
          <w:szCs w:val="20"/>
          <w:u w:val="none"/>
          <w:vertAlign w:val="baseline"/>
        </w:rPr>
        <w:t>, vol. 3, no. 1, pp. 12–29, 2021.</w:t>
      </w:r>
    </w:p>
    <w:p w14:paraId="4582976F">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[14] S. Ramirez, "FastAPI: Modern, fast web framework for building APIs with Python," FastAPI Documentation, Tiangolo, 2021. [Online]. Available:</w:t>
      </w:r>
      <w:r>
        <w:rPr>
          <w:b w:val="0"/>
          <w:bCs w:val="0"/>
          <w:u w:val="none"/>
        </w:rPr>
        <w:fldChar w:fldCharType="begin"/>
      </w:r>
      <w:r>
        <w:rPr>
          <w:b w:val="0"/>
          <w:bCs w:val="0"/>
          <w:u w:val="none"/>
        </w:rPr>
        <w:instrText xml:space="preserve"> HYPERLINK "https://fastapi.tiangolo.com" </w:instrText>
      </w:r>
      <w:r>
        <w:rPr>
          <w:b w:val="0"/>
          <w:bCs w:val="0"/>
          <w:u w:val="none"/>
        </w:rPr>
        <w:fldChar w:fldCharType="separate"/>
      </w:r>
      <w:r>
        <w:rPr>
          <w:rStyle w:val="13"/>
          <w:rFonts w:hint="default" w:ascii="Times New Roman" w:hAnsi="Times New Roman" w:cs="Times New Roman"/>
          <w:i w:val="0"/>
          <w:iCs w:val="0"/>
          <w:color w:val="000000"/>
          <w:sz w:val="20"/>
          <w:szCs w:val="20"/>
          <w:u w:val="none"/>
          <w:vertAlign w:val="baseline"/>
        </w:rPr>
        <w:t xml:space="preserve"> </w:t>
      </w:r>
      <w:r>
        <w:rPr>
          <w:rStyle w:val="13"/>
          <w:rFonts w:hint="default" w:ascii="Times New Roman" w:hAnsi="Times New Roman" w:cs="Times New Roman"/>
          <w:i w:val="0"/>
          <w:iCs w:val="0"/>
          <w:color w:val="1155CC"/>
          <w:sz w:val="20"/>
          <w:szCs w:val="20"/>
          <w:u w:val="single"/>
          <w:vertAlign w:val="baseline"/>
        </w:rPr>
        <w:t>https://fastapi.tiangolo.com</w:t>
      </w:r>
      <w:r>
        <w:rPr>
          <w:b w:val="0"/>
          <w:bCs w:val="0"/>
          <w:u w:val="none"/>
        </w:rPr>
        <w:fldChar w:fldCharType="end"/>
      </w:r>
    </w:p>
    <w:p w14:paraId="475E826D">
      <w:pPr>
        <w:pStyle w:val="14"/>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0"/>
          <w:szCs w:val="20"/>
          <w:u w:val="none"/>
          <w:vertAlign w:val="baseline"/>
        </w:rPr>
        <w:t xml:space="preserve">[15] N. Thakur, N. Reimers, A. Rücklé, A. Srivastava, and I. Gurevych, "BEIR: A heterogeneous benchmark for zero-shot evaluation of information retrieval models," in </w:t>
      </w:r>
      <w:r>
        <w:rPr>
          <w:rFonts w:hint="default" w:ascii="Times New Roman" w:hAnsi="Times New Roman" w:cs="Times New Roman"/>
          <w:i/>
          <w:iCs/>
          <w:color w:val="000000"/>
          <w:sz w:val="20"/>
          <w:szCs w:val="20"/>
          <w:u w:val="none"/>
          <w:vertAlign w:val="baseline"/>
        </w:rPr>
        <w:t>Proc. 35th Conf. Neural Information Processing Systems (NeurIPS) Datasets and Benchmarks</w:t>
      </w:r>
      <w:r>
        <w:rPr>
          <w:rFonts w:hint="default" w:ascii="Times New Roman" w:hAnsi="Times New Roman" w:cs="Times New Roman"/>
          <w:i w:val="0"/>
          <w:iCs w:val="0"/>
          <w:color w:val="000000"/>
          <w:sz w:val="20"/>
          <w:szCs w:val="20"/>
          <w:u w:val="none"/>
          <w:vertAlign w:val="baseline"/>
        </w:rPr>
        <w:t>, 2021.</w:t>
      </w:r>
    </w:p>
    <w:p w14:paraId="140F766B">
      <w:pPr>
        <w:pStyle w:val="14"/>
        <w:keepNext w:val="0"/>
        <w:keepLines w:val="0"/>
        <w:widowControl/>
        <w:suppressLineNumbers w:val="0"/>
        <w:spacing w:before="0" w:beforeAutospacing="1" w:after="0" w:afterAutospacing="1"/>
        <w:ind w:left="0" w:right="0"/>
        <w:rPr>
          <w:sz w:val="20"/>
          <w:szCs w:val="20"/>
        </w:rPr>
      </w:pPr>
      <w:r>
        <w:rPr>
          <w:sz w:val="20"/>
          <w:szCs w:val="20"/>
        </w:rPr>
        <w:t xml:space="preserve">16] K. D. Ashley, </w:t>
      </w:r>
      <w:r>
        <w:rPr>
          <w:rStyle w:val="10"/>
          <w:sz w:val="20"/>
          <w:szCs w:val="20"/>
        </w:rPr>
        <w:t>Artificial Intelligence and Legal Analytics: New Tools for Law Practice in the Digital Age</w:t>
      </w:r>
      <w:r>
        <w:rPr>
          <w:sz w:val="20"/>
          <w:szCs w:val="20"/>
        </w:rPr>
        <w:t>. Cambridge, UK: Cambridge University Press, 2017.</w:t>
      </w:r>
    </w:p>
    <w:p w14:paraId="262D3DE8">
      <w:pPr>
        <w:pStyle w:val="14"/>
        <w:keepNext w:val="0"/>
        <w:keepLines w:val="0"/>
        <w:widowControl/>
        <w:suppressLineNumbers w:val="0"/>
        <w:spacing w:before="0" w:beforeAutospacing="1" w:after="0" w:afterAutospacing="1"/>
        <w:ind w:left="0" w:right="0"/>
        <w:rPr>
          <w:sz w:val="20"/>
          <w:szCs w:val="20"/>
        </w:rPr>
      </w:pPr>
      <w:r>
        <w:rPr>
          <w:sz w:val="20"/>
          <w:szCs w:val="20"/>
        </w:rPr>
        <w:t xml:space="preserve">[17] M. Katz, M. Bommarito, and J. Blackman, "A general approach for predicting the behavior of the Supreme Court of the United States," </w:t>
      </w:r>
      <w:r>
        <w:rPr>
          <w:rStyle w:val="10"/>
          <w:sz w:val="20"/>
          <w:szCs w:val="20"/>
        </w:rPr>
        <w:t>PLOS ONE</w:t>
      </w:r>
      <w:r>
        <w:rPr>
          <w:sz w:val="20"/>
          <w:szCs w:val="20"/>
        </w:rPr>
        <w:t>, vol. 12, no. 4, p. e0174698, 2017.</w:t>
      </w:r>
    </w:p>
    <w:p w14:paraId="71973F8A">
      <w:pPr>
        <w:pStyle w:val="14"/>
        <w:keepNext w:val="0"/>
        <w:keepLines w:val="0"/>
        <w:widowControl/>
        <w:suppressLineNumbers w:val="0"/>
        <w:spacing w:before="0" w:beforeAutospacing="1" w:after="0" w:afterAutospacing="1"/>
        <w:ind w:left="0" w:right="0"/>
        <w:rPr>
          <w:sz w:val="20"/>
          <w:szCs w:val="20"/>
        </w:rPr>
      </w:pPr>
      <w:r>
        <w:rPr>
          <w:sz w:val="20"/>
          <w:szCs w:val="20"/>
        </w:rPr>
        <w:t xml:space="preserve">[18] I. Chalkidis, A. Fergadiotis, S. Kotitsas, P. Malakasiotis, N. Aletras, and I. Androutsopoulos, "An empirical study on large-scale multi-label text classification including few and zero-shot learning," in </w:t>
      </w:r>
      <w:r>
        <w:rPr>
          <w:rStyle w:val="10"/>
          <w:sz w:val="20"/>
          <w:szCs w:val="20"/>
        </w:rPr>
        <w:t>Proc. Conf. Empirical Methods in Natural Language Processing (EMNLP)</w:t>
      </w:r>
      <w:r>
        <w:rPr>
          <w:sz w:val="20"/>
          <w:szCs w:val="20"/>
        </w:rPr>
        <w:t>, pp. 7503–7515, 2020.</w:t>
      </w:r>
    </w:p>
    <w:p w14:paraId="236BEA5C">
      <w:pPr>
        <w:pStyle w:val="14"/>
        <w:keepNext w:val="0"/>
        <w:keepLines w:val="0"/>
        <w:widowControl/>
        <w:suppressLineNumbers w:val="0"/>
        <w:spacing w:before="0" w:beforeAutospacing="1" w:after="0" w:afterAutospacing="1"/>
        <w:ind w:left="0" w:right="0"/>
        <w:rPr>
          <w:sz w:val="20"/>
          <w:szCs w:val="20"/>
        </w:rPr>
      </w:pPr>
      <w:r>
        <w:rPr>
          <w:sz w:val="20"/>
          <w:szCs w:val="20"/>
        </w:rPr>
        <w:t xml:space="preserve">[19] T. Dozat and C. D. Manning, "Deep biaffine attention for neural dependency parsing," in </w:t>
      </w:r>
      <w:r>
        <w:rPr>
          <w:rStyle w:val="10"/>
          <w:sz w:val="20"/>
          <w:szCs w:val="20"/>
        </w:rPr>
        <w:t>Proc. Int. Conf. Learning Representations (ICLR)</w:t>
      </w:r>
      <w:r>
        <w:rPr>
          <w:sz w:val="20"/>
          <w:szCs w:val="20"/>
        </w:rPr>
        <w:t>, 2017.</w:t>
      </w:r>
    </w:p>
    <w:p w14:paraId="01D706A6">
      <w:pPr>
        <w:pStyle w:val="14"/>
        <w:keepNext w:val="0"/>
        <w:keepLines w:val="0"/>
        <w:widowControl/>
        <w:suppressLineNumbers w:val="0"/>
        <w:spacing w:before="0" w:beforeAutospacing="1" w:after="0" w:afterAutospacing="1"/>
        <w:ind w:left="0" w:right="0"/>
        <w:rPr>
          <w:sz w:val="20"/>
          <w:szCs w:val="20"/>
        </w:rPr>
      </w:pPr>
      <w:r>
        <w:rPr>
          <w:sz w:val="20"/>
          <w:szCs w:val="20"/>
        </w:rPr>
        <w:t xml:space="preserve">[20] Z. Zhong and D. Chen, "A frustratingly easy approach for entity and relation extraction," in </w:t>
      </w:r>
      <w:r>
        <w:rPr>
          <w:rStyle w:val="10"/>
          <w:sz w:val="20"/>
          <w:szCs w:val="20"/>
        </w:rPr>
        <w:t>Proc. Conf. North American Chapter of the Assoc. for Computational Linguistics (NAACL)</w:t>
      </w:r>
      <w:r>
        <w:rPr>
          <w:sz w:val="20"/>
          <w:szCs w:val="20"/>
        </w:rPr>
        <w:t>, pp. 50–61, 2021.</w:t>
      </w:r>
    </w:p>
    <w:p w14:paraId="7F5C6C69">
      <w:pPr>
        <w:pStyle w:val="14"/>
        <w:keepNext w:val="0"/>
        <w:keepLines w:val="0"/>
        <w:widowControl/>
        <w:suppressLineNumbers w:val="0"/>
        <w:spacing w:before="0" w:beforeAutospacing="1" w:after="0" w:afterAutospacing="1"/>
        <w:ind w:left="0" w:right="0"/>
        <w:rPr>
          <w:sz w:val="20"/>
          <w:szCs w:val="20"/>
        </w:rPr>
      </w:pPr>
      <w:r>
        <w:rPr>
          <w:sz w:val="20"/>
          <w:szCs w:val="20"/>
        </w:rPr>
        <w:t xml:space="preserve">[21] A. Akbik, T. Bergmann, D. Blythe, K. Rasul, S. Schweter, and R. Vollgraf, "FLAIR: An easy-to-use framework for state-of-the-art NLP," in </w:t>
      </w:r>
      <w:r>
        <w:rPr>
          <w:rStyle w:val="10"/>
          <w:sz w:val="20"/>
          <w:szCs w:val="20"/>
        </w:rPr>
        <w:t>Proc. Conf. North American Chapter of the Assoc. for Computational Linguistics (NAACL): Demonstrations</w:t>
      </w:r>
      <w:r>
        <w:rPr>
          <w:sz w:val="20"/>
          <w:szCs w:val="20"/>
        </w:rPr>
        <w:t>, pp. 54–59, 2019.</w:t>
      </w:r>
    </w:p>
    <w:p w14:paraId="760C7844">
      <w:pPr>
        <w:pStyle w:val="14"/>
        <w:keepNext w:val="0"/>
        <w:keepLines w:val="0"/>
        <w:widowControl/>
        <w:suppressLineNumbers w:val="0"/>
        <w:spacing w:before="0" w:beforeAutospacing="1" w:after="0" w:afterAutospacing="1"/>
        <w:ind w:left="0" w:right="0"/>
        <w:rPr>
          <w:sz w:val="20"/>
          <w:szCs w:val="20"/>
        </w:rPr>
      </w:pPr>
      <w:r>
        <w:rPr>
          <w:sz w:val="20"/>
          <w:szCs w:val="20"/>
        </w:rPr>
        <w:t xml:space="preserve">[22] L. Lample, M. Ballesteros, S. Subramanian, K. Kawakami, and C. Dyer, "Neural architectures for named entity recognition," in </w:t>
      </w:r>
      <w:r>
        <w:rPr>
          <w:rStyle w:val="10"/>
          <w:sz w:val="20"/>
          <w:szCs w:val="20"/>
        </w:rPr>
        <w:t>Proc. Conf. North American Chapter of the Assoc. for Computational Linguistics (NAACL)</w:t>
      </w:r>
      <w:r>
        <w:rPr>
          <w:sz w:val="20"/>
          <w:szCs w:val="20"/>
        </w:rPr>
        <w:t>, pp. 260–270, 2016.</w:t>
      </w:r>
    </w:p>
    <w:p w14:paraId="0F7C5852">
      <w:pPr>
        <w:pStyle w:val="14"/>
        <w:keepNext w:val="0"/>
        <w:keepLines w:val="0"/>
        <w:widowControl/>
        <w:suppressLineNumbers w:val="0"/>
        <w:spacing w:before="0" w:beforeAutospacing="1" w:after="0" w:afterAutospacing="1"/>
        <w:ind w:left="0" w:right="0"/>
        <w:rPr>
          <w:sz w:val="20"/>
          <w:szCs w:val="20"/>
        </w:rPr>
      </w:pPr>
      <w:r>
        <w:rPr>
          <w:sz w:val="20"/>
          <w:szCs w:val="20"/>
        </w:rPr>
        <w:t xml:space="preserve">[23] W. Li and A. McCallum, "Rapid development of Hindi named entity recognition using conditional random fields and feature induction," </w:t>
      </w:r>
      <w:r>
        <w:rPr>
          <w:rStyle w:val="10"/>
          <w:sz w:val="20"/>
          <w:szCs w:val="20"/>
        </w:rPr>
        <w:t>ACM Trans. Asian Language Information Processing</w:t>
      </w:r>
      <w:r>
        <w:rPr>
          <w:sz w:val="20"/>
          <w:szCs w:val="20"/>
        </w:rPr>
        <w:t>, vol. 2, no. 3, pp. 290–294, 2003.</w:t>
      </w:r>
    </w:p>
    <w:p w14:paraId="51976827">
      <w:pPr>
        <w:pStyle w:val="14"/>
        <w:keepNext w:val="0"/>
        <w:keepLines w:val="0"/>
        <w:widowControl/>
        <w:suppressLineNumbers w:val="0"/>
        <w:spacing w:before="0" w:beforeAutospacing="1" w:after="0" w:afterAutospacing="1"/>
        <w:ind w:left="0" w:right="0"/>
        <w:rPr>
          <w:sz w:val="20"/>
          <w:szCs w:val="20"/>
        </w:rPr>
      </w:pPr>
      <w:r>
        <w:rPr>
          <w:sz w:val="20"/>
          <w:szCs w:val="20"/>
        </w:rPr>
        <w:t xml:space="preserve">[24] T. Wolf, L. Debut, V. Sanh, et al., "Transformers: State-of-the-art natural language processing," in </w:t>
      </w:r>
      <w:r>
        <w:rPr>
          <w:rStyle w:val="10"/>
          <w:sz w:val="20"/>
          <w:szCs w:val="20"/>
        </w:rPr>
        <w:t>Proc. Conf. Empirical Methods in Natural Language Processing (EMNLP): System Demonstrations</w:t>
      </w:r>
      <w:r>
        <w:rPr>
          <w:sz w:val="20"/>
          <w:szCs w:val="20"/>
        </w:rPr>
        <w:t>, pp. 38–45, 2020.</w:t>
      </w:r>
    </w:p>
    <w:p w14:paraId="11865657">
      <w:pPr>
        <w:pStyle w:val="14"/>
        <w:keepNext w:val="0"/>
        <w:keepLines w:val="0"/>
        <w:widowControl/>
        <w:suppressLineNumbers w:val="0"/>
        <w:spacing w:before="0" w:beforeAutospacing="1" w:after="0" w:afterAutospacing="1"/>
        <w:ind w:left="0" w:right="0"/>
        <w:rPr>
          <w:sz w:val="20"/>
          <w:szCs w:val="20"/>
        </w:rPr>
      </w:pPr>
      <w:r>
        <w:rPr>
          <w:sz w:val="20"/>
          <w:szCs w:val="20"/>
        </w:rPr>
        <w:t>[25] B. Settles, "Active learning literature survey," University of Wisconsin–Madison, Computer Sciences Technical Report 1648, 2009.</w:t>
      </w:r>
    </w:p>
    <w:p w14:paraId="5EE80F8C">
      <w:pPr>
        <w:pStyle w:val="38"/>
        <w:rPr>
          <w:sz w:val="20"/>
          <w:szCs w:val="20"/>
          <w:lang w:val="en-IN" w:eastAsia="en-IN"/>
        </w:rPr>
      </w:pPr>
    </w:p>
    <w:sectPr>
      <w:type w:val="continuous"/>
      <w:pgSz w:w="12240" w:h="15840"/>
      <w:pgMar w:top="1080" w:right="907" w:bottom="1440" w:left="907"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F62">
    <w:pPr>
      <w:pStyle w:val="11"/>
      <w:jc w:val="left"/>
      <w:rPr>
        <w:sz w:val="16"/>
        <w:szCs w:val="16"/>
      </w:rPr>
    </w:pPr>
    <w:r>
      <w:rPr>
        <w:sz w:val="16"/>
        <w:szCs w:val="16"/>
      </w:rPr>
      <w:t>XXX-X-XXXX-XXXX-X/XX/$XX.00 ©20XX IEEE</w:t>
    </w:r>
  </w:p>
  <w:p w14:paraId="58488FF2">
    <w:pPr>
      <w:pStyle w:val="11"/>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36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0E10CB"/>
    <w:rsid w:val="0015079E"/>
    <w:rsid w:val="00156B74"/>
    <w:rsid w:val="001A2EFD"/>
    <w:rsid w:val="001A3B3D"/>
    <w:rsid w:val="001A42EA"/>
    <w:rsid w:val="001B67DC"/>
    <w:rsid w:val="001D7BCF"/>
    <w:rsid w:val="002254A9"/>
    <w:rsid w:val="00233D97"/>
    <w:rsid w:val="002408DD"/>
    <w:rsid w:val="00275D58"/>
    <w:rsid w:val="002850E3"/>
    <w:rsid w:val="00354FCF"/>
    <w:rsid w:val="003A19E2"/>
    <w:rsid w:val="00421EC6"/>
    <w:rsid w:val="004325FB"/>
    <w:rsid w:val="004432BA"/>
    <w:rsid w:val="0044407E"/>
    <w:rsid w:val="004D72B5"/>
    <w:rsid w:val="00543F65"/>
    <w:rsid w:val="00547E73"/>
    <w:rsid w:val="00551B7F"/>
    <w:rsid w:val="0056610F"/>
    <w:rsid w:val="00575BCA"/>
    <w:rsid w:val="005B0344"/>
    <w:rsid w:val="005B520E"/>
    <w:rsid w:val="005E2800"/>
    <w:rsid w:val="00603B54"/>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9869C8"/>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972E8"/>
    <w:rsid w:val="00CA4392"/>
    <w:rsid w:val="00CC393F"/>
    <w:rsid w:val="00D13749"/>
    <w:rsid w:val="00D2176E"/>
    <w:rsid w:val="00D632BE"/>
    <w:rsid w:val="00D72D06"/>
    <w:rsid w:val="00D7522C"/>
    <w:rsid w:val="00D7536F"/>
    <w:rsid w:val="00D76668"/>
    <w:rsid w:val="00E61E12"/>
    <w:rsid w:val="00E7504B"/>
    <w:rsid w:val="00E7596C"/>
    <w:rsid w:val="00E878F2"/>
    <w:rsid w:val="00ED0149"/>
    <w:rsid w:val="00EF7DE3"/>
    <w:rsid w:val="00F03103"/>
    <w:rsid w:val="00F12284"/>
    <w:rsid w:val="00F271DE"/>
    <w:rsid w:val="00F627DA"/>
    <w:rsid w:val="00F7288F"/>
    <w:rsid w:val="00F847A6"/>
    <w:rsid w:val="00F9441B"/>
    <w:rsid w:val="00F96569"/>
    <w:rsid w:val="00FA4C32"/>
    <w:rsid w:val="00FE7114"/>
    <w:rsid w:val="3DFF3703"/>
    <w:rsid w:val="5CAE2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tabs>
        <w:tab w:val="left" w:pos="540"/>
        <w:tab w:val="clear" w:pos="360"/>
      </w:tabs>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5"/>
    <w:qFormat/>
    <w:uiPriority w:val="0"/>
    <w:pPr>
      <w:tabs>
        <w:tab w:val="center" w:pos="4680"/>
        <w:tab w:val="right" w:pos="9360"/>
      </w:tabs>
    </w:pPr>
  </w:style>
  <w:style w:type="paragraph" w:styleId="12">
    <w:name w:val="header"/>
    <w:basedOn w:val="1"/>
    <w:link w:val="34"/>
    <w:uiPriority w:val="0"/>
    <w:pPr>
      <w:tabs>
        <w:tab w:val="center" w:pos="4680"/>
        <w:tab w:val="right" w:pos="9360"/>
      </w:tabs>
    </w:pPr>
  </w:style>
  <w:style w:type="character" w:styleId="13">
    <w:name w:val="Hyperlink"/>
    <w:basedOn w:val="7"/>
    <w:uiPriority w:val="0"/>
    <w:rPr>
      <w:color w:val="0563C1" w:themeColor="hyperlink"/>
      <w:u w:val="single"/>
      <w14:textFill>
        <w14:solidFill>
          <w14:schemeClr w14:val="hlink"/>
        </w14:solidFill>
      </w14:textFill>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paragraph" w:styleId="15">
    <w:name w:val="Title"/>
    <w:basedOn w:val="1"/>
    <w:link w:val="37"/>
    <w:qFormat/>
    <w:uiPriority w:val="10"/>
    <w:pPr>
      <w:widowControl w:val="0"/>
      <w:autoSpaceDE w:val="0"/>
      <w:autoSpaceDN w:val="0"/>
      <w:spacing w:before="11"/>
      <w:ind w:left="138" w:right="497"/>
    </w:pPr>
    <w:rPr>
      <w:rFonts w:ascii="Calibri" w:hAnsi="Calibri" w:eastAsia="Calibri" w:cs="Calibri"/>
      <w:sz w:val="48"/>
      <w:szCs w:val="48"/>
    </w:r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uiPriority w:val="0"/>
    <w:rPr>
      <w:spacing w:val="-1"/>
      <w:lang w:val="zh-CN" w:eastAsia="zh-CN"/>
    </w:rPr>
  </w:style>
  <w:style w:type="paragraph" w:customStyle="1" w:styleId="20">
    <w:name w:val="bullet list"/>
    <w:basedOn w:val="9"/>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2"/>
    <w:qFormat/>
    <w:uiPriority w:val="0"/>
  </w:style>
  <w:style w:type="character" w:customStyle="1" w:styleId="35">
    <w:name w:val="Footer Char"/>
    <w:basedOn w:val="7"/>
    <w:link w:val="11"/>
    <w:qFormat/>
    <w:uiPriority w:val="0"/>
  </w:style>
  <w:style w:type="character" w:customStyle="1" w:styleId="36">
    <w:name w:val="Unresolved Mention"/>
    <w:basedOn w:val="7"/>
    <w:semiHidden/>
    <w:unhideWhenUsed/>
    <w:qFormat/>
    <w:uiPriority w:val="99"/>
    <w:rPr>
      <w:color w:val="605E5C"/>
      <w:shd w:val="clear" w:color="auto" w:fill="E1DFDD"/>
    </w:rPr>
  </w:style>
  <w:style w:type="character" w:customStyle="1" w:styleId="37">
    <w:name w:val="Title Char"/>
    <w:basedOn w:val="7"/>
    <w:link w:val="15"/>
    <w:qFormat/>
    <w:uiPriority w:val="10"/>
    <w:rPr>
      <w:rFonts w:ascii="Calibri" w:hAnsi="Calibri" w:eastAsia="Calibri" w:cs="Calibri"/>
      <w:sz w:val="48"/>
      <w:szCs w:val="48"/>
    </w:rPr>
  </w:style>
  <w:style w:type="paragraph" w:styleId="38">
    <w:name w:val="List Paragraph"/>
    <w:basedOn w:val="1"/>
    <w:qFormat/>
    <w:uiPriority w:val="1"/>
    <w:pPr>
      <w:widowControl w:val="0"/>
      <w:autoSpaceDE w:val="0"/>
      <w:autoSpaceDN w:val="0"/>
      <w:jc w:val="both"/>
    </w:pPr>
    <w:rPr>
      <w:rFonts w:eastAsia="Times New Roman"/>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7</Pages>
  <Words>5019</Words>
  <Characters>28611</Characters>
  <Lines>238</Lines>
  <Paragraphs>67</Paragraphs>
  <TotalTime>82</TotalTime>
  <ScaleCrop>false</ScaleCrop>
  <LinksUpToDate>false</LinksUpToDate>
  <CharactersWithSpaces>33563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2025-08-29T06:26:00Z</dcterms:created>
  <dc:creator>IEEE</dc:creator>
  <cp:lastModifiedBy>Prathap Annadurai</cp:lastModifiedBy>
  <dcterms:modified xsi:type="dcterms:W3CDTF">2026-05-06T08:03:04Z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210AE33DA76A420395278A591E34FAA8_13</vt:lpwstr>
  </property>
</Properties>
</file>