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64748B"/>
          <w:sz w:val="17"/>
        </w:rPr>
        <w:t>INAMIGOS FOUNDATION INTERNSHIP  |  TASK 1 SUBMISSION</w:t>
      </w:r>
    </w:p>
    <w:p>
      <w:pPr>
        <w:spacing w:before="160" w:after="80"/>
      </w:pPr>
      <w:r>
        <w:rPr>
          <w:rFonts w:ascii="Arial" w:hAnsi="Arial"/>
          <w:b/>
          <w:color w:val="184C78"/>
          <w:sz w:val="52"/>
        </w:rPr>
        <w:t>AI Tools Discovery Report</w:t>
      </w:r>
    </w:p>
    <w:p>
      <w:pPr>
        <w:spacing w:after="320"/>
      </w:pPr>
      <w:r>
        <w:rPr>
          <w:rFonts w:ascii="Arial" w:hAnsi="Arial"/>
          <w:color w:val="0D9488"/>
          <w:sz w:val="26"/>
        </w:rPr>
        <w:t>Exploration of 5 Transformative AI Tools Across Functional Domains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1F5F9"/>
            <w:tcMar>
              <w:top w:w="120" w:type="dxa"/>
              <w:bottom w:w="120" w:type="dxa"/>
              <w:left w:w="140" w:type="dxa"/>
              <w:right w:w="140" w:type="dxa"/>
            </w:tcMar>
          </w:tcPr>
          <w:p>
            <w:pPr>
              <w:jc w:val="center"/>
            </w:pPr>
            <w:r>
              <w:rPr>
                <w:rFonts w:ascii="Arial" w:hAnsi="Arial"/>
                <w:color w:val="64748B"/>
                <w:sz w:val="17"/>
              </w:rPr>
              <w:t>Candidate / Intern:</w:t>
              <w:br/>
            </w:r>
            <w:r>
              <w:rPr>
                <w:rFonts w:ascii="Arial" w:hAnsi="Arial"/>
                <w:b/>
                <w:color w:val="184C78"/>
                <w:sz w:val="20"/>
              </w:rPr>
              <w:t>Prajin K</w:t>
            </w:r>
          </w:p>
        </w:tc>
        <w:tc>
          <w:tcPr>
            <w:tcW w:type="dxa" w:w="3312"/>
            <w:shd w:fill="F1F5F9"/>
            <w:tcMar>
              <w:top w:w="120" w:type="dxa"/>
              <w:bottom w:w="120" w:type="dxa"/>
              <w:left w:w="140" w:type="dxa"/>
              <w:right w:w="140" w:type="dxa"/>
            </w:tcMar>
          </w:tcPr>
          <w:p>
            <w:pPr>
              <w:jc w:val="center"/>
            </w:pPr>
            <w:r>
              <w:rPr>
                <w:rFonts w:ascii="Arial" w:hAnsi="Arial"/>
                <w:color w:val="64748B"/>
                <w:sz w:val="17"/>
              </w:rPr>
              <w:t>Program / Role:</w:t>
              <w:br/>
            </w:r>
            <w:r>
              <w:rPr>
                <w:rFonts w:ascii="Arial" w:hAnsi="Arial"/>
                <w:b/>
                <w:color w:val="184C78"/>
                <w:sz w:val="20"/>
              </w:rPr>
              <w:t>InAmigos Foundation Intern</w:t>
            </w:r>
          </w:p>
        </w:tc>
        <w:tc>
          <w:tcPr>
            <w:tcW w:type="dxa" w:w="3312"/>
            <w:shd w:fill="F1F5F9"/>
            <w:tcMar>
              <w:top w:w="120" w:type="dxa"/>
              <w:bottom w:w="120" w:type="dxa"/>
              <w:left w:w="140" w:type="dxa"/>
              <w:right w:w="140" w:type="dxa"/>
            </w:tcMar>
          </w:tcPr>
          <w:p>
            <w:pPr>
              <w:jc w:val="center"/>
            </w:pPr>
            <w:r>
              <w:rPr>
                <w:rFonts w:ascii="Arial" w:hAnsi="Arial"/>
                <w:color w:val="64748B"/>
                <w:sz w:val="17"/>
              </w:rPr>
              <w:t>Domain:</w:t>
              <w:br/>
            </w:r>
            <w:r>
              <w:rPr>
                <w:rFonts w:ascii="Arial" w:hAnsi="Arial"/>
                <w:b/>
                <w:color w:val="184C78"/>
                <w:sz w:val="20"/>
              </w:rPr>
              <w:t>AI &amp; Emerging Technologies</w:t>
            </w:r>
          </w:p>
        </w:tc>
      </w:tr>
    </w:tbl>
    <w:p>
      <w:pPr>
        <w:spacing w:after="200"/>
      </w:pPr>
    </w:p>
    <w:p>
      <w:pPr>
        <w:pStyle w:val="Heading1"/>
      </w:pPr>
      <w:r>
        <w:rPr>
          <w:rFonts w:ascii="Arial" w:hAnsi="Arial"/>
          <w:b/>
          <w:color w:val="184C78"/>
          <w:sz w:val="30"/>
        </w:rPr>
        <w:t>1. Executive Summary &amp; Objective</w:t>
      </w:r>
    </w:p>
    <w:p>
      <w:pPr>
        <w:spacing w:line="276" w:lineRule="auto" w:after="160"/>
      </w:pPr>
      <w:r>
        <w:rPr>
          <w:rFonts w:ascii="Arial" w:hAnsi="Arial"/>
          <w:color w:val="282C34"/>
          <w:sz w:val="21"/>
        </w:rPr>
        <w:t>Artificial Intelligence has rapidly evolved from speculative research into indispensable daily software. Modern professionals, researchers, and creators leverage specialized generative models to eliminate manual drudgery, elevate creative ideation, and dramatically accelerate execution speed. The objective of this discovery report is to evaluate five distinct AI tools spanning diverse functional categories—Education, Productivity, Image Generation, Video Creation, and Presentation Design—identifying their underlying purpose, practical workflow applications, and transformative impact.</w:t>
      </w:r>
    </w:p>
    <w:p>
      <w:pPr>
        <w:pStyle w:val="Heading1"/>
      </w:pPr>
      <w:r>
        <w:rPr>
          <w:rFonts w:ascii="Arial" w:hAnsi="Arial"/>
          <w:b/>
          <w:color w:val="184C78"/>
          <w:sz w:val="30"/>
        </w:rPr>
        <w:t>2. Detailed Exploration of 5 AI Tools</w:t>
      </w:r>
    </w:p>
    <w:p>
      <w:pPr>
        <w:pStyle w:val="Heading2"/>
        <w:spacing w:before="200" w:after="40"/>
      </w:pPr>
      <w:r>
        <w:rPr>
          <w:rFonts w:ascii="Arial" w:hAnsi="Arial"/>
          <w:b/>
          <w:color w:val="184C78"/>
          <w:sz w:val="26"/>
        </w:rPr>
        <w:t>2.1 Perplexity AI</w:t>
      </w:r>
    </w:p>
    <w:p>
      <w:pPr>
        <w:spacing w:after="80"/>
      </w:pPr>
      <w:r>
        <w:rPr>
          <w:rFonts w:ascii="Arial" w:hAnsi="Arial"/>
          <w:b/>
          <w:color w:val="0D9488"/>
          <w:sz w:val="19"/>
        </w:rPr>
        <w:t xml:space="preserve">Functional Category: </w:t>
      </w:r>
      <w:r>
        <w:rPr>
          <w:rFonts w:ascii="Arial" w:hAnsi="Arial"/>
          <w:color w:val="282C34"/>
          <w:sz w:val="19"/>
        </w:rPr>
        <w:t>Education &amp; Academic Research</w:t>
      </w:r>
    </w:p>
    <w:p>
      <w:pPr>
        <w:spacing w:after="80"/>
      </w:pPr>
      <w:r>
        <w:rPr>
          <w:rFonts w:ascii="Arial" w:hAnsi="Arial"/>
          <w:b/>
          <w:color w:val="184C78"/>
          <w:sz w:val="20"/>
        </w:rPr>
        <w:t xml:space="preserve">Purpose: </w:t>
      </w:r>
      <w:r>
        <w:rPr>
          <w:rFonts w:ascii="Arial" w:hAnsi="Arial"/>
          <w:color w:val="282C34"/>
          <w:sz w:val="20"/>
        </w:rPr>
        <w:t>An AI-powered conversational search engine and academic research copilot designed to provide verified, synthesized answers anchored in real-time web citations.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Pr>
          <w:p>
            <w:pPr>
              <w:spacing w:after="40"/>
            </w:pPr>
            <w:r>
              <w:rPr>
                <w:rFonts w:ascii="Arial" w:hAnsi="Arial"/>
                <w:b/>
                <w:color w:val="0D9488"/>
                <w:sz w:val="19"/>
              </w:rPr>
              <w:t>Practical Real-World Use Case: Interactive Academic Literature Synthesis</w:t>
              <w:br/>
            </w:r>
            <w:r>
              <w:rPr>
                <w:rFonts w:ascii="Arial" w:hAnsi="Arial"/>
                <w:color w:val="282C34"/>
                <w:sz w:val="19"/>
              </w:rPr>
              <w:t>A student researching 'The Economic and Grid Impacts of Distributed Solar Storage in Developing Nations' queries Perplexity. Instead of wading through millions of unranked search links, Perplexity synthesizes insights from recent whitepapers and policy journals, delivering concise paragraphs annotated with clickable numeric citations. The student can switch to 'Academic Mode' to restrict sources strictly to peer-reviewed repositories like arXiv and Semantic Scholar.</w:t>
            </w:r>
          </w:p>
        </w:tc>
      </w:tr>
    </w:tbl>
    <w:p>
      <w:pPr>
        <w:spacing w:before="80" w:after="40"/>
      </w:pPr>
      <w:r>
        <w:rPr>
          <w:rFonts w:ascii="Arial" w:hAnsi="Arial"/>
          <w:b/>
          <w:color w:val="184C78"/>
          <w:sz w:val="19"/>
        </w:rPr>
        <w:t>Key Features:</w:t>
      </w:r>
    </w:p>
    <w:p>
      <w:pPr>
        <w:pStyle w:val="ListBullet"/>
        <w:spacing w:after="40"/>
      </w:pPr>
      <w:r>
        <w:rPr>
          <w:rFonts w:ascii="Arial" w:hAnsi="Arial"/>
          <w:color w:val="282C34"/>
          <w:sz w:val="19"/>
        </w:rPr>
        <w:t>Direct Source Attribution: Every assertion is backed by clickable hyperlinks to primary sources.</w:t>
      </w:r>
    </w:p>
    <w:p>
      <w:pPr>
        <w:pStyle w:val="ListBullet"/>
        <w:spacing w:after="40"/>
      </w:pPr>
      <w:r>
        <w:rPr>
          <w:rFonts w:ascii="Arial" w:hAnsi="Arial"/>
          <w:color w:val="282C34"/>
          <w:sz w:val="19"/>
        </w:rPr>
        <w:t>Collections &amp; Thread Sharing: Organizes research projects into structured hubs.</w:t>
      </w:r>
    </w:p>
    <w:p>
      <w:pPr>
        <w:pStyle w:val="ListBullet"/>
        <w:spacing w:after="40"/>
      </w:pPr>
      <w:r>
        <w:rPr>
          <w:rFonts w:ascii="Arial" w:hAnsi="Arial"/>
          <w:color w:val="282C34"/>
          <w:sz w:val="19"/>
        </w:rPr>
        <w:t>Multi-modal Research: Capable of analyzing user-uploaded PDFs, data sheets, and charts.</w:t>
      </w:r>
    </w:p>
    <w:p>
      <w:pPr>
        <w:spacing w:after="200"/>
      </w:pPr>
      <w:r>
        <w:rPr>
          <w:rFonts w:ascii="Arial" w:hAnsi="Arial"/>
          <w:b/>
          <w:color w:val="0D9488"/>
          <w:sz w:val="19"/>
        </w:rPr>
        <w:t xml:space="preserve">Workflow Impact: </w:t>
      </w:r>
      <w:r>
        <w:rPr>
          <w:rFonts w:ascii="Arial" w:hAnsi="Arial"/>
          <w:i/>
          <w:color w:val="282C34"/>
          <w:sz w:val="19"/>
        </w:rPr>
        <w:t>Reduces preliminary literature review time by over 70% while drastically mitigating factual hallucination.</w:t>
      </w:r>
    </w:p>
    <w:p>
      <w:pPr>
        <w:pStyle w:val="Heading2"/>
        <w:spacing w:before="200" w:after="40"/>
      </w:pPr>
      <w:r>
        <w:rPr>
          <w:rFonts w:ascii="Arial" w:hAnsi="Arial"/>
          <w:b/>
          <w:color w:val="184C78"/>
          <w:sz w:val="26"/>
        </w:rPr>
        <w:t>2.2 Notion AI</w:t>
      </w:r>
    </w:p>
    <w:p>
      <w:pPr>
        <w:spacing w:after="80"/>
      </w:pPr>
      <w:r>
        <w:rPr>
          <w:rFonts w:ascii="Arial" w:hAnsi="Arial"/>
          <w:b/>
          <w:color w:val="0D9488"/>
          <w:sz w:val="19"/>
        </w:rPr>
        <w:t xml:space="preserve">Functional Category: </w:t>
      </w:r>
      <w:r>
        <w:rPr>
          <w:rFonts w:ascii="Arial" w:hAnsi="Arial"/>
          <w:color w:val="282C34"/>
          <w:sz w:val="19"/>
        </w:rPr>
        <w:t>Productivity &amp; Workspace Management</w:t>
      </w:r>
    </w:p>
    <w:p>
      <w:pPr>
        <w:spacing w:after="80"/>
      </w:pPr>
      <w:r>
        <w:rPr>
          <w:rFonts w:ascii="Arial" w:hAnsi="Arial"/>
          <w:b/>
          <w:color w:val="184C78"/>
          <w:sz w:val="20"/>
        </w:rPr>
        <w:t xml:space="preserve">Purpose: </w:t>
      </w:r>
      <w:r>
        <w:rPr>
          <w:rFonts w:ascii="Arial" w:hAnsi="Arial"/>
          <w:color w:val="282C34"/>
          <w:sz w:val="20"/>
        </w:rPr>
        <w:t>A connected workflow and knowledge-base AI assistant built natively into the Notion productivity workspace.</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Pr>
          <w:p>
            <w:pPr>
              <w:spacing w:after="40"/>
            </w:pPr>
            <w:r>
              <w:rPr>
                <w:rFonts w:ascii="Arial" w:hAnsi="Arial"/>
                <w:b/>
                <w:color w:val="0D9488"/>
                <w:sz w:val="19"/>
              </w:rPr>
              <w:t>Practical Real-World Use Case: Meeting Minutes &amp; Automated Action Item Tracking</w:t>
              <w:br/>
            </w:r>
            <w:r>
              <w:rPr>
                <w:rFonts w:ascii="Arial" w:hAnsi="Arial"/>
                <w:color w:val="282C34"/>
                <w:sz w:val="19"/>
              </w:rPr>
              <w:t>Following a 45-minute multi-stakeholder project sync, an intern pastes raw bullet points and transcript notes into a Notion page. By invoking Notion AI, the tool instantly generates an executive recap, creates a structured table of deliverables with deadlines, and tags assigned team members. Furthermore, users can ask Notion AI questions across their entire company workspace database.</w:t>
            </w:r>
          </w:p>
        </w:tc>
      </w:tr>
    </w:tbl>
    <w:p>
      <w:pPr>
        <w:spacing w:before="80" w:after="40"/>
      </w:pPr>
      <w:r>
        <w:rPr>
          <w:rFonts w:ascii="Arial" w:hAnsi="Arial"/>
          <w:b/>
          <w:color w:val="184C78"/>
          <w:sz w:val="19"/>
        </w:rPr>
        <w:t>Key Features:</w:t>
      </w:r>
    </w:p>
    <w:p>
      <w:pPr>
        <w:pStyle w:val="ListBullet"/>
        <w:spacing w:after="40"/>
      </w:pPr>
      <w:r>
        <w:rPr>
          <w:rFonts w:ascii="Arial" w:hAnsi="Arial"/>
          <w:color w:val="282C34"/>
          <w:sz w:val="19"/>
        </w:rPr>
        <w:t>Automated Synthesis: Summarizes extensive documentation, roadmaps, and requirements docs.</w:t>
      </w:r>
    </w:p>
    <w:p>
      <w:pPr>
        <w:pStyle w:val="ListBullet"/>
        <w:spacing w:after="40"/>
      </w:pPr>
      <w:r>
        <w:rPr>
          <w:rFonts w:ascii="Arial" w:hAnsi="Arial"/>
          <w:color w:val="282C34"/>
          <w:sz w:val="19"/>
        </w:rPr>
        <w:t>Q&amp;A Across Knowledge Bases: Connects with Slack, Google Drive, and internal Notion wikis.</w:t>
      </w:r>
    </w:p>
    <w:p>
      <w:pPr>
        <w:pStyle w:val="ListBullet"/>
        <w:spacing w:after="40"/>
      </w:pPr>
      <w:r>
        <w:rPr>
          <w:rFonts w:ascii="Arial" w:hAnsi="Arial"/>
          <w:color w:val="282C34"/>
          <w:sz w:val="19"/>
        </w:rPr>
        <w:t>Writing &amp; Tone Adaptation: Refactors informal drafts into professional proposals or client briefs.</w:t>
      </w:r>
    </w:p>
    <w:p>
      <w:pPr>
        <w:spacing w:after="200"/>
      </w:pPr>
      <w:r>
        <w:rPr>
          <w:rFonts w:ascii="Arial" w:hAnsi="Arial"/>
          <w:b/>
          <w:color w:val="0D9488"/>
          <w:sz w:val="19"/>
        </w:rPr>
        <w:t xml:space="preserve">Workflow Impact: </w:t>
      </w:r>
      <w:r>
        <w:rPr>
          <w:rFonts w:ascii="Arial" w:hAnsi="Arial"/>
          <w:i/>
          <w:color w:val="282C34"/>
          <w:sz w:val="19"/>
        </w:rPr>
        <w:t>Transforms disorganized documentation into actionable team workflows without switching apps.</w:t>
      </w:r>
    </w:p>
    <w:p>
      <w:pPr>
        <w:pStyle w:val="Heading2"/>
        <w:spacing w:before="200" w:after="40"/>
      </w:pPr>
      <w:r>
        <w:rPr>
          <w:rFonts w:ascii="Arial" w:hAnsi="Arial"/>
          <w:b/>
          <w:color w:val="184C78"/>
          <w:sz w:val="26"/>
        </w:rPr>
        <w:t>2.3 Midjourney</w:t>
      </w:r>
    </w:p>
    <w:p>
      <w:pPr>
        <w:spacing w:after="80"/>
      </w:pPr>
      <w:r>
        <w:rPr>
          <w:rFonts w:ascii="Arial" w:hAnsi="Arial"/>
          <w:b/>
          <w:color w:val="0D9488"/>
          <w:sz w:val="19"/>
        </w:rPr>
        <w:t xml:space="preserve">Functional Category: </w:t>
      </w:r>
      <w:r>
        <w:rPr>
          <w:rFonts w:ascii="Arial" w:hAnsi="Arial"/>
          <w:color w:val="282C34"/>
          <w:sz w:val="19"/>
        </w:rPr>
        <w:t>Image Generation &amp; Visual Arts</w:t>
      </w:r>
    </w:p>
    <w:p>
      <w:pPr>
        <w:spacing w:after="80"/>
      </w:pPr>
      <w:r>
        <w:rPr>
          <w:rFonts w:ascii="Arial" w:hAnsi="Arial"/>
          <w:b/>
          <w:color w:val="184C78"/>
          <w:sz w:val="20"/>
        </w:rPr>
        <w:t xml:space="preserve">Purpose: </w:t>
      </w:r>
      <w:r>
        <w:rPr>
          <w:rFonts w:ascii="Arial" w:hAnsi="Arial"/>
          <w:color w:val="282C34"/>
          <w:sz w:val="20"/>
        </w:rPr>
        <w:t>A state-of-the-art diffusion-based text-to-image synthesis model engineered for artistic conceptualization, photorealism, and visual asset generation.</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Pr>
          <w:p>
            <w:pPr>
              <w:spacing w:after="40"/>
            </w:pPr>
            <w:r>
              <w:rPr>
                <w:rFonts w:ascii="Arial" w:hAnsi="Arial"/>
                <w:b/>
                <w:color w:val="0D9488"/>
                <w:sz w:val="19"/>
              </w:rPr>
              <w:t>Practical Real-World Use Case: Rapid Campaign Concept Art &amp; Mood Boarding</w:t>
              <w:br/>
            </w:r>
            <w:r>
              <w:rPr>
                <w:rFonts w:ascii="Arial" w:hAnsi="Arial"/>
                <w:color w:val="282C34"/>
                <w:sz w:val="19"/>
              </w:rPr>
              <w:t>A creative intern planning an environmental awareness campaign needs high-impact visual banners. By entering a descriptive prompt into Midjourney (e.g., '/imagine cinematic photograph of a child planting a glowing green sprout in a futuristic metropolis, golden hour volumetric lighting, shot on 35mm lens --ar 16:9 --v 6.1'), the engine outputs four high-resolution conceptual renders within 60 seconds, saving hours of stock photography scouring or costly studio shoots.</w:t>
            </w:r>
          </w:p>
        </w:tc>
      </w:tr>
    </w:tbl>
    <w:p>
      <w:pPr>
        <w:spacing w:before="80" w:after="40"/>
      </w:pPr>
      <w:r>
        <w:rPr>
          <w:rFonts w:ascii="Arial" w:hAnsi="Arial"/>
          <w:b/>
          <w:color w:val="184C78"/>
          <w:sz w:val="19"/>
        </w:rPr>
        <w:t>Key Features:</w:t>
      </w:r>
    </w:p>
    <w:p>
      <w:pPr>
        <w:pStyle w:val="ListBullet"/>
        <w:spacing w:after="40"/>
      </w:pPr>
      <w:r>
        <w:rPr>
          <w:rFonts w:ascii="Arial" w:hAnsi="Arial"/>
          <w:color w:val="282C34"/>
          <w:sz w:val="19"/>
        </w:rPr>
        <w:t>Unmatched Aesthetic Fidelity: Delivers industry-standard lighting, skin textures, and cinematic compositions.</w:t>
      </w:r>
    </w:p>
    <w:p>
      <w:pPr>
        <w:pStyle w:val="ListBullet"/>
        <w:spacing w:after="40"/>
      </w:pPr>
      <w:r>
        <w:rPr>
          <w:rFonts w:ascii="Arial" w:hAnsi="Arial"/>
          <w:color w:val="282C34"/>
          <w:sz w:val="19"/>
        </w:rPr>
        <w:t>Granular Control Parameters: Fine-tunes aspect ratio (--ar), styling weight (--s), and camera focus.</w:t>
      </w:r>
    </w:p>
    <w:p>
      <w:pPr>
        <w:pStyle w:val="ListBullet"/>
        <w:spacing w:after="40"/>
      </w:pPr>
      <w:r>
        <w:rPr>
          <w:rFonts w:ascii="Arial" w:hAnsi="Arial"/>
          <w:color w:val="282C34"/>
          <w:sz w:val="19"/>
        </w:rPr>
        <w:t>Inpainting &amp; Outpainting: Enables selective redrawing ('Vary Region') and canvas expansion without quality degradation.</w:t>
      </w:r>
    </w:p>
    <w:p>
      <w:pPr>
        <w:spacing w:after="200"/>
      </w:pPr>
      <w:r>
        <w:rPr>
          <w:rFonts w:ascii="Arial" w:hAnsi="Arial"/>
          <w:b/>
          <w:color w:val="0D9488"/>
          <w:sz w:val="19"/>
        </w:rPr>
        <w:t xml:space="preserve">Workflow Impact: </w:t>
      </w:r>
      <w:r>
        <w:rPr>
          <w:rFonts w:ascii="Arial" w:hAnsi="Arial"/>
          <w:i/>
          <w:color w:val="282C34"/>
          <w:sz w:val="19"/>
        </w:rPr>
        <w:t>Democratizes high-end visual production, allowing non-designers to prototype creative assets rapidly.</w:t>
      </w:r>
    </w:p>
    <w:p>
      <w:pPr>
        <w:pStyle w:val="Heading2"/>
        <w:spacing w:before="200" w:after="40"/>
      </w:pPr>
      <w:r>
        <w:rPr>
          <w:rFonts w:ascii="Arial" w:hAnsi="Arial"/>
          <w:b/>
          <w:color w:val="184C78"/>
          <w:sz w:val="26"/>
        </w:rPr>
        <w:t>2.4 Synthesia</w:t>
      </w:r>
    </w:p>
    <w:p>
      <w:pPr>
        <w:spacing w:after="80"/>
      </w:pPr>
      <w:r>
        <w:rPr>
          <w:rFonts w:ascii="Arial" w:hAnsi="Arial"/>
          <w:b/>
          <w:color w:val="0D9488"/>
          <w:sz w:val="19"/>
        </w:rPr>
        <w:t xml:space="preserve">Functional Category: </w:t>
      </w:r>
      <w:r>
        <w:rPr>
          <w:rFonts w:ascii="Arial" w:hAnsi="Arial"/>
          <w:color w:val="282C34"/>
          <w:sz w:val="19"/>
        </w:rPr>
        <w:t>Video Creation &amp; AI Avatars</w:t>
      </w:r>
    </w:p>
    <w:p>
      <w:pPr>
        <w:spacing w:after="80"/>
      </w:pPr>
      <w:r>
        <w:rPr>
          <w:rFonts w:ascii="Arial" w:hAnsi="Arial"/>
          <w:b/>
          <w:color w:val="184C78"/>
          <w:sz w:val="20"/>
        </w:rPr>
        <w:t xml:space="preserve">Purpose: </w:t>
      </w:r>
      <w:r>
        <w:rPr>
          <w:rFonts w:ascii="Arial" w:hAnsi="Arial"/>
          <w:color w:val="282C34"/>
          <w:sz w:val="20"/>
        </w:rPr>
        <w:t>An enterprise-grade AI video creation platform that converts written scripts into studio-quality videos featuring realistic digital avatars and expressive voice synthesis.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Pr>
          <w:p>
            <w:pPr>
              <w:spacing w:after="40"/>
            </w:pPr>
            <w:r>
              <w:rPr>
                <w:rFonts w:ascii="Arial" w:hAnsi="Arial"/>
                <w:b/>
                <w:color w:val="0D9488"/>
                <w:sz w:val="19"/>
              </w:rPr>
              <w:t>Practical Real-World Use Case: Multilingual Volunteer Onboarding &amp; Training Modules</w:t>
              <w:br/>
            </w:r>
            <w:r>
              <w:rPr>
                <w:rFonts w:ascii="Arial" w:hAnsi="Arial"/>
                <w:color w:val="282C34"/>
                <w:sz w:val="19"/>
              </w:rPr>
              <w:t>An NGO or corporate coordinator needs to produce an onboarding series on 'Child Safety Protocols' for global volunteers across 12 countries. Rather than booking video production equipment, lighting, and actors, the team pastes script chapters into Synthesia. Synthesia renders an articulate photorealistic avatar presenting the lesson in Hindi, English, Spanish, and French with natural lip-syncing.</w:t>
            </w:r>
          </w:p>
        </w:tc>
      </w:tr>
    </w:tbl>
    <w:p>
      <w:pPr>
        <w:spacing w:before="80" w:after="40"/>
      </w:pPr>
      <w:r>
        <w:rPr>
          <w:rFonts w:ascii="Arial" w:hAnsi="Arial"/>
          <w:b/>
          <w:color w:val="184C78"/>
          <w:sz w:val="19"/>
        </w:rPr>
        <w:t>Key Features:</w:t>
      </w:r>
    </w:p>
    <w:p>
      <w:pPr>
        <w:pStyle w:val="ListBullet"/>
        <w:spacing w:after="40"/>
      </w:pPr>
      <w:r>
        <w:rPr>
          <w:rFonts w:ascii="Arial" w:hAnsi="Arial"/>
          <w:color w:val="282C34"/>
          <w:sz w:val="19"/>
        </w:rPr>
        <w:t>150+ Diverse AI Avatars: Fully modeled human avatars with natural micro-expressions.</w:t>
      </w:r>
    </w:p>
    <w:p>
      <w:pPr>
        <w:pStyle w:val="ListBullet"/>
        <w:spacing w:after="40"/>
      </w:pPr>
      <w:r>
        <w:rPr>
          <w:rFonts w:ascii="Arial" w:hAnsi="Arial"/>
          <w:color w:val="282C34"/>
          <w:sz w:val="19"/>
        </w:rPr>
        <w:t>120+ Languages and Accents: Studio-quality text-to-speech with customizable pacing and pauses.</w:t>
      </w:r>
    </w:p>
    <w:p>
      <w:pPr>
        <w:pStyle w:val="ListBullet"/>
        <w:spacing w:after="40"/>
      </w:pPr>
      <w:r>
        <w:rPr>
          <w:rFonts w:ascii="Arial" w:hAnsi="Arial"/>
          <w:color w:val="282C34"/>
          <w:sz w:val="19"/>
        </w:rPr>
        <w:t>Rapid Iteration: Script updates require editing text and re-rendering rather than re-shooting footage.</w:t>
      </w:r>
    </w:p>
    <w:p>
      <w:pPr>
        <w:spacing w:after="200"/>
      </w:pPr>
      <w:r>
        <w:rPr>
          <w:rFonts w:ascii="Arial" w:hAnsi="Arial"/>
          <w:b/>
          <w:color w:val="0D9488"/>
          <w:sz w:val="19"/>
        </w:rPr>
        <w:t xml:space="preserve">Workflow Impact: </w:t>
      </w:r>
      <w:r>
        <w:rPr>
          <w:rFonts w:ascii="Arial" w:hAnsi="Arial"/>
          <w:i/>
          <w:color w:val="282C34"/>
          <w:sz w:val="19"/>
        </w:rPr>
        <w:t>Cuts corporate video production budgets and timelines by over 80% while enabling seamless localization.</w:t>
      </w:r>
    </w:p>
    <w:p>
      <w:pPr>
        <w:pStyle w:val="Heading2"/>
        <w:spacing w:before="200" w:after="40"/>
      </w:pPr>
      <w:r>
        <w:rPr>
          <w:rFonts w:ascii="Arial" w:hAnsi="Arial"/>
          <w:b/>
          <w:color w:val="184C78"/>
          <w:sz w:val="26"/>
        </w:rPr>
        <w:t>2.5 Gamma AI (Gamma.app)</w:t>
      </w:r>
    </w:p>
    <w:p>
      <w:pPr>
        <w:spacing w:after="80"/>
      </w:pPr>
      <w:r>
        <w:rPr>
          <w:rFonts w:ascii="Arial" w:hAnsi="Arial"/>
          <w:b/>
          <w:color w:val="0D9488"/>
          <w:sz w:val="19"/>
        </w:rPr>
        <w:t xml:space="preserve">Functional Category: </w:t>
      </w:r>
      <w:r>
        <w:rPr>
          <w:rFonts w:ascii="Arial" w:hAnsi="Arial"/>
          <w:color w:val="282C34"/>
          <w:sz w:val="19"/>
        </w:rPr>
        <w:t>Presentations &amp; Interactive Decks</w:t>
      </w:r>
    </w:p>
    <w:p>
      <w:pPr>
        <w:spacing w:after="80"/>
      </w:pPr>
      <w:r>
        <w:rPr>
          <w:rFonts w:ascii="Arial" w:hAnsi="Arial"/>
          <w:b/>
          <w:color w:val="184C78"/>
          <w:sz w:val="20"/>
        </w:rPr>
        <w:t xml:space="preserve">Purpose: </w:t>
      </w:r>
      <w:r>
        <w:rPr>
          <w:rFonts w:ascii="Arial" w:hAnsi="Arial"/>
          <w:color w:val="282C34"/>
          <w:sz w:val="20"/>
        </w:rPr>
        <w:t>An AI-native presentation, document, and webpage generator that constructs beautifully formatted, responsive visual slide decks from simple textual prompts or outlines.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Pr>
          <w:p>
            <w:pPr>
              <w:spacing w:after="40"/>
            </w:pPr>
            <w:r>
              <w:rPr>
                <w:rFonts w:ascii="Arial" w:hAnsi="Arial"/>
                <w:b/>
                <w:color w:val="0D9488"/>
                <w:sz w:val="19"/>
              </w:rPr>
              <w:t>Practical Real-World Use Case: Instant Pitch Deck &amp; Educational Slide Generation</w:t>
              <w:br/>
            </w:r>
            <w:r>
              <w:rPr>
                <w:rFonts w:ascii="Arial" w:hAnsi="Arial"/>
                <w:color w:val="282C34"/>
                <w:sz w:val="19"/>
              </w:rPr>
              <w:t>An intern has 30 minutes to prepare a presentation summarizing 'Key Initiatives of InAmigos Foundation'. Inputting a rough markdown outline into Gamma AI generates a 10-card interactive slide deck equipped with consistent color palettes, smart visual cards, embedded charts, and icons. The slides adapt responsively to mobile, tablet, or projector displays.</w:t>
            </w:r>
          </w:p>
        </w:tc>
      </w:tr>
    </w:tbl>
    <w:p>
      <w:pPr>
        <w:spacing w:before="80" w:after="40"/>
      </w:pPr>
      <w:r>
        <w:rPr>
          <w:rFonts w:ascii="Arial" w:hAnsi="Arial"/>
          <w:b/>
          <w:color w:val="184C78"/>
          <w:sz w:val="19"/>
        </w:rPr>
        <w:t>Key Features:</w:t>
      </w:r>
    </w:p>
    <w:p>
      <w:pPr>
        <w:pStyle w:val="ListBullet"/>
        <w:spacing w:after="40"/>
      </w:pPr>
      <w:r>
        <w:rPr>
          <w:rFonts w:ascii="Arial" w:hAnsi="Arial"/>
          <w:color w:val="282C34"/>
          <w:sz w:val="19"/>
        </w:rPr>
        <w:t>One-Click Prompt-to-Deck: Builds complete narrative flows and layouts from single prompts or bullet notes.</w:t>
      </w:r>
    </w:p>
    <w:p>
      <w:pPr>
        <w:pStyle w:val="ListBullet"/>
        <w:spacing w:after="40"/>
      </w:pPr>
      <w:r>
        <w:rPr>
          <w:rFonts w:ascii="Arial" w:hAnsi="Arial"/>
          <w:color w:val="282C34"/>
          <w:sz w:val="19"/>
        </w:rPr>
        <w:t>Fluid Card Architecture: Bypasses rigid slide boundaries with scrollable, interactive presentation blocks.</w:t>
      </w:r>
    </w:p>
    <w:p>
      <w:pPr>
        <w:pStyle w:val="ListBullet"/>
        <w:spacing w:after="40"/>
      </w:pPr>
      <w:r>
        <w:rPr>
          <w:rFonts w:ascii="Arial" w:hAnsi="Arial"/>
          <w:color w:val="282C34"/>
          <w:sz w:val="19"/>
        </w:rPr>
        <w:t>Rich Media Integrations: Seamlessly embeds interactive widgets, videos, Figma files, and forms.</w:t>
      </w:r>
    </w:p>
    <w:p>
      <w:pPr>
        <w:spacing w:after="200"/>
      </w:pPr>
      <w:r>
        <w:rPr>
          <w:rFonts w:ascii="Arial" w:hAnsi="Arial"/>
          <w:b/>
          <w:color w:val="0D9488"/>
          <w:sz w:val="19"/>
        </w:rPr>
        <w:t xml:space="preserve">Workflow Impact: </w:t>
      </w:r>
      <w:r>
        <w:rPr>
          <w:rFonts w:ascii="Arial" w:hAnsi="Arial"/>
          <w:i/>
          <w:color w:val="282C34"/>
          <w:sz w:val="19"/>
        </w:rPr>
        <w:t>Eliminates tedious slide formatting, allowing presenters to focus purely on narrative substance.</w:t>
      </w:r>
    </w:p>
    <w:p>
      <w:pPr>
        <w:pStyle w:val="Heading1"/>
      </w:pPr>
      <w:r>
        <w:rPr>
          <w:rFonts w:ascii="Arial" w:hAnsi="Arial"/>
          <w:b/>
          <w:color w:val="184C78"/>
          <w:sz w:val="30"/>
        </w:rPr>
        <w:t>3. Cross-Tool Comparison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84C78"/>
            <w:tcMar>
              <w:top w:w="100" w:type="dxa"/>
              <w:bottom w:w="100" w:type="dxa"/>
              <w:left w:w="100" w:type="dxa"/>
              <w:right w:w="100" w:type="dxa"/>
            </w:tcMar>
          </w:tcPr>
          <w:p>
            <w:pPr>
              <w:jc w:val="center"/>
            </w:pPr>
            <w:r>
              <w:rPr>
                <w:rFonts w:ascii="Arial" w:hAnsi="Arial"/>
                <w:b/>
                <w:color w:val="FFFFFF"/>
                <w:sz w:val="19"/>
              </w:rPr>
              <w:t>Tool Name</w:t>
            </w:r>
          </w:p>
        </w:tc>
        <w:tc>
          <w:tcPr>
            <w:tcW w:type="dxa" w:w="2592"/>
            <w:shd w:fill="184C78"/>
            <w:tcMar>
              <w:top w:w="100" w:type="dxa"/>
              <w:bottom w:w="100" w:type="dxa"/>
              <w:left w:w="100" w:type="dxa"/>
              <w:right w:w="100" w:type="dxa"/>
            </w:tcMar>
          </w:tcPr>
          <w:p>
            <w:pPr>
              <w:jc w:val="center"/>
            </w:pPr>
            <w:r>
              <w:rPr>
                <w:rFonts w:ascii="Arial" w:hAnsi="Arial"/>
                <w:b/>
                <w:color w:val="FFFFFF"/>
                <w:sz w:val="19"/>
              </w:rPr>
              <w:t>Domain</w:t>
            </w:r>
          </w:p>
        </w:tc>
        <w:tc>
          <w:tcPr>
            <w:tcW w:type="dxa" w:w="3168"/>
            <w:shd w:fill="184C78"/>
            <w:tcMar>
              <w:top w:w="100" w:type="dxa"/>
              <w:bottom w:w="100" w:type="dxa"/>
              <w:left w:w="100" w:type="dxa"/>
              <w:right w:w="100" w:type="dxa"/>
            </w:tcMar>
          </w:tcPr>
          <w:p>
            <w:pPr>
              <w:jc w:val="center"/>
            </w:pPr>
            <w:r>
              <w:rPr>
                <w:rFonts w:ascii="Arial" w:hAnsi="Arial"/>
                <w:b/>
                <w:color w:val="FFFFFF"/>
                <w:sz w:val="19"/>
              </w:rPr>
              <w:t>Primary Strength</w:t>
            </w:r>
          </w:p>
        </w:tc>
        <w:tc>
          <w:tcPr>
            <w:tcW w:type="dxa" w:w="2160"/>
            <w:shd w:fill="184C78"/>
            <w:tcMar>
              <w:top w:w="100" w:type="dxa"/>
              <w:bottom w:w="100" w:type="dxa"/>
              <w:left w:w="100" w:type="dxa"/>
              <w:right w:w="100" w:type="dxa"/>
            </w:tcMar>
          </w:tcPr>
          <w:p>
            <w:pPr>
              <w:jc w:val="center"/>
            </w:pPr>
            <w:r>
              <w:rPr>
                <w:rFonts w:ascii="Arial" w:hAnsi="Arial"/>
                <w:b/>
                <w:color w:val="FFFFFF"/>
                <w:sz w:val="19"/>
              </w:rPr>
              <w:t>Ideal User Profile</w:t>
            </w:r>
          </w:p>
        </w:tc>
      </w:tr>
      <w:tr>
        <w:tc>
          <w:tcPr>
            <w:tcW w:type="dxa" w:w="2016"/>
            <w:shd w:fill="FFFFFF"/>
            <w:tcMar>
              <w:top w:w="80" w:type="dxa"/>
              <w:bottom w:w="80" w:type="dxa"/>
              <w:left w:w="90" w:type="dxa"/>
              <w:right w:w="90" w:type="dxa"/>
            </w:tcMar>
          </w:tcPr>
          <w:p>
            <w:pPr>
              <w:jc w:val="left"/>
            </w:pPr>
            <w:r>
              <w:rPr>
                <w:rFonts w:ascii="Arial" w:hAnsi="Arial"/>
                <w:b/>
                <w:color w:val="184C78"/>
                <w:sz w:val="18"/>
              </w:rPr>
              <w:t>Perplexity AI</w:t>
            </w:r>
          </w:p>
        </w:tc>
        <w:tc>
          <w:tcPr>
            <w:tcW w:type="dxa" w:w="2592"/>
            <w:shd w:fill="FFFFFF"/>
            <w:tcMar>
              <w:top w:w="80" w:type="dxa"/>
              <w:bottom w:w="80" w:type="dxa"/>
              <w:left w:w="90" w:type="dxa"/>
              <w:right w:w="90" w:type="dxa"/>
            </w:tcMar>
          </w:tcPr>
          <w:p>
            <w:pPr>
              <w:jc w:val="left"/>
            </w:pPr>
            <w:r>
              <w:rPr>
                <w:rFonts w:ascii="Arial" w:hAnsi="Arial"/>
                <w:color w:val="282C34"/>
                <w:sz w:val="18"/>
              </w:rPr>
              <w:t>Education &amp; Research</w:t>
            </w:r>
          </w:p>
        </w:tc>
        <w:tc>
          <w:tcPr>
            <w:tcW w:type="dxa" w:w="3168"/>
            <w:shd w:fill="FFFFFF"/>
            <w:tcMar>
              <w:top w:w="80" w:type="dxa"/>
              <w:bottom w:w="80" w:type="dxa"/>
              <w:left w:w="90" w:type="dxa"/>
              <w:right w:w="90" w:type="dxa"/>
            </w:tcMar>
          </w:tcPr>
          <w:p>
            <w:pPr>
              <w:jc w:val="left"/>
            </w:pPr>
            <w:r>
              <w:rPr>
                <w:rFonts w:ascii="Arial" w:hAnsi="Arial"/>
                <w:color w:val="282C34"/>
                <w:sz w:val="18"/>
              </w:rPr>
              <w:t>Real-time citation synthesis &amp; academic filtering</w:t>
            </w:r>
          </w:p>
        </w:tc>
        <w:tc>
          <w:tcPr>
            <w:tcW w:type="dxa" w:w="2160"/>
            <w:shd w:fill="FFFFFF"/>
            <w:tcMar>
              <w:top w:w="80" w:type="dxa"/>
              <w:bottom w:w="80" w:type="dxa"/>
              <w:left w:w="90" w:type="dxa"/>
              <w:right w:w="90" w:type="dxa"/>
            </w:tcMar>
          </w:tcPr>
          <w:p>
            <w:pPr>
              <w:jc w:val="left"/>
            </w:pPr>
            <w:r>
              <w:rPr>
                <w:rFonts w:ascii="Arial" w:hAnsi="Arial"/>
                <w:color w:val="282C34"/>
                <w:sz w:val="18"/>
              </w:rPr>
              <w:t>Students, Researchers, Analysts</w:t>
            </w:r>
          </w:p>
        </w:tc>
      </w:tr>
      <w:tr>
        <w:tc>
          <w:tcPr>
            <w:tcW w:type="dxa" w:w="2016"/>
            <w:shd w:fill="F8FAFC"/>
            <w:tcMar>
              <w:top w:w="80" w:type="dxa"/>
              <w:bottom w:w="80" w:type="dxa"/>
              <w:left w:w="90" w:type="dxa"/>
              <w:right w:w="90" w:type="dxa"/>
            </w:tcMar>
          </w:tcPr>
          <w:p>
            <w:pPr>
              <w:jc w:val="left"/>
            </w:pPr>
            <w:r>
              <w:rPr>
                <w:rFonts w:ascii="Arial" w:hAnsi="Arial"/>
                <w:b/>
                <w:color w:val="184C78"/>
                <w:sz w:val="18"/>
              </w:rPr>
              <w:t>Notion AI</w:t>
            </w:r>
          </w:p>
        </w:tc>
        <w:tc>
          <w:tcPr>
            <w:tcW w:type="dxa" w:w="2592"/>
            <w:shd w:fill="F8FAFC"/>
            <w:tcMar>
              <w:top w:w="80" w:type="dxa"/>
              <w:bottom w:w="80" w:type="dxa"/>
              <w:left w:w="90" w:type="dxa"/>
              <w:right w:w="90" w:type="dxa"/>
            </w:tcMar>
          </w:tcPr>
          <w:p>
            <w:pPr>
              <w:jc w:val="left"/>
            </w:pPr>
            <w:r>
              <w:rPr>
                <w:rFonts w:ascii="Arial" w:hAnsi="Arial"/>
                <w:color w:val="282C34"/>
                <w:sz w:val="18"/>
              </w:rPr>
              <w:t>Productivity &amp; Ops</w:t>
            </w:r>
          </w:p>
        </w:tc>
        <w:tc>
          <w:tcPr>
            <w:tcW w:type="dxa" w:w="3168"/>
            <w:shd w:fill="F8FAFC"/>
            <w:tcMar>
              <w:top w:w="80" w:type="dxa"/>
              <w:bottom w:w="80" w:type="dxa"/>
              <w:left w:w="90" w:type="dxa"/>
              <w:right w:w="90" w:type="dxa"/>
            </w:tcMar>
          </w:tcPr>
          <w:p>
            <w:pPr>
              <w:jc w:val="left"/>
            </w:pPr>
            <w:r>
              <w:rPr>
                <w:rFonts w:ascii="Arial" w:hAnsi="Arial"/>
                <w:color w:val="282C34"/>
                <w:sz w:val="18"/>
              </w:rPr>
              <w:t>Native workspace summarization &amp; custom Q&amp;A</w:t>
            </w:r>
          </w:p>
        </w:tc>
        <w:tc>
          <w:tcPr>
            <w:tcW w:type="dxa" w:w="2160"/>
            <w:shd w:fill="F8FAFC"/>
            <w:tcMar>
              <w:top w:w="80" w:type="dxa"/>
              <w:bottom w:w="80" w:type="dxa"/>
              <w:left w:w="90" w:type="dxa"/>
              <w:right w:w="90" w:type="dxa"/>
            </w:tcMar>
          </w:tcPr>
          <w:p>
            <w:pPr>
              <w:jc w:val="left"/>
            </w:pPr>
            <w:r>
              <w:rPr>
                <w:rFonts w:ascii="Arial" w:hAnsi="Arial"/>
                <w:color w:val="282C34"/>
                <w:sz w:val="18"/>
              </w:rPr>
              <w:t>Project Managers, Teams, Interns</w:t>
            </w:r>
          </w:p>
        </w:tc>
      </w:tr>
      <w:tr>
        <w:tc>
          <w:tcPr>
            <w:tcW w:type="dxa" w:w="2016"/>
            <w:shd w:fill="FFFFFF"/>
            <w:tcMar>
              <w:top w:w="80" w:type="dxa"/>
              <w:bottom w:w="80" w:type="dxa"/>
              <w:left w:w="90" w:type="dxa"/>
              <w:right w:w="90" w:type="dxa"/>
            </w:tcMar>
          </w:tcPr>
          <w:p>
            <w:pPr>
              <w:jc w:val="left"/>
            </w:pPr>
            <w:r>
              <w:rPr>
                <w:rFonts w:ascii="Arial" w:hAnsi="Arial"/>
                <w:b/>
                <w:color w:val="184C78"/>
                <w:sz w:val="18"/>
              </w:rPr>
              <w:t>Midjourney</w:t>
            </w:r>
          </w:p>
        </w:tc>
        <w:tc>
          <w:tcPr>
            <w:tcW w:type="dxa" w:w="2592"/>
            <w:shd w:fill="FFFFFF"/>
            <w:tcMar>
              <w:top w:w="80" w:type="dxa"/>
              <w:bottom w:w="80" w:type="dxa"/>
              <w:left w:w="90" w:type="dxa"/>
              <w:right w:w="90" w:type="dxa"/>
            </w:tcMar>
          </w:tcPr>
          <w:p>
            <w:pPr>
              <w:jc w:val="left"/>
            </w:pPr>
            <w:r>
              <w:rPr>
                <w:rFonts w:ascii="Arial" w:hAnsi="Arial"/>
                <w:color w:val="282C34"/>
                <w:sz w:val="18"/>
              </w:rPr>
              <w:t>Image Generation</w:t>
            </w:r>
          </w:p>
        </w:tc>
        <w:tc>
          <w:tcPr>
            <w:tcW w:type="dxa" w:w="3168"/>
            <w:shd w:fill="FFFFFF"/>
            <w:tcMar>
              <w:top w:w="80" w:type="dxa"/>
              <w:bottom w:w="80" w:type="dxa"/>
              <w:left w:w="90" w:type="dxa"/>
              <w:right w:w="90" w:type="dxa"/>
            </w:tcMar>
          </w:tcPr>
          <w:p>
            <w:pPr>
              <w:jc w:val="left"/>
            </w:pPr>
            <w:r>
              <w:rPr>
                <w:rFonts w:ascii="Arial" w:hAnsi="Arial"/>
                <w:color w:val="282C34"/>
                <w:sz w:val="18"/>
              </w:rPr>
              <w:t>Unrivaled photorealism &amp; artistic composition</w:t>
            </w:r>
          </w:p>
        </w:tc>
        <w:tc>
          <w:tcPr>
            <w:tcW w:type="dxa" w:w="2160"/>
            <w:shd w:fill="FFFFFF"/>
            <w:tcMar>
              <w:top w:w="80" w:type="dxa"/>
              <w:bottom w:w="80" w:type="dxa"/>
              <w:left w:w="90" w:type="dxa"/>
              <w:right w:w="90" w:type="dxa"/>
            </w:tcMar>
          </w:tcPr>
          <w:p>
            <w:pPr>
              <w:jc w:val="left"/>
            </w:pPr>
            <w:r>
              <w:rPr>
                <w:rFonts w:ascii="Arial" w:hAnsi="Arial"/>
                <w:color w:val="282C34"/>
                <w:sz w:val="18"/>
              </w:rPr>
              <w:t>Graphic Designers, Marketers, Artists</w:t>
            </w:r>
          </w:p>
        </w:tc>
      </w:tr>
      <w:tr>
        <w:tc>
          <w:tcPr>
            <w:tcW w:type="dxa" w:w="2016"/>
            <w:shd w:fill="F8FAFC"/>
            <w:tcMar>
              <w:top w:w="80" w:type="dxa"/>
              <w:bottom w:w="80" w:type="dxa"/>
              <w:left w:w="90" w:type="dxa"/>
              <w:right w:w="90" w:type="dxa"/>
            </w:tcMar>
          </w:tcPr>
          <w:p>
            <w:pPr>
              <w:jc w:val="left"/>
            </w:pPr>
            <w:r>
              <w:rPr>
                <w:rFonts w:ascii="Arial" w:hAnsi="Arial"/>
                <w:b/>
                <w:color w:val="184C78"/>
                <w:sz w:val="18"/>
              </w:rPr>
              <w:t>Synthesia</w:t>
            </w:r>
          </w:p>
        </w:tc>
        <w:tc>
          <w:tcPr>
            <w:tcW w:type="dxa" w:w="2592"/>
            <w:shd w:fill="F8FAFC"/>
            <w:tcMar>
              <w:top w:w="80" w:type="dxa"/>
              <w:bottom w:w="80" w:type="dxa"/>
              <w:left w:w="90" w:type="dxa"/>
              <w:right w:w="90" w:type="dxa"/>
            </w:tcMar>
          </w:tcPr>
          <w:p>
            <w:pPr>
              <w:jc w:val="left"/>
            </w:pPr>
            <w:r>
              <w:rPr>
                <w:rFonts w:ascii="Arial" w:hAnsi="Arial"/>
                <w:color w:val="282C34"/>
                <w:sz w:val="18"/>
              </w:rPr>
              <w:t>Video Creation</w:t>
            </w:r>
          </w:p>
        </w:tc>
        <w:tc>
          <w:tcPr>
            <w:tcW w:type="dxa" w:w="3168"/>
            <w:shd w:fill="F8FAFC"/>
            <w:tcMar>
              <w:top w:w="80" w:type="dxa"/>
              <w:bottom w:w="80" w:type="dxa"/>
              <w:left w:w="90" w:type="dxa"/>
              <w:right w:w="90" w:type="dxa"/>
            </w:tcMar>
          </w:tcPr>
          <w:p>
            <w:pPr>
              <w:jc w:val="left"/>
            </w:pPr>
            <w:r>
              <w:rPr>
                <w:rFonts w:ascii="Arial" w:hAnsi="Arial"/>
                <w:color w:val="282C34"/>
                <w:sz w:val="18"/>
              </w:rPr>
              <w:t>Multilingual text-to-avatar studio video</w:t>
            </w:r>
          </w:p>
        </w:tc>
        <w:tc>
          <w:tcPr>
            <w:tcW w:type="dxa" w:w="2160"/>
            <w:shd w:fill="F8FAFC"/>
            <w:tcMar>
              <w:top w:w="80" w:type="dxa"/>
              <w:bottom w:w="80" w:type="dxa"/>
              <w:left w:w="90" w:type="dxa"/>
              <w:right w:w="90" w:type="dxa"/>
            </w:tcMar>
          </w:tcPr>
          <w:p>
            <w:pPr>
              <w:jc w:val="left"/>
            </w:pPr>
            <w:r>
              <w:rPr>
                <w:rFonts w:ascii="Arial" w:hAnsi="Arial"/>
                <w:color w:val="282C34"/>
                <w:sz w:val="18"/>
              </w:rPr>
              <w:t>Educators, HR, Corporate Trainers</w:t>
            </w:r>
          </w:p>
        </w:tc>
      </w:tr>
      <w:tr>
        <w:tc>
          <w:tcPr>
            <w:tcW w:type="dxa" w:w="2016"/>
            <w:shd w:fill="FFFFFF"/>
            <w:tcMar>
              <w:top w:w="80" w:type="dxa"/>
              <w:bottom w:w="80" w:type="dxa"/>
              <w:left w:w="90" w:type="dxa"/>
              <w:right w:w="90" w:type="dxa"/>
            </w:tcMar>
          </w:tcPr>
          <w:p>
            <w:pPr>
              <w:jc w:val="left"/>
            </w:pPr>
            <w:r>
              <w:rPr>
                <w:rFonts w:ascii="Arial" w:hAnsi="Arial"/>
                <w:b/>
                <w:color w:val="184C78"/>
                <w:sz w:val="18"/>
              </w:rPr>
              <w:t>Gamma AI</w:t>
            </w:r>
          </w:p>
        </w:tc>
        <w:tc>
          <w:tcPr>
            <w:tcW w:type="dxa" w:w="2592"/>
            <w:shd w:fill="FFFFFF"/>
            <w:tcMar>
              <w:top w:w="80" w:type="dxa"/>
              <w:bottom w:w="80" w:type="dxa"/>
              <w:left w:w="90" w:type="dxa"/>
              <w:right w:w="90" w:type="dxa"/>
            </w:tcMar>
          </w:tcPr>
          <w:p>
            <w:pPr>
              <w:jc w:val="left"/>
            </w:pPr>
            <w:r>
              <w:rPr>
                <w:rFonts w:ascii="Arial" w:hAnsi="Arial"/>
                <w:color w:val="282C34"/>
                <w:sz w:val="18"/>
              </w:rPr>
              <w:t>Presentations</w:t>
            </w:r>
          </w:p>
        </w:tc>
        <w:tc>
          <w:tcPr>
            <w:tcW w:type="dxa" w:w="3168"/>
            <w:shd w:fill="FFFFFF"/>
            <w:tcMar>
              <w:top w:w="80" w:type="dxa"/>
              <w:bottom w:w="80" w:type="dxa"/>
              <w:left w:w="90" w:type="dxa"/>
              <w:right w:w="90" w:type="dxa"/>
            </w:tcMar>
          </w:tcPr>
          <w:p>
            <w:pPr>
              <w:jc w:val="left"/>
            </w:pPr>
            <w:r>
              <w:rPr>
                <w:rFonts w:ascii="Arial" w:hAnsi="Arial"/>
                <w:color w:val="282C34"/>
                <w:sz w:val="18"/>
              </w:rPr>
              <w:t>Rapid outline-to-responsive slide generation</w:t>
            </w:r>
          </w:p>
        </w:tc>
        <w:tc>
          <w:tcPr>
            <w:tcW w:type="dxa" w:w="2160"/>
            <w:shd w:fill="FFFFFF"/>
            <w:tcMar>
              <w:top w:w="80" w:type="dxa"/>
              <w:bottom w:w="80" w:type="dxa"/>
              <w:left w:w="90" w:type="dxa"/>
              <w:right w:w="90" w:type="dxa"/>
            </w:tcMar>
          </w:tcPr>
          <w:p>
            <w:pPr>
              <w:jc w:val="left"/>
            </w:pPr>
            <w:r>
              <w:rPr>
                <w:rFonts w:ascii="Arial" w:hAnsi="Arial"/>
                <w:color w:val="282C34"/>
                <w:sz w:val="18"/>
              </w:rPr>
              <w:t>Speakers, Founders, Students</w:t>
            </w:r>
          </w:p>
        </w:tc>
      </w:tr>
    </w:tbl>
    <w:p>
      <w:pPr>
        <w:spacing w:after="240"/>
      </w:pPr>
    </w:p>
    <w:p>
      <w:pPr>
        <w:pStyle w:val="Heading1"/>
      </w:pPr>
      <w:r>
        <w:rPr>
          <w:rFonts w:ascii="Arial" w:hAnsi="Arial"/>
          <w:b/>
          <w:color w:val="184C78"/>
          <w:sz w:val="30"/>
        </w:rPr>
        <w:t>4. Key Learnings &amp; Future Perspective</w:t>
      </w:r>
    </w:p>
    <w:p>
      <w:pPr>
        <w:pStyle w:val="ListBullet"/>
        <w:spacing w:after="80"/>
      </w:pPr>
      <w:r>
        <w:rPr>
          <w:rFonts w:ascii="Arial" w:hAnsi="Arial"/>
          <w:b/>
          <w:color w:val="184C78"/>
          <w:sz w:val="20"/>
        </w:rPr>
        <w:t xml:space="preserve">Specialization Outperforms Generalization: </w:t>
      </w:r>
      <w:r>
        <w:rPr>
          <w:rFonts w:ascii="Arial" w:hAnsi="Arial"/>
          <w:color w:val="282C34"/>
          <w:sz w:val="20"/>
        </w:rPr>
        <w:t>While broad LLMs provide generic answers, specialized tools (e.g., Perplexity for academic citations or Gamma for slide layouts) offer tailored user interfaces that drastically reduce friction.</w:t>
      </w:r>
    </w:p>
    <w:p>
      <w:pPr>
        <w:pStyle w:val="ListBullet"/>
        <w:spacing w:after="80"/>
      </w:pPr>
      <w:r>
        <w:rPr>
          <w:rFonts w:ascii="Arial" w:hAnsi="Arial"/>
          <w:b/>
          <w:color w:val="184C78"/>
          <w:sz w:val="20"/>
        </w:rPr>
        <w:t xml:space="preserve">Multi-Modal Synergies: </w:t>
      </w:r>
      <w:r>
        <w:rPr>
          <w:rFonts w:ascii="Arial" w:hAnsi="Arial"/>
          <w:color w:val="282C34"/>
          <w:sz w:val="20"/>
        </w:rPr>
        <w:t>Modern workflows combine multiple AI tools—using Perplexity for research, Notion AI for outlining, Midjourney for custom graphics, Synthesia for narration, and Gamma for presentation.</w:t>
      </w:r>
    </w:p>
    <w:p>
      <w:pPr>
        <w:pStyle w:val="ListBullet"/>
        <w:spacing w:after="80"/>
      </w:pPr>
      <w:r>
        <w:rPr>
          <w:rFonts w:ascii="Arial" w:hAnsi="Arial"/>
          <w:b/>
          <w:color w:val="184C78"/>
          <w:sz w:val="20"/>
        </w:rPr>
        <w:t xml:space="preserve">Human Oversight Remains Paramount: </w:t>
      </w:r>
      <w:r>
        <w:rPr>
          <w:rFonts w:ascii="Arial" w:hAnsi="Arial"/>
          <w:color w:val="282C34"/>
          <w:sz w:val="20"/>
        </w:rPr>
        <w:t>AI accelerates drafting and synthesis, but human critical evaluation is essential to verify facts, maintain brand tone, and ensure ethical authenticity.</w:t>
      </w:r>
    </w:p>
    <w:p>
      <w:pPr>
        <w:spacing w:after="200"/>
      </w:pPr>
    </w:p>
    <w:tbl>
      <w:tblPr>
        <w:tblW w:type="auto" w:w="0"/>
        <w:jc w:val="center"/>
        <w:tblLook w:firstColumn="1" w:firstRow="1" w:lastColumn="0" w:lastRow="0" w:noHBand="0" w:noVBand="1" w:val="04A0"/>
      </w:tblPr>
      <w:tblGrid>
        <w:gridCol w:w="9936"/>
      </w:tblGrid>
      <w:tr>
        <w:tc>
          <w:tcPr>
            <w:tcW w:type="dxa" w:w="9936"/>
            <w:shd w:fill="E6FFFA"/>
            <w:tcMar>
              <w:top w:w="120" w:type="dxa"/>
              <w:bottom w:w="120" w:type="dxa"/>
              <w:left w:w="150" w:type="dxa"/>
              <w:right w:w="150" w:type="dxa"/>
            </w:tcMar>
          </w:tcPr>
          <w:p>
            <w:r>
              <w:rPr>
                <w:rFonts w:ascii="Arial" w:hAnsi="Arial"/>
                <w:b/>
                <w:color w:val="0D9488"/>
                <w:sz w:val="21"/>
              </w:rPr>
              <w:t>Internship Submission Acknowledgment</w:t>
              <w:br/>
            </w:r>
            <w:r>
              <w:rPr>
                <w:rFonts w:ascii="Arial" w:hAnsi="Arial"/>
                <w:color w:val="282C34"/>
                <w:sz w:val="19"/>
              </w:rPr>
              <w:t>This project report was prepared by Prajin K as part of Task 1 (AI Tools Discovery) for the InAmigos Foundation Internship. All associated presentation assets, markdown repositories, and deliverables are archived in the designated Google Drive and GitHub repository.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