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8E934" w14:textId="5574FB32" w:rsidR="00F41833" w:rsidRPr="00DB329A" w:rsidRDefault="2E6C0353" w:rsidP="00BB5FF0">
      <w:pPr>
        <w:spacing w:before="240" w:after="240" w:line="276" w:lineRule="auto"/>
        <w:jc w:val="center"/>
        <w:rPr>
          <w:rFonts w:ascii="Calibri" w:hAnsi="Calibri" w:cs="Calibri"/>
        </w:rPr>
      </w:pPr>
      <w:r w:rsidRPr="00DB329A">
        <w:rPr>
          <w:rFonts w:ascii="Calibri" w:hAnsi="Calibri" w:cs="Calibri"/>
          <w:noProof/>
        </w:rPr>
        <w:drawing>
          <wp:inline distT="0" distB="0" distL="0" distR="0" wp14:anchorId="58F15BE0" wp14:editId="6AF74CF6">
            <wp:extent cx="2324220" cy="1003352"/>
            <wp:effectExtent l="0" t="0" r="0" b="0"/>
            <wp:docPr id="360561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61580" name="Picture 360561580"/>
                    <pic:cNvPicPr/>
                  </pic:nvPicPr>
                  <pic:blipFill>
                    <a:blip r:embed="rId6">
                      <a:extLst>
                        <a:ext uri="{28A0092B-C50C-407E-A947-70E740481C1C}">
                          <a14:useLocalDpi xmlns:a14="http://schemas.microsoft.com/office/drawing/2010/main"/>
                        </a:ext>
                      </a:extLst>
                    </a:blip>
                    <a:stretch>
                      <a:fillRect/>
                    </a:stretch>
                  </pic:blipFill>
                  <pic:spPr>
                    <a:xfrm>
                      <a:off x="0" y="0"/>
                      <a:ext cx="2324220" cy="1003352"/>
                    </a:xfrm>
                    <a:prstGeom prst="rect">
                      <a:avLst/>
                    </a:prstGeom>
                  </pic:spPr>
                </pic:pic>
              </a:graphicData>
            </a:graphic>
          </wp:inline>
        </w:drawing>
      </w:r>
    </w:p>
    <w:p w14:paraId="7EC4DF16" w14:textId="41A08BAF"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sz w:val="36"/>
          <w:szCs w:val="36"/>
        </w:rPr>
        <w:t>Report on</w:t>
      </w:r>
    </w:p>
    <w:p w14:paraId="427199D8" w14:textId="39A7E3B0" w:rsidR="00F41833" w:rsidRPr="00DB329A" w:rsidRDefault="273039FA" w:rsidP="00BB5FF0">
      <w:pPr>
        <w:spacing w:line="276" w:lineRule="auto"/>
        <w:jc w:val="center"/>
        <w:rPr>
          <w:rFonts w:ascii="Calibri" w:hAnsi="Calibri" w:cs="Calibri"/>
        </w:rPr>
      </w:pPr>
      <w:r w:rsidRPr="00DB329A">
        <w:rPr>
          <w:rFonts w:ascii="Calibri" w:eastAsia="Aptos" w:hAnsi="Calibri" w:cs="Calibri"/>
          <w:b/>
          <w:bCs/>
          <w:sz w:val="32"/>
          <w:szCs w:val="32"/>
        </w:rPr>
        <w:t>QuantumShield: A Post-Quantum Cryptography Readiness Assessment Platform for Australian Healthcare SMEs</w:t>
      </w:r>
    </w:p>
    <w:p w14:paraId="16E0C9C9" w14:textId="246FAEEA" w:rsidR="00F41833" w:rsidRPr="00DB329A" w:rsidRDefault="273039FA"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sz w:val="28"/>
          <w:szCs w:val="28"/>
        </w:rPr>
        <w:t>PROF909 Information Technology Project Part A</w:t>
      </w:r>
    </w:p>
    <w:p w14:paraId="06C6EB90" w14:textId="07C103DC"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sz w:val="32"/>
          <w:szCs w:val="32"/>
        </w:rPr>
        <w:t xml:space="preserve"> </w:t>
      </w:r>
    </w:p>
    <w:p w14:paraId="7CA8A969" w14:textId="54D06608"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Submitted By:</w:t>
      </w:r>
    </w:p>
    <w:p w14:paraId="0570F03A" w14:textId="6D4DBD86"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b/>
          <w:bCs/>
          <w:color w:val="000000" w:themeColor="text1"/>
        </w:rPr>
        <w:t>Prajita Shrestha (SHEA25057)</w:t>
      </w:r>
    </w:p>
    <w:p w14:paraId="6DD650C6" w14:textId="1FD50625"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Course Code: PRO</w:t>
      </w:r>
      <w:r w:rsidR="15259852" w:rsidRPr="00DB329A">
        <w:rPr>
          <w:rFonts w:ascii="Calibri" w:eastAsia="Times New Roman" w:hAnsi="Calibri" w:cs="Calibri"/>
          <w:color w:val="000000" w:themeColor="text1"/>
        </w:rPr>
        <w:t>F909</w:t>
      </w:r>
    </w:p>
    <w:p w14:paraId="7EFA97CA" w14:textId="2C6233ED"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Master of Information Technology</w:t>
      </w:r>
    </w:p>
    <w:p w14:paraId="6ED3F5D3" w14:textId="37207114"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Submitted To:</w:t>
      </w:r>
    </w:p>
    <w:p w14:paraId="4BC8F614" w14:textId="31A08D31" w:rsidR="00F41833" w:rsidRPr="00DB329A" w:rsidRDefault="06592206" w:rsidP="00BB5FF0">
      <w:pPr>
        <w:spacing w:before="240" w:after="240" w:line="276" w:lineRule="auto"/>
        <w:jc w:val="center"/>
        <w:rPr>
          <w:rFonts w:ascii="Calibri" w:hAnsi="Calibri" w:cs="Calibri"/>
        </w:rPr>
      </w:pPr>
      <w:r w:rsidRPr="00DB329A">
        <w:rPr>
          <w:rFonts w:ascii="Calibri" w:eastAsia="Times New Roman" w:hAnsi="Calibri" w:cs="Calibri"/>
          <w:b/>
          <w:bCs/>
        </w:rPr>
        <w:t>Babak Amiri</w:t>
      </w:r>
    </w:p>
    <w:p w14:paraId="0BC74289" w14:textId="6F8986F9"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rPr>
        <w:t>Lecturer</w:t>
      </w:r>
    </w:p>
    <w:p w14:paraId="6542962E" w14:textId="0D6C4488"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Master of Information Technology</w:t>
      </w:r>
    </w:p>
    <w:p w14:paraId="7B925164" w14:textId="54439813"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color w:val="000000" w:themeColor="text1"/>
        </w:rPr>
        <w:t xml:space="preserve"> </w:t>
      </w:r>
    </w:p>
    <w:p w14:paraId="5FF1DCCA" w14:textId="6498C79D"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rPr>
        <w:t xml:space="preserve">Date of Submission: </w:t>
      </w:r>
    </w:p>
    <w:p w14:paraId="2EDBDF08" w14:textId="7B2BB3C5" w:rsidR="00F41833" w:rsidRPr="00DB329A" w:rsidRDefault="0450B506" w:rsidP="00BB5FF0">
      <w:pPr>
        <w:spacing w:before="240" w:after="240" w:line="276" w:lineRule="auto"/>
        <w:jc w:val="center"/>
        <w:rPr>
          <w:rFonts w:ascii="Calibri" w:eastAsia="Times New Roman" w:hAnsi="Calibri" w:cs="Calibri"/>
        </w:rPr>
      </w:pPr>
      <w:r w:rsidRPr="00DB329A">
        <w:rPr>
          <w:rFonts w:ascii="Calibri" w:eastAsia="Times New Roman" w:hAnsi="Calibri" w:cs="Calibri"/>
        </w:rPr>
        <w:t>Word Count:</w:t>
      </w:r>
    </w:p>
    <w:p w14:paraId="5CCE52F7" w14:textId="7439E503"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rPr>
        <w:t xml:space="preserve"> </w:t>
      </w:r>
    </w:p>
    <w:p w14:paraId="3F46773E" w14:textId="2EC7FF39" w:rsidR="00F41833" w:rsidRPr="00DB329A" w:rsidRDefault="2E6C0353" w:rsidP="00BB5FF0">
      <w:pPr>
        <w:spacing w:before="240" w:after="240" w:line="276" w:lineRule="auto"/>
        <w:jc w:val="center"/>
        <w:rPr>
          <w:rFonts w:ascii="Calibri" w:hAnsi="Calibri" w:cs="Calibri"/>
        </w:rPr>
      </w:pPr>
      <w:r w:rsidRPr="00DB329A">
        <w:rPr>
          <w:rFonts w:ascii="Calibri" w:eastAsia="Times New Roman" w:hAnsi="Calibri" w:cs="Calibri"/>
          <w:b/>
          <w:bCs/>
        </w:rPr>
        <w:t>Skyline Higher Education Australia</w:t>
      </w:r>
    </w:p>
    <w:sdt>
      <w:sdtPr>
        <w:rPr>
          <w:rFonts w:asciiTheme="minorHAnsi" w:eastAsiaTheme="minorEastAsia" w:hAnsiTheme="minorHAnsi" w:cstheme="minorBidi"/>
          <w:b w:val="0"/>
          <w:bCs w:val="0"/>
          <w:color w:val="auto"/>
          <w:sz w:val="24"/>
          <w:szCs w:val="24"/>
          <w:lang w:eastAsia="ja-JP"/>
        </w:rPr>
        <w:id w:val="493161469"/>
        <w:docPartObj>
          <w:docPartGallery w:val="Table of Contents"/>
          <w:docPartUnique/>
        </w:docPartObj>
      </w:sdtPr>
      <w:sdtEndPr>
        <w:rPr>
          <w:noProof/>
        </w:rPr>
      </w:sdtEndPr>
      <w:sdtContent>
        <w:p w14:paraId="5E4AD555" w14:textId="71EC3B7D" w:rsidR="007A5186" w:rsidRDefault="007A5186">
          <w:pPr>
            <w:pStyle w:val="TOCHeading"/>
          </w:pPr>
          <w:r>
            <w:t>Table of Contents</w:t>
          </w:r>
        </w:p>
        <w:p w14:paraId="72BAF028" w14:textId="589E0AAE" w:rsidR="007A5186" w:rsidRDefault="007A518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4740546" w:history="1">
            <w:r w:rsidRPr="00605427">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_Toc234740546 \h </w:instrText>
            </w:r>
            <w:r>
              <w:rPr>
                <w:noProof/>
                <w:webHidden/>
              </w:rPr>
            </w:r>
            <w:r>
              <w:rPr>
                <w:noProof/>
                <w:webHidden/>
              </w:rPr>
              <w:fldChar w:fldCharType="separate"/>
            </w:r>
            <w:r>
              <w:rPr>
                <w:noProof/>
                <w:webHidden/>
              </w:rPr>
              <w:t>2</w:t>
            </w:r>
            <w:r>
              <w:rPr>
                <w:noProof/>
                <w:webHidden/>
              </w:rPr>
              <w:fldChar w:fldCharType="end"/>
            </w:r>
          </w:hyperlink>
        </w:p>
        <w:p w14:paraId="089C1257" w14:textId="78D8605F" w:rsidR="007A5186" w:rsidRDefault="007A5186">
          <w:pPr>
            <w:pStyle w:val="TOC1"/>
            <w:tabs>
              <w:tab w:val="right" w:leader="dot" w:pos="9350"/>
            </w:tabs>
            <w:rPr>
              <w:noProof/>
            </w:rPr>
          </w:pPr>
          <w:hyperlink w:anchor="_Toc234740547" w:history="1">
            <w:r w:rsidRPr="00605427">
              <w:rPr>
                <w:rStyle w:val="Hyperlink"/>
                <w:rFonts w:ascii="Calibri" w:hAnsi="Calibri" w:cs="Calibri"/>
                <w:noProof/>
              </w:rPr>
              <w:t>Industry &amp; Evidence Review (thematic)</w:t>
            </w:r>
            <w:r>
              <w:rPr>
                <w:noProof/>
                <w:webHidden/>
              </w:rPr>
              <w:tab/>
            </w:r>
            <w:r>
              <w:rPr>
                <w:noProof/>
                <w:webHidden/>
              </w:rPr>
              <w:fldChar w:fldCharType="begin"/>
            </w:r>
            <w:r>
              <w:rPr>
                <w:noProof/>
                <w:webHidden/>
              </w:rPr>
              <w:instrText xml:space="preserve"> PAGEREF _Toc234740547 \h </w:instrText>
            </w:r>
            <w:r>
              <w:rPr>
                <w:noProof/>
                <w:webHidden/>
              </w:rPr>
            </w:r>
            <w:r>
              <w:rPr>
                <w:noProof/>
                <w:webHidden/>
              </w:rPr>
              <w:fldChar w:fldCharType="separate"/>
            </w:r>
            <w:r>
              <w:rPr>
                <w:noProof/>
                <w:webHidden/>
              </w:rPr>
              <w:t>2</w:t>
            </w:r>
            <w:r>
              <w:rPr>
                <w:noProof/>
                <w:webHidden/>
              </w:rPr>
              <w:fldChar w:fldCharType="end"/>
            </w:r>
          </w:hyperlink>
        </w:p>
        <w:p w14:paraId="667844FB" w14:textId="3EF4F306" w:rsidR="007A5186" w:rsidRDefault="007A5186">
          <w:pPr>
            <w:pStyle w:val="TOC1"/>
            <w:tabs>
              <w:tab w:val="right" w:leader="dot" w:pos="9350"/>
            </w:tabs>
            <w:rPr>
              <w:noProof/>
            </w:rPr>
          </w:pPr>
          <w:hyperlink w:anchor="_Toc234740548" w:history="1">
            <w:r w:rsidRPr="00605427">
              <w:rPr>
                <w:rStyle w:val="Hyperlink"/>
                <w:rFonts w:ascii="Calibri" w:hAnsi="Calibri" w:cs="Calibri"/>
                <w:noProof/>
              </w:rPr>
              <w:t>Gap analysis using selected frameworks</w:t>
            </w:r>
            <w:r>
              <w:rPr>
                <w:noProof/>
                <w:webHidden/>
              </w:rPr>
              <w:tab/>
            </w:r>
            <w:r>
              <w:rPr>
                <w:noProof/>
                <w:webHidden/>
              </w:rPr>
              <w:fldChar w:fldCharType="begin"/>
            </w:r>
            <w:r>
              <w:rPr>
                <w:noProof/>
                <w:webHidden/>
              </w:rPr>
              <w:instrText xml:space="preserve"> PAGEREF _Toc234740548 \h </w:instrText>
            </w:r>
            <w:r>
              <w:rPr>
                <w:noProof/>
                <w:webHidden/>
              </w:rPr>
            </w:r>
            <w:r>
              <w:rPr>
                <w:noProof/>
                <w:webHidden/>
              </w:rPr>
              <w:fldChar w:fldCharType="separate"/>
            </w:r>
            <w:r>
              <w:rPr>
                <w:noProof/>
                <w:webHidden/>
              </w:rPr>
              <w:t>9</w:t>
            </w:r>
            <w:r>
              <w:rPr>
                <w:noProof/>
                <w:webHidden/>
              </w:rPr>
              <w:fldChar w:fldCharType="end"/>
            </w:r>
          </w:hyperlink>
        </w:p>
        <w:p w14:paraId="2EFB45EC" w14:textId="0940DF48" w:rsidR="007A5186" w:rsidRDefault="007A5186">
          <w:pPr>
            <w:pStyle w:val="TOC1"/>
            <w:tabs>
              <w:tab w:val="right" w:leader="dot" w:pos="9350"/>
            </w:tabs>
            <w:rPr>
              <w:noProof/>
            </w:rPr>
          </w:pPr>
          <w:hyperlink w:anchor="_Toc234740549" w:history="1">
            <w:r w:rsidRPr="00605427">
              <w:rPr>
                <w:rStyle w:val="Hyperlink"/>
                <w:rFonts w:ascii="Calibri" w:hAnsi="Calibri" w:cs="Calibri"/>
                <w:noProof/>
              </w:rPr>
              <w:t>Ethical and sustainability considerations</w:t>
            </w:r>
            <w:r>
              <w:rPr>
                <w:noProof/>
                <w:webHidden/>
              </w:rPr>
              <w:tab/>
            </w:r>
            <w:r>
              <w:rPr>
                <w:noProof/>
                <w:webHidden/>
              </w:rPr>
              <w:fldChar w:fldCharType="begin"/>
            </w:r>
            <w:r>
              <w:rPr>
                <w:noProof/>
                <w:webHidden/>
              </w:rPr>
              <w:instrText xml:space="preserve"> PAGEREF _Toc234740549 \h </w:instrText>
            </w:r>
            <w:r>
              <w:rPr>
                <w:noProof/>
                <w:webHidden/>
              </w:rPr>
            </w:r>
            <w:r>
              <w:rPr>
                <w:noProof/>
                <w:webHidden/>
              </w:rPr>
              <w:fldChar w:fldCharType="separate"/>
            </w:r>
            <w:r>
              <w:rPr>
                <w:noProof/>
                <w:webHidden/>
              </w:rPr>
              <w:t>9</w:t>
            </w:r>
            <w:r>
              <w:rPr>
                <w:noProof/>
                <w:webHidden/>
              </w:rPr>
              <w:fldChar w:fldCharType="end"/>
            </w:r>
          </w:hyperlink>
        </w:p>
        <w:p w14:paraId="78B6486C" w14:textId="78240027" w:rsidR="007A5186" w:rsidRDefault="007A5186">
          <w:pPr>
            <w:pStyle w:val="TOC1"/>
            <w:tabs>
              <w:tab w:val="right" w:leader="dot" w:pos="9350"/>
            </w:tabs>
            <w:rPr>
              <w:noProof/>
            </w:rPr>
          </w:pPr>
          <w:hyperlink w:anchor="_Toc234740550" w:history="1">
            <w:r w:rsidRPr="00605427">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_Toc234740550 \h </w:instrText>
            </w:r>
            <w:r>
              <w:rPr>
                <w:noProof/>
                <w:webHidden/>
              </w:rPr>
            </w:r>
            <w:r>
              <w:rPr>
                <w:noProof/>
                <w:webHidden/>
              </w:rPr>
              <w:fldChar w:fldCharType="separate"/>
            </w:r>
            <w:r>
              <w:rPr>
                <w:noProof/>
                <w:webHidden/>
              </w:rPr>
              <w:t>10</w:t>
            </w:r>
            <w:r>
              <w:rPr>
                <w:noProof/>
                <w:webHidden/>
              </w:rPr>
              <w:fldChar w:fldCharType="end"/>
            </w:r>
          </w:hyperlink>
        </w:p>
        <w:p w14:paraId="04054156" w14:textId="2167D2CE" w:rsidR="007A5186" w:rsidRDefault="007A5186">
          <w:pPr>
            <w:pStyle w:val="TOC1"/>
            <w:tabs>
              <w:tab w:val="right" w:leader="dot" w:pos="9350"/>
            </w:tabs>
            <w:rPr>
              <w:noProof/>
            </w:rPr>
          </w:pPr>
          <w:hyperlink w:anchor="_Toc234740551" w:history="1">
            <w:r w:rsidRPr="00605427">
              <w:rPr>
                <w:rStyle w:val="Hyperlink"/>
                <w:noProof/>
              </w:rPr>
              <w:t>Bibliography</w:t>
            </w:r>
            <w:r>
              <w:rPr>
                <w:noProof/>
                <w:webHidden/>
              </w:rPr>
              <w:tab/>
            </w:r>
            <w:r>
              <w:rPr>
                <w:noProof/>
                <w:webHidden/>
              </w:rPr>
              <w:fldChar w:fldCharType="begin"/>
            </w:r>
            <w:r>
              <w:rPr>
                <w:noProof/>
                <w:webHidden/>
              </w:rPr>
              <w:instrText xml:space="preserve"> PAGEREF _Toc234740551 \h </w:instrText>
            </w:r>
            <w:r>
              <w:rPr>
                <w:noProof/>
                <w:webHidden/>
              </w:rPr>
            </w:r>
            <w:r>
              <w:rPr>
                <w:noProof/>
                <w:webHidden/>
              </w:rPr>
              <w:fldChar w:fldCharType="separate"/>
            </w:r>
            <w:r>
              <w:rPr>
                <w:noProof/>
                <w:webHidden/>
              </w:rPr>
              <w:t>11</w:t>
            </w:r>
            <w:r>
              <w:rPr>
                <w:noProof/>
                <w:webHidden/>
              </w:rPr>
              <w:fldChar w:fldCharType="end"/>
            </w:r>
          </w:hyperlink>
        </w:p>
        <w:p w14:paraId="58A83B82" w14:textId="006E9781" w:rsidR="007A5186" w:rsidRDefault="007A5186">
          <w:pPr>
            <w:pStyle w:val="TOC1"/>
            <w:tabs>
              <w:tab w:val="right" w:leader="dot" w:pos="9350"/>
            </w:tabs>
            <w:rPr>
              <w:noProof/>
            </w:rPr>
          </w:pPr>
          <w:hyperlink w:anchor="_Toc234740552" w:history="1">
            <w:r w:rsidRPr="00605427">
              <w:rPr>
                <w:rStyle w:val="Hyperlink"/>
                <w:rFonts w:ascii="Calibri" w:hAnsi="Calibri" w:cs="Calibri"/>
                <w:noProof/>
              </w:rPr>
              <w:t>Appendix A – Project Charter</w:t>
            </w:r>
            <w:r>
              <w:rPr>
                <w:noProof/>
                <w:webHidden/>
              </w:rPr>
              <w:tab/>
            </w:r>
            <w:r>
              <w:rPr>
                <w:noProof/>
                <w:webHidden/>
              </w:rPr>
              <w:fldChar w:fldCharType="begin"/>
            </w:r>
            <w:r>
              <w:rPr>
                <w:noProof/>
                <w:webHidden/>
              </w:rPr>
              <w:instrText xml:space="preserve"> PAGEREF _Toc234740552 \h </w:instrText>
            </w:r>
            <w:r>
              <w:rPr>
                <w:noProof/>
                <w:webHidden/>
              </w:rPr>
            </w:r>
            <w:r>
              <w:rPr>
                <w:noProof/>
                <w:webHidden/>
              </w:rPr>
              <w:fldChar w:fldCharType="separate"/>
            </w:r>
            <w:r>
              <w:rPr>
                <w:noProof/>
                <w:webHidden/>
              </w:rPr>
              <w:t>13</w:t>
            </w:r>
            <w:r>
              <w:rPr>
                <w:noProof/>
                <w:webHidden/>
              </w:rPr>
              <w:fldChar w:fldCharType="end"/>
            </w:r>
          </w:hyperlink>
        </w:p>
        <w:p w14:paraId="48FFDE11" w14:textId="5DF9DE3B" w:rsidR="007A5186" w:rsidRDefault="007A5186">
          <w:pPr>
            <w:pStyle w:val="TOC1"/>
            <w:tabs>
              <w:tab w:val="right" w:leader="dot" w:pos="9350"/>
            </w:tabs>
            <w:rPr>
              <w:noProof/>
            </w:rPr>
          </w:pPr>
          <w:hyperlink w:anchor="_Toc234740553" w:history="1">
            <w:r w:rsidRPr="00605427">
              <w:rPr>
                <w:rStyle w:val="Hyperlink"/>
                <w:rFonts w:ascii="Calibri" w:hAnsi="Calibri" w:cs="Calibri"/>
                <w:noProof/>
              </w:rPr>
              <w:t>Appendix B — Executive Brief</w:t>
            </w:r>
            <w:r>
              <w:rPr>
                <w:noProof/>
                <w:webHidden/>
              </w:rPr>
              <w:tab/>
            </w:r>
            <w:r>
              <w:rPr>
                <w:noProof/>
                <w:webHidden/>
              </w:rPr>
              <w:fldChar w:fldCharType="begin"/>
            </w:r>
            <w:r>
              <w:rPr>
                <w:noProof/>
                <w:webHidden/>
              </w:rPr>
              <w:instrText xml:space="preserve"> PAGEREF _Toc234740553 \h </w:instrText>
            </w:r>
            <w:r>
              <w:rPr>
                <w:noProof/>
                <w:webHidden/>
              </w:rPr>
            </w:r>
            <w:r>
              <w:rPr>
                <w:noProof/>
                <w:webHidden/>
              </w:rPr>
              <w:fldChar w:fldCharType="separate"/>
            </w:r>
            <w:r>
              <w:rPr>
                <w:noProof/>
                <w:webHidden/>
              </w:rPr>
              <w:t>16</w:t>
            </w:r>
            <w:r>
              <w:rPr>
                <w:noProof/>
                <w:webHidden/>
              </w:rPr>
              <w:fldChar w:fldCharType="end"/>
            </w:r>
          </w:hyperlink>
        </w:p>
        <w:p w14:paraId="1AF704F9" w14:textId="11FE6FEB" w:rsidR="007A5186" w:rsidRDefault="007A5186">
          <w:pPr>
            <w:pStyle w:val="TOC1"/>
            <w:tabs>
              <w:tab w:val="right" w:leader="dot" w:pos="9350"/>
            </w:tabs>
            <w:rPr>
              <w:noProof/>
            </w:rPr>
          </w:pPr>
          <w:hyperlink w:anchor="_Toc234740554" w:history="1">
            <w:r w:rsidRPr="00605427">
              <w:rPr>
                <w:rStyle w:val="Hyperlink"/>
                <w:rFonts w:ascii="Calibri" w:hAnsi="Calibri" w:cs="Calibri"/>
                <w:noProof/>
              </w:rPr>
              <w:t>Appendix C — Search Strategy (PRISMA lite)</w:t>
            </w:r>
            <w:r>
              <w:rPr>
                <w:noProof/>
                <w:webHidden/>
              </w:rPr>
              <w:tab/>
            </w:r>
            <w:r>
              <w:rPr>
                <w:noProof/>
                <w:webHidden/>
              </w:rPr>
              <w:fldChar w:fldCharType="begin"/>
            </w:r>
            <w:r>
              <w:rPr>
                <w:noProof/>
                <w:webHidden/>
              </w:rPr>
              <w:instrText xml:space="preserve"> PAGEREF _Toc234740554 \h </w:instrText>
            </w:r>
            <w:r>
              <w:rPr>
                <w:noProof/>
                <w:webHidden/>
              </w:rPr>
            </w:r>
            <w:r>
              <w:rPr>
                <w:noProof/>
                <w:webHidden/>
              </w:rPr>
              <w:fldChar w:fldCharType="separate"/>
            </w:r>
            <w:r>
              <w:rPr>
                <w:noProof/>
                <w:webHidden/>
              </w:rPr>
              <w:t>17</w:t>
            </w:r>
            <w:r>
              <w:rPr>
                <w:noProof/>
                <w:webHidden/>
              </w:rPr>
              <w:fldChar w:fldCharType="end"/>
            </w:r>
          </w:hyperlink>
        </w:p>
        <w:p w14:paraId="11869349" w14:textId="62121F1D" w:rsidR="007A5186" w:rsidRDefault="007A5186">
          <w:pPr>
            <w:pStyle w:val="TOC1"/>
            <w:tabs>
              <w:tab w:val="right" w:leader="dot" w:pos="9350"/>
            </w:tabs>
            <w:rPr>
              <w:noProof/>
            </w:rPr>
          </w:pPr>
          <w:hyperlink w:anchor="_Toc234740555" w:history="1">
            <w:r w:rsidRPr="00605427">
              <w:rPr>
                <w:rStyle w:val="Hyperlink"/>
                <w:rFonts w:ascii="Calibri" w:hAnsi="Calibri" w:cs="Calibri"/>
                <w:noProof/>
              </w:rPr>
              <w:t>Appendix D — Concept Matrix</w:t>
            </w:r>
            <w:r>
              <w:rPr>
                <w:noProof/>
                <w:webHidden/>
              </w:rPr>
              <w:tab/>
            </w:r>
            <w:r>
              <w:rPr>
                <w:noProof/>
                <w:webHidden/>
              </w:rPr>
              <w:fldChar w:fldCharType="begin"/>
            </w:r>
            <w:r>
              <w:rPr>
                <w:noProof/>
                <w:webHidden/>
              </w:rPr>
              <w:instrText xml:space="preserve"> PAGEREF _Toc234740555 \h </w:instrText>
            </w:r>
            <w:r>
              <w:rPr>
                <w:noProof/>
                <w:webHidden/>
              </w:rPr>
            </w:r>
            <w:r>
              <w:rPr>
                <w:noProof/>
                <w:webHidden/>
              </w:rPr>
              <w:fldChar w:fldCharType="separate"/>
            </w:r>
            <w:r>
              <w:rPr>
                <w:noProof/>
                <w:webHidden/>
              </w:rPr>
              <w:t>19</w:t>
            </w:r>
            <w:r>
              <w:rPr>
                <w:noProof/>
                <w:webHidden/>
              </w:rPr>
              <w:fldChar w:fldCharType="end"/>
            </w:r>
          </w:hyperlink>
        </w:p>
        <w:p w14:paraId="72CD0E4A" w14:textId="03B7E973" w:rsidR="007A5186" w:rsidRDefault="007A5186">
          <w:pPr>
            <w:pStyle w:val="TOC1"/>
            <w:tabs>
              <w:tab w:val="right" w:leader="dot" w:pos="9350"/>
            </w:tabs>
            <w:rPr>
              <w:noProof/>
            </w:rPr>
          </w:pPr>
          <w:hyperlink w:anchor="_Toc234740556" w:history="1">
            <w:r w:rsidRPr="00605427">
              <w:rPr>
                <w:rStyle w:val="Hyperlink"/>
                <w:rFonts w:ascii="Calibri" w:hAnsi="Calibri" w:cs="Calibri"/>
                <w:noProof/>
              </w:rPr>
              <w:t>Appendix E — AI Use Statement</w:t>
            </w:r>
            <w:r>
              <w:rPr>
                <w:noProof/>
                <w:webHidden/>
              </w:rPr>
              <w:tab/>
            </w:r>
            <w:r>
              <w:rPr>
                <w:noProof/>
                <w:webHidden/>
              </w:rPr>
              <w:fldChar w:fldCharType="begin"/>
            </w:r>
            <w:r>
              <w:rPr>
                <w:noProof/>
                <w:webHidden/>
              </w:rPr>
              <w:instrText xml:space="preserve"> PAGEREF _Toc234740556 \h </w:instrText>
            </w:r>
            <w:r>
              <w:rPr>
                <w:noProof/>
                <w:webHidden/>
              </w:rPr>
            </w:r>
            <w:r>
              <w:rPr>
                <w:noProof/>
                <w:webHidden/>
              </w:rPr>
              <w:fldChar w:fldCharType="separate"/>
            </w:r>
            <w:r>
              <w:rPr>
                <w:noProof/>
                <w:webHidden/>
              </w:rPr>
              <w:t>21</w:t>
            </w:r>
            <w:r>
              <w:rPr>
                <w:noProof/>
                <w:webHidden/>
              </w:rPr>
              <w:fldChar w:fldCharType="end"/>
            </w:r>
          </w:hyperlink>
        </w:p>
        <w:p w14:paraId="77E70D72" w14:textId="4183A20A" w:rsidR="007A5186" w:rsidRDefault="007A5186">
          <w:r>
            <w:rPr>
              <w:b/>
              <w:bCs/>
              <w:noProof/>
            </w:rPr>
            <w:fldChar w:fldCharType="end"/>
          </w:r>
        </w:p>
      </w:sdtContent>
    </w:sdt>
    <w:p w14:paraId="550A84B9" w14:textId="77777777" w:rsidR="007A5186" w:rsidRDefault="007A5186" w:rsidP="00BB5FF0">
      <w:pPr>
        <w:pStyle w:val="Heading1"/>
        <w:spacing w:line="276" w:lineRule="auto"/>
        <w:rPr>
          <w:rFonts w:ascii="Calibri" w:hAnsi="Calibri" w:cs="Calibri"/>
        </w:rPr>
      </w:pPr>
    </w:p>
    <w:p w14:paraId="7DC55026" w14:textId="4AB4A229" w:rsidR="007A5186" w:rsidRDefault="007A5186" w:rsidP="00BB5FF0">
      <w:pPr>
        <w:pStyle w:val="Heading1"/>
        <w:spacing w:line="276" w:lineRule="auto"/>
        <w:rPr>
          <w:rFonts w:ascii="Calibri" w:hAnsi="Calibri" w:cs="Calibri"/>
        </w:rPr>
      </w:pPr>
      <w:bookmarkStart w:id="0" w:name="_Toc234740546"/>
      <w:r>
        <w:rPr>
          <w:rFonts w:ascii="Calibri" w:hAnsi="Calibri" w:cs="Calibri"/>
        </w:rPr>
        <w:br w:type="page"/>
      </w:r>
    </w:p>
    <w:p w14:paraId="2C078E63" w14:textId="2A96FF1A" w:rsidR="00F41833" w:rsidRPr="00DB329A" w:rsidRDefault="259D8D99" w:rsidP="00BB5FF0">
      <w:pPr>
        <w:pStyle w:val="Heading1"/>
        <w:spacing w:line="276" w:lineRule="auto"/>
        <w:rPr>
          <w:rFonts w:ascii="Calibri" w:hAnsi="Calibri" w:cs="Calibri"/>
        </w:rPr>
      </w:pPr>
      <w:r w:rsidRPr="00DB329A">
        <w:rPr>
          <w:rFonts w:ascii="Calibri" w:hAnsi="Calibri" w:cs="Calibri"/>
        </w:rPr>
        <w:lastRenderedPageBreak/>
        <w:t>Introduction</w:t>
      </w:r>
      <w:bookmarkEnd w:id="0"/>
    </w:p>
    <w:p w14:paraId="015C9037" w14:textId="7234AAD6" w:rsidR="00BB77BF" w:rsidRPr="00DB329A" w:rsidRDefault="47733539" w:rsidP="00BB5FF0">
      <w:pPr>
        <w:spacing w:line="276" w:lineRule="auto"/>
        <w:jc w:val="both"/>
        <w:rPr>
          <w:rFonts w:ascii="Calibri" w:hAnsi="Calibri" w:cs="Calibri"/>
          <w:sz w:val="22"/>
          <w:szCs w:val="22"/>
        </w:rPr>
      </w:pPr>
      <w:r w:rsidRPr="00DB329A">
        <w:rPr>
          <w:rFonts w:ascii="Calibri" w:hAnsi="Calibri" w:cs="Calibri"/>
          <w:sz w:val="22"/>
          <w:szCs w:val="22"/>
        </w:rPr>
        <w:t xml:space="preserve">The global shift towards </w:t>
      </w:r>
      <w:r w:rsidR="0E98796A" w:rsidRPr="00DB329A">
        <w:rPr>
          <w:rFonts w:ascii="Calibri" w:eastAsia="Aptos" w:hAnsi="Calibri" w:cs="Calibri"/>
          <w:sz w:val="22"/>
          <w:szCs w:val="22"/>
        </w:rPr>
        <w:t>post-quantum cryptography</w:t>
      </w:r>
      <w:r w:rsidRPr="00DB329A">
        <w:rPr>
          <w:rFonts w:ascii="Calibri" w:hAnsi="Calibri" w:cs="Calibri"/>
          <w:sz w:val="22"/>
          <w:szCs w:val="22"/>
        </w:rPr>
        <w:t xml:space="preserve"> (PQC) stands as one of the most pivotal changes in the history of cybersecurity. In August of 2024, the United States National Institute of Standards and Technology (NIST) officially published the world's first set of post-quantum cryptography standards: FIPS 203, FIPS 204, and FIPS 205 </w:t>
      </w:r>
      <w:sdt>
        <w:sdtPr>
          <w:rPr>
            <w:rFonts w:ascii="Calibri" w:hAnsi="Calibri" w:cs="Calibri"/>
            <w:sz w:val="22"/>
            <w:szCs w:val="22"/>
          </w:rPr>
          <w:id w:val="1137531382"/>
          <w:citation/>
        </w:sdtPr>
        <w:sdtEndPr/>
        <w:sdtContent>
          <w:r w:rsidR="00D65BB9">
            <w:rPr>
              <w:rFonts w:ascii="Calibri" w:hAnsi="Calibri" w:cs="Calibri"/>
              <w:sz w:val="22"/>
              <w:szCs w:val="22"/>
            </w:rPr>
            <w:fldChar w:fldCharType="begin"/>
          </w:r>
          <w:r w:rsidR="00D65BB9">
            <w:rPr>
              <w:rFonts w:ascii="Calibri" w:hAnsi="Calibri" w:cs="Calibri"/>
              <w:sz w:val="22"/>
              <w:szCs w:val="22"/>
              <w:lang w:val="en-AU"/>
            </w:rPr>
            <w:instrText xml:space="preserve"> CITATION NIS24 \l 3081 </w:instrText>
          </w:r>
          <w:r w:rsidR="00D65BB9">
            <w:rPr>
              <w:rFonts w:ascii="Calibri" w:hAnsi="Calibri" w:cs="Calibri"/>
              <w:sz w:val="22"/>
              <w:szCs w:val="22"/>
            </w:rPr>
            <w:fldChar w:fldCharType="separate"/>
          </w:r>
          <w:r w:rsidR="006075A3" w:rsidRPr="006075A3">
            <w:rPr>
              <w:rFonts w:ascii="Calibri" w:hAnsi="Calibri" w:cs="Calibri"/>
              <w:noProof/>
              <w:sz w:val="22"/>
              <w:szCs w:val="22"/>
              <w:lang w:val="en-AU"/>
            </w:rPr>
            <w:t>(NIST, 2024)</w:t>
          </w:r>
          <w:r w:rsidR="00D65BB9">
            <w:rPr>
              <w:rFonts w:ascii="Calibri" w:hAnsi="Calibri" w:cs="Calibri"/>
              <w:sz w:val="22"/>
              <w:szCs w:val="22"/>
            </w:rPr>
            <w:fldChar w:fldCharType="end"/>
          </w:r>
        </w:sdtContent>
      </w:sdt>
      <w:r w:rsidRPr="00DB329A">
        <w:rPr>
          <w:rFonts w:ascii="Calibri" w:hAnsi="Calibri" w:cs="Calibri"/>
          <w:sz w:val="22"/>
          <w:szCs w:val="22"/>
        </w:rPr>
        <w:t>. Other widely used algorithms, such as RSA and Elliptic Curve Cryptography (ECC), will be deprecated by 2030 and be disallowed entirely by 2035, making this a pressing and timely migration need for all organi</w:t>
      </w:r>
      <w:r w:rsidR="00D65BB9">
        <w:rPr>
          <w:rFonts w:ascii="Calibri" w:hAnsi="Calibri" w:cs="Calibri"/>
          <w:sz w:val="22"/>
          <w:szCs w:val="22"/>
        </w:rPr>
        <w:t>s</w:t>
      </w:r>
      <w:r w:rsidRPr="00DB329A">
        <w:rPr>
          <w:rFonts w:ascii="Calibri" w:hAnsi="Calibri" w:cs="Calibri"/>
          <w:sz w:val="22"/>
          <w:szCs w:val="22"/>
        </w:rPr>
        <w:t>ations dealing with sensitive data. Australian small and medium business</w:t>
      </w:r>
      <w:r w:rsidR="00EE7CC4" w:rsidRPr="00DB329A">
        <w:rPr>
          <w:rFonts w:ascii="Calibri" w:hAnsi="Calibri" w:cs="Calibri"/>
          <w:sz w:val="22"/>
          <w:szCs w:val="22"/>
        </w:rPr>
        <w:t>es</w:t>
      </w:r>
      <w:r w:rsidRPr="00DB329A">
        <w:rPr>
          <w:rFonts w:ascii="Calibri" w:hAnsi="Calibri" w:cs="Calibri"/>
          <w:sz w:val="22"/>
          <w:szCs w:val="22"/>
        </w:rPr>
        <w:t xml:space="preserve"> (SMEs) </w:t>
      </w:r>
      <w:r w:rsidR="00EE7CC4" w:rsidRPr="00DB329A">
        <w:rPr>
          <w:rFonts w:ascii="Calibri" w:hAnsi="Calibri" w:cs="Calibri"/>
          <w:sz w:val="22"/>
          <w:szCs w:val="22"/>
        </w:rPr>
        <w:t>are</w:t>
      </w:r>
      <w:r w:rsidRPr="00DB329A">
        <w:rPr>
          <w:rFonts w:ascii="Calibri" w:hAnsi="Calibri" w:cs="Calibri"/>
          <w:sz w:val="22"/>
          <w:szCs w:val="22"/>
        </w:rPr>
        <w:t xml:space="preserve"> far behind other industries in readiness for this change, yet large enterprises and government are starting to react to it. Very few </w:t>
      </w:r>
      <w:r w:rsidR="1E45D1A9" w:rsidRPr="00DB329A">
        <w:rPr>
          <w:rFonts w:ascii="Calibri" w:hAnsi="Calibri" w:cs="Calibri"/>
          <w:sz w:val="22"/>
          <w:szCs w:val="22"/>
        </w:rPr>
        <w:t>organi</w:t>
      </w:r>
      <w:r w:rsidR="00DB329A">
        <w:rPr>
          <w:rFonts w:ascii="Calibri" w:hAnsi="Calibri" w:cs="Calibri"/>
          <w:sz w:val="22"/>
          <w:szCs w:val="22"/>
        </w:rPr>
        <w:t>s</w:t>
      </w:r>
      <w:r w:rsidR="1E45D1A9" w:rsidRPr="00DB329A">
        <w:rPr>
          <w:rFonts w:ascii="Calibri" w:hAnsi="Calibri" w:cs="Calibri"/>
          <w:sz w:val="22"/>
          <w:szCs w:val="22"/>
        </w:rPr>
        <w:t>ations</w:t>
      </w:r>
      <w:r w:rsidRPr="00DB329A">
        <w:rPr>
          <w:rFonts w:ascii="Calibri" w:hAnsi="Calibri" w:cs="Calibri"/>
          <w:sz w:val="22"/>
          <w:szCs w:val="22"/>
        </w:rPr>
        <w:t xml:space="preserve"> around the world have a formal quantum transition plan in place (QNu Labs, 2025), and the situation is particularly challenging for SMEs, which are constrained </w:t>
      </w:r>
      <w:r w:rsidR="00DB329A">
        <w:rPr>
          <w:rFonts w:ascii="Calibri" w:hAnsi="Calibri" w:cs="Calibri"/>
          <w:sz w:val="22"/>
          <w:szCs w:val="22"/>
        </w:rPr>
        <w:t>by</w:t>
      </w:r>
      <w:r w:rsidRPr="00DB329A">
        <w:rPr>
          <w:rFonts w:ascii="Calibri" w:hAnsi="Calibri" w:cs="Calibri"/>
          <w:sz w:val="22"/>
          <w:szCs w:val="22"/>
        </w:rPr>
        <w:t xml:space="preserve"> financial resources, technical expertise</w:t>
      </w:r>
      <w:r w:rsidR="00DB329A">
        <w:rPr>
          <w:rFonts w:ascii="Calibri" w:hAnsi="Calibri" w:cs="Calibri"/>
          <w:sz w:val="22"/>
          <w:szCs w:val="22"/>
        </w:rPr>
        <w:t>,</w:t>
      </w:r>
      <w:r w:rsidRPr="00DB329A">
        <w:rPr>
          <w:rFonts w:ascii="Calibri" w:hAnsi="Calibri" w:cs="Calibri"/>
          <w:sz w:val="22"/>
          <w:szCs w:val="22"/>
        </w:rPr>
        <w:t xml:space="preserve"> and access to specialist quantum security advice </w:t>
      </w:r>
      <w:sdt>
        <w:sdtPr>
          <w:rPr>
            <w:rFonts w:ascii="Calibri" w:hAnsi="Calibri" w:cs="Calibri"/>
            <w:sz w:val="22"/>
            <w:szCs w:val="22"/>
          </w:rPr>
          <w:id w:val="144632668"/>
          <w:citation/>
        </w:sdtPr>
        <w:sdtEndPr/>
        <w:sdtContent>
          <w:r w:rsidR="00D65BB9">
            <w:rPr>
              <w:rFonts w:ascii="Calibri" w:hAnsi="Calibri" w:cs="Calibri"/>
              <w:sz w:val="22"/>
              <w:szCs w:val="22"/>
            </w:rPr>
            <w:fldChar w:fldCharType="begin"/>
          </w:r>
          <w:r w:rsidR="00D65BB9">
            <w:rPr>
              <w:rFonts w:ascii="Calibri" w:hAnsi="Calibri" w:cs="Calibri"/>
              <w:sz w:val="22"/>
              <w:szCs w:val="22"/>
              <w:lang w:val="en-AU"/>
            </w:rPr>
            <w:instrText xml:space="preserve"> CITATION OEC23 \l 3081 </w:instrText>
          </w:r>
          <w:r w:rsidR="00D65BB9">
            <w:rPr>
              <w:rFonts w:ascii="Calibri" w:hAnsi="Calibri" w:cs="Calibri"/>
              <w:sz w:val="22"/>
              <w:szCs w:val="22"/>
            </w:rPr>
            <w:fldChar w:fldCharType="separate"/>
          </w:r>
          <w:r w:rsidR="006075A3" w:rsidRPr="006075A3">
            <w:rPr>
              <w:rFonts w:ascii="Calibri" w:hAnsi="Calibri" w:cs="Calibri"/>
              <w:noProof/>
              <w:sz w:val="22"/>
              <w:szCs w:val="22"/>
              <w:lang w:val="en-AU"/>
            </w:rPr>
            <w:t>(OECD, 2023)</w:t>
          </w:r>
          <w:r w:rsidR="00D65BB9">
            <w:rPr>
              <w:rFonts w:ascii="Calibri" w:hAnsi="Calibri" w:cs="Calibri"/>
              <w:sz w:val="22"/>
              <w:szCs w:val="22"/>
            </w:rPr>
            <w:fldChar w:fldCharType="end"/>
          </w:r>
        </w:sdtContent>
      </w:sdt>
      <w:r w:rsidRPr="00DB329A">
        <w:rPr>
          <w:rFonts w:ascii="Calibri" w:hAnsi="Calibri" w:cs="Calibri"/>
          <w:sz w:val="22"/>
          <w:szCs w:val="22"/>
        </w:rPr>
        <w:t xml:space="preserve">. An additional danger is that today, banks and other financial institutions are already collecting encrypted information with the intention to decrypt it when quantum computing is ready  a danger that is not future, but present: today's 'Harvest Now, Decrypt Later' (HNDL) </w:t>
      </w:r>
      <w:sdt>
        <w:sdtPr>
          <w:rPr>
            <w:rFonts w:ascii="Calibri" w:hAnsi="Calibri" w:cs="Calibri"/>
            <w:sz w:val="22"/>
            <w:szCs w:val="22"/>
          </w:rPr>
          <w:id w:val="-451782129"/>
          <w:citation/>
        </w:sdtPr>
        <w:sdtEndPr/>
        <w:sdtContent>
          <w:r w:rsidR="00FD65FD">
            <w:rPr>
              <w:rFonts w:ascii="Calibri" w:hAnsi="Calibri" w:cs="Calibri"/>
              <w:sz w:val="22"/>
              <w:szCs w:val="22"/>
            </w:rPr>
            <w:fldChar w:fldCharType="begin"/>
          </w:r>
          <w:r w:rsidR="00FD65FD">
            <w:rPr>
              <w:rFonts w:ascii="Calibri" w:hAnsi="Calibri" w:cs="Calibri"/>
              <w:sz w:val="22"/>
              <w:szCs w:val="22"/>
              <w:lang w:val="en-AU"/>
            </w:rPr>
            <w:instrText xml:space="preserve"> CITATION Bla26 \l 3081 </w:instrText>
          </w:r>
          <w:r w:rsidR="00FD65FD">
            <w:rPr>
              <w:rFonts w:ascii="Calibri" w:hAnsi="Calibri" w:cs="Calibri"/>
              <w:sz w:val="22"/>
              <w:szCs w:val="22"/>
            </w:rPr>
            <w:fldChar w:fldCharType="separate"/>
          </w:r>
          <w:r w:rsidR="006075A3" w:rsidRPr="006075A3">
            <w:rPr>
              <w:rFonts w:ascii="Calibri" w:hAnsi="Calibri" w:cs="Calibri"/>
              <w:noProof/>
              <w:sz w:val="22"/>
              <w:szCs w:val="22"/>
              <w:lang w:val="en-AU"/>
            </w:rPr>
            <w:t>(Blanco-Romero, 2026)</w:t>
          </w:r>
          <w:r w:rsidR="00FD65FD">
            <w:rPr>
              <w:rFonts w:ascii="Calibri" w:hAnsi="Calibri" w:cs="Calibri"/>
              <w:sz w:val="22"/>
              <w:szCs w:val="22"/>
            </w:rPr>
            <w:fldChar w:fldCharType="end"/>
          </w:r>
        </w:sdtContent>
      </w:sdt>
      <w:r w:rsidRPr="00DB329A">
        <w:rPr>
          <w:rFonts w:ascii="Calibri" w:hAnsi="Calibri" w:cs="Calibri"/>
          <w:sz w:val="22"/>
          <w:szCs w:val="22"/>
        </w:rPr>
        <w:t xml:space="preserve">. This review will explore the evidence base for QuantumShield, a proposed web-based platform to assess the readiness for quantum technologies, specifically for Australian SMEs. The review brings together 20 academic and industry sources under four themes: the quantum computing threat landscape, the vulnerability of SMEs and the awareness gap, the weaknesses of current solutions, and regulatory and compliance drivers and enablers influencing the transition. A competitor feature matrix, the NIST Cybersecurity Framework 2.0 (CSF 2.0), and the Australian Signals Directorate (ASD) Essential Eight Maturity Model are used to </w:t>
      </w:r>
      <w:r w:rsidR="00EE7CC4" w:rsidRPr="00DB329A">
        <w:rPr>
          <w:rFonts w:ascii="Calibri" w:hAnsi="Calibri" w:cs="Calibri"/>
          <w:sz w:val="22"/>
          <w:szCs w:val="22"/>
        </w:rPr>
        <w:t>conduct</w:t>
      </w:r>
      <w:r w:rsidRPr="00DB329A">
        <w:rPr>
          <w:rFonts w:ascii="Calibri" w:hAnsi="Calibri" w:cs="Calibri"/>
          <w:sz w:val="22"/>
          <w:szCs w:val="22"/>
        </w:rPr>
        <w:t xml:space="preserve"> </w:t>
      </w:r>
      <w:r w:rsidR="00EE7CC4" w:rsidRPr="00DB329A">
        <w:rPr>
          <w:rFonts w:ascii="Calibri" w:hAnsi="Calibri" w:cs="Calibri"/>
          <w:sz w:val="22"/>
          <w:szCs w:val="22"/>
        </w:rPr>
        <w:t>a g</w:t>
      </w:r>
      <w:r w:rsidRPr="00DB329A">
        <w:rPr>
          <w:rFonts w:ascii="Calibri" w:hAnsi="Calibri" w:cs="Calibri"/>
          <w:sz w:val="22"/>
          <w:szCs w:val="22"/>
        </w:rPr>
        <w:t>ap analysis. Ethical and sustainability issues are considered in line with the ACS Code of Professional Ethics and Australia's AI Ethics Principles. These elements create the evidence base for QuantumShield as a timely, necessary and commercially viable solution to a significant and increasing market gap.</w:t>
      </w:r>
    </w:p>
    <w:p w14:paraId="341871C4" w14:textId="1311E5F1" w:rsidR="7C729A58" w:rsidRPr="00DB329A" w:rsidRDefault="259D8D99" w:rsidP="00BB5FF0">
      <w:pPr>
        <w:pStyle w:val="Heading1"/>
        <w:spacing w:line="276" w:lineRule="auto"/>
        <w:rPr>
          <w:rFonts w:ascii="Calibri" w:hAnsi="Calibri" w:cs="Calibri"/>
        </w:rPr>
      </w:pPr>
      <w:bookmarkStart w:id="1" w:name="_Toc234740547"/>
      <w:r w:rsidRPr="00DB329A">
        <w:rPr>
          <w:rFonts w:ascii="Calibri" w:hAnsi="Calibri" w:cs="Calibri"/>
        </w:rPr>
        <w:t>Industry &amp; Evidence Review (thematic)</w:t>
      </w:r>
      <w:bookmarkEnd w:id="1"/>
    </w:p>
    <w:p w14:paraId="4144C275" w14:textId="77777777" w:rsidR="00185F3E" w:rsidRPr="00DB329A" w:rsidRDefault="00185F3E" w:rsidP="00BB5FF0">
      <w:pPr>
        <w:pStyle w:val="font-claude-response-body"/>
        <w:spacing w:line="276" w:lineRule="auto"/>
        <w:rPr>
          <w:rStyle w:val="Strong"/>
          <w:rFonts w:ascii="Calibri" w:hAnsi="Calibri" w:cs="Calibri"/>
          <w:b w:val="0"/>
          <w:bCs w:val="0"/>
        </w:rPr>
      </w:pPr>
      <w:r w:rsidRPr="00DB329A">
        <w:rPr>
          <w:rStyle w:val="Strong"/>
          <w:rFonts w:ascii="Calibri" w:hAnsi="Calibri" w:cs="Calibri"/>
        </w:rPr>
        <w:t>Theme 1: The Quantum Computing Threat Landscape and the HNDL Urgenc</w:t>
      </w:r>
      <w:r w:rsidRPr="00DB329A">
        <w:rPr>
          <w:rStyle w:val="Strong"/>
          <w:rFonts w:ascii="Calibri" w:hAnsi="Calibri" w:cs="Calibri"/>
          <w:b w:val="0"/>
          <w:bCs w:val="0"/>
        </w:rPr>
        <w:t>y</w:t>
      </w:r>
    </w:p>
    <w:p w14:paraId="05E4CB43" w14:textId="73CD93CD" w:rsidR="00185F3E" w:rsidRPr="00DB329A" w:rsidRDefault="00185F3E" w:rsidP="00BB5FF0">
      <w:pPr>
        <w:pStyle w:val="font-claude-response-body"/>
        <w:spacing w:line="276" w:lineRule="auto"/>
        <w:jc w:val="both"/>
        <w:rPr>
          <w:rStyle w:val="Strong"/>
          <w:rFonts w:ascii="Calibri" w:hAnsi="Calibri" w:cs="Calibri"/>
          <w:b w:val="0"/>
          <w:bCs w:val="0"/>
          <w:sz w:val="22"/>
          <w:szCs w:val="22"/>
        </w:rPr>
      </w:pPr>
      <w:r w:rsidRPr="00DB329A">
        <w:rPr>
          <w:rStyle w:val="Strong"/>
          <w:rFonts w:ascii="Calibri" w:hAnsi="Calibri" w:cs="Calibri"/>
          <w:b w:val="0"/>
          <w:bCs w:val="0"/>
          <w:sz w:val="22"/>
          <w:szCs w:val="22"/>
        </w:rPr>
        <w:t xml:space="preserve">Quantum computing is a paradigm shift in cryptographic principles, which are the backbone of today's digital security. The security of classical encryption algorithms, such as the RSA algorithm and the Elliptic Curve Cryptography (ECC) algorithm, depends upon computational intractability problems that are not easily solved with classical computers; these problems are known as integer factorisation and calculating discrete logarithms, respectively. Current public-key cryptography is vulnerable to attack: quantum computers operate on the principles of superposition and entanglement and can solve these problems exponentially faster using Shor's algorithm </w:t>
      </w:r>
      <w:sdt>
        <w:sdtPr>
          <w:rPr>
            <w:rStyle w:val="Strong"/>
            <w:rFonts w:ascii="Calibri" w:hAnsi="Calibri" w:cs="Calibri"/>
            <w:b w:val="0"/>
            <w:bCs w:val="0"/>
            <w:sz w:val="22"/>
            <w:szCs w:val="22"/>
          </w:rPr>
          <w:id w:val="494386193"/>
          <w:citation/>
        </w:sdtPr>
        <w:sdtEndPr>
          <w:rPr>
            <w:rStyle w:val="Strong"/>
          </w:rPr>
        </w:sdtEndPr>
        <w:sdtContent>
          <w:r w:rsidR="002401BC">
            <w:rPr>
              <w:rStyle w:val="Strong"/>
              <w:rFonts w:ascii="Calibri" w:hAnsi="Calibri" w:cs="Calibri"/>
              <w:b w:val="0"/>
              <w:bCs w:val="0"/>
              <w:sz w:val="22"/>
              <w:szCs w:val="22"/>
            </w:rPr>
            <w:fldChar w:fldCharType="begin"/>
          </w:r>
          <w:r w:rsidR="002401BC">
            <w:rPr>
              <w:rStyle w:val="Strong"/>
              <w:rFonts w:ascii="Calibri" w:hAnsi="Calibri" w:cs="Calibri"/>
              <w:b w:val="0"/>
              <w:bCs w:val="0"/>
              <w:sz w:val="22"/>
              <w:szCs w:val="22"/>
            </w:rPr>
            <w:instrText xml:space="preserve"> CITATION Ber17 \l 3081 </w:instrText>
          </w:r>
          <w:r w:rsidR="002401BC">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(Bernstein, 2017)</w:t>
          </w:r>
          <w:r w:rsidR="002401BC">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 Although full cryptographically relevant quantum computers (CRQCs) have not yet been achieved on a large scale, the progress of organi</w:t>
      </w:r>
      <w:r w:rsidR="0083176A" w:rsidRPr="00DB329A">
        <w:rPr>
          <w:rStyle w:val="Strong"/>
          <w:rFonts w:ascii="Calibri" w:hAnsi="Calibri" w:cs="Calibri"/>
          <w:b w:val="0"/>
          <w:bCs w:val="0"/>
          <w:sz w:val="22"/>
          <w:szCs w:val="22"/>
        </w:rPr>
        <w:t>s</w:t>
      </w:r>
      <w:r w:rsidRPr="00DB329A">
        <w:rPr>
          <w:rStyle w:val="Strong"/>
          <w:rFonts w:ascii="Calibri" w:hAnsi="Calibri" w:cs="Calibri"/>
          <w:b w:val="0"/>
          <w:bCs w:val="0"/>
          <w:sz w:val="22"/>
          <w:szCs w:val="22"/>
        </w:rPr>
        <w:t>ations such as Google, IBM and Microsoft towards the practical reali</w:t>
      </w:r>
      <w:r w:rsidR="0083176A" w:rsidRPr="00DB329A">
        <w:rPr>
          <w:rStyle w:val="Strong"/>
          <w:rFonts w:ascii="Calibri" w:hAnsi="Calibri" w:cs="Calibri"/>
          <w:b w:val="0"/>
          <w:bCs w:val="0"/>
          <w:sz w:val="22"/>
          <w:szCs w:val="22"/>
        </w:rPr>
        <w:t>s</w:t>
      </w:r>
      <w:r w:rsidRPr="00DB329A">
        <w:rPr>
          <w:rStyle w:val="Strong"/>
          <w:rFonts w:ascii="Calibri" w:hAnsi="Calibri" w:cs="Calibri"/>
          <w:b w:val="0"/>
          <w:bCs w:val="0"/>
          <w:sz w:val="22"/>
          <w:szCs w:val="22"/>
        </w:rPr>
        <w:t xml:space="preserve">ation of this threat suggests that this transition is gaining momentum </w:t>
      </w:r>
      <w:sdt>
        <w:sdtPr>
          <w:rPr>
            <w:rStyle w:val="Strong"/>
            <w:rFonts w:ascii="Calibri" w:hAnsi="Calibri" w:cs="Calibri"/>
            <w:b w:val="0"/>
            <w:bCs w:val="0"/>
            <w:sz w:val="22"/>
            <w:szCs w:val="22"/>
          </w:rPr>
          <w:id w:val="-1670238037"/>
          <w:citation/>
        </w:sdtPr>
        <w:sdtEndPr>
          <w:rPr>
            <w:rStyle w:val="Strong"/>
          </w:rPr>
        </w:sdtEndPr>
        <w:sdtContent>
          <w:r w:rsidR="002401BC">
            <w:rPr>
              <w:rStyle w:val="Strong"/>
              <w:rFonts w:ascii="Calibri" w:hAnsi="Calibri" w:cs="Calibri"/>
              <w:b w:val="0"/>
              <w:bCs w:val="0"/>
              <w:sz w:val="22"/>
              <w:szCs w:val="22"/>
            </w:rPr>
            <w:fldChar w:fldCharType="begin"/>
          </w:r>
          <w:r w:rsidR="002401BC">
            <w:rPr>
              <w:rStyle w:val="Strong"/>
              <w:rFonts w:ascii="Calibri" w:hAnsi="Calibri" w:cs="Calibri"/>
              <w:b w:val="0"/>
              <w:bCs w:val="0"/>
              <w:sz w:val="22"/>
              <w:szCs w:val="22"/>
            </w:rPr>
            <w:instrText xml:space="preserve"> CITATION Mos18 \l 3081 </w:instrText>
          </w:r>
          <w:r w:rsidR="002401BC">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(Mosca, 2018)</w:t>
          </w:r>
          <w:r w:rsidR="002401BC">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w:t>
      </w:r>
    </w:p>
    <w:p w14:paraId="35568B21" w14:textId="7FD3FA74" w:rsidR="00185F3E" w:rsidRPr="00DB329A" w:rsidRDefault="00185F3E" w:rsidP="00BB5FF0">
      <w:pPr>
        <w:pStyle w:val="font-claude-response-body"/>
        <w:spacing w:line="276" w:lineRule="auto"/>
        <w:jc w:val="both"/>
        <w:rPr>
          <w:rStyle w:val="Strong"/>
          <w:rFonts w:ascii="Calibri" w:hAnsi="Calibri" w:cs="Calibri"/>
          <w:b w:val="0"/>
          <w:bCs w:val="0"/>
          <w:sz w:val="22"/>
          <w:szCs w:val="22"/>
        </w:rPr>
      </w:pPr>
      <w:r w:rsidRPr="00DB329A">
        <w:rPr>
          <w:rStyle w:val="Strong"/>
          <w:rFonts w:ascii="Calibri" w:hAnsi="Calibri" w:cs="Calibri"/>
          <w:b w:val="0"/>
          <w:bCs w:val="0"/>
          <w:sz w:val="22"/>
          <w:szCs w:val="22"/>
        </w:rPr>
        <w:lastRenderedPageBreak/>
        <w:t>This course of action has been clear in policy terms. In August 2024, NIST published its first official post-quantum cryptography standards: FIPS 203 (ML-KEM), FIPS 204 (ML-DSA), and FIPS 205 (SLH-DSA) — which are quantum-resistant algorithms to be adopted around the world</w:t>
      </w:r>
      <w:sdt>
        <w:sdtPr>
          <w:rPr>
            <w:rStyle w:val="Strong"/>
            <w:rFonts w:ascii="Calibri" w:hAnsi="Calibri" w:cs="Calibri"/>
            <w:b w:val="0"/>
            <w:bCs w:val="0"/>
            <w:sz w:val="22"/>
            <w:szCs w:val="22"/>
          </w:rPr>
          <w:id w:val="-400985897"/>
          <w:citation/>
        </w:sdtPr>
        <w:sdtEndPr>
          <w:rPr>
            <w:rStyle w:val="Strong"/>
          </w:rPr>
        </w:sdtEndPr>
        <w:sdtContent>
          <w:r w:rsidR="00FD65FD">
            <w:rPr>
              <w:rStyle w:val="Strong"/>
              <w:rFonts w:ascii="Calibri" w:hAnsi="Calibri" w:cs="Calibri"/>
              <w:b w:val="0"/>
              <w:bCs w:val="0"/>
              <w:sz w:val="22"/>
              <w:szCs w:val="22"/>
            </w:rPr>
            <w:fldChar w:fldCharType="begin"/>
          </w:r>
          <w:r w:rsidR="00FD65FD">
            <w:rPr>
              <w:rStyle w:val="Strong"/>
              <w:rFonts w:ascii="Calibri" w:hAnsi="Calibri" w:cs="Calibri"/>
              <w:b w:val="0"/>
              <w:bCs w:val="0"/>
              <w:sz w:val="22"/>
              <w:szCs w:val="22"/>
            </w:rPr>
            <w:instrText xml:space="preserve"> CITATION NIS24 \l 3081 </w:instrText>
          </w:r>
          <w:r w:rsidR="00FD65FD">
            <w:rPr>
              <w:rStyle w:val="Strong"/>
              <w:rFonts w:ascii="Calibri" w:hAnsi="Calibri" w:cs="Calibri"/>
              <w:b w:val="0"/>
              <w:bCs w:val="0"/>
              <w:sz w:val="22"/>
              <w:szCs w:val="22"/>
            </w:rPr>
            <w:fldChar w:fldCharType="separate"/>
          </w:r>
          <w:r w:rsidR="006075A3">
            <w:rPr>
              <w:rStyle w:val="Strong"/>
              <w:rFonts w:ascii="Calibri" w:hAnsi="Calibri" w:cs="Calibri"/>
              <w:b w:val="0"/>
              <w:bCs w:val="0"/>
              <w:noProof/>
              <w:sz w:val="22"/>
              <w:szCs w:val="22"/>
            </w:rPr>
            <w:t xml:space="preserve"> </w:t>
          </w:r>
          <w:r w:rsidR="006075A3" w:rsidRPr="006075A3">
            <w:rPr>
              <w:rFonts w:ascii="Calibri" w:hAnsi="Calibri" w:cs="Calibri"/>
              <w:noProof/>
              <w:sz w:val="22"/>
              <w:szCs w:val="22"/>
            </w:rPr>
            <w:t>(NIST, 2024)</w:t>
          </w:r>
          <w:r w:rsidR="00FD65FD">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 Most importantly, NIST has stated that popular algorithms across the board, such as RSA and ECC, will be phased out by 2030 and will be completely prohibited after 2035, which will leave all organisations with sensitive data with a migration deadline that is both time-bound and binding. The ASD's Information Security Manual also aligns with this timeline: by end 2026, organisations are expected to have a documented quantum transition plan; by 2028, they will start implementing the plan; and by 2030, the plan will be fully implemented</w:t>
      </w:r>
      <w:r w:rsidR="00FD65FD">
        <w:rPr>
          <w:rStyle w:val="Strong"/>
          <w:rFonts w:ascii="Calibri" w:hAnsi="Calibri" w:cs="Calibri"/>
          <w:b w:val="0"/>
          <w:bCs w:val="0"/>
          <w:sz w:val="22"/>
          <w:szCs w:val="22"/>
        </w:rPr>
        <w:t xml:space="preserve"> </w:t>
      </w:r>
      <w:sdt>
        <w:sdtPr>
          <w:rPr>
            <w:rStyle w:val="Strong"/>
            <w:rFonts w:ascii="Calibri" w:hAnsi="Calibri" w:cs="Calibri"/>
            <w:b w:val="0"/>
            <w:bCs w:val="0"/>
            <w:sz w:val="22"/>
            <w:szCs w:val="22"/>
          </w:rPr>
          <w:id w:val="1966381458"/>
          <w:citation/>
        </w:sdtPr>
        <w:sdtEndPr>
          <w:rPr>
            <w:rStyle w:val="Strong"/>
          </w:rPr>
        </w:sdtEndPr>
        <w:sdtContent>
          <w:r w:rsidR="00FD65FD">
            <w:rPr>
              <w:rStyle w:val="Strong"/>
              <w:rFonts w:ascii="Calibri" w:hAnsi="Calibri" w:cs="Calibri"/>
              <w:b w:val="0"/>
              <w:bCs w:val="0"/>
              <w:sz w:val="22"/>
              <w:szCs w:val="22"/>
            </w:rPr>
            <w:fldChar w:fldCharType="begin"/>
          </w:r>
          <w:r w:rsidR="00FD65FD">
            <w:rPr>
              <w:rStyle w:val="Strong"/>
              <w:rFonts w:ascii="Calibri" w:hAnsi="Calibri" w:cs="Calibri"/>
              <w:b w:val="0"/>
              <w:bCs w:val="0"/>
              <w:sz w:val="22"/>
              <w:szCs w:val="22"/>
            </w:rPr>
            <w:instrText xml:space="preserve"> CITATION ASD \l 3081 </w:instrText>
          </w:r>
          <w:r w:rsidR="00FD65FD">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(ASD, 2024)</w:t>
          </w:r>
          <w:r w:rsidR="00FD65FD">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 This compliance window is already quite small for healthcare SMEs still using legacy systems.</w:t>
      </w:r>
    </w:p>
    <w:p w14:paraId="542436E5" w14:textId="011A4E80" w:rsidR="00185F3E" w:rsidRPr="00DB329A" w:rsidRDefault="00185F3E" w:rsidP="00BB5FF0">
      <w:pPr>
        <w:pStyle w:val="font-claude-response-body"/>
        <w:spacing w:line="276" w:lineRule="auto"/>
        <w:jc w:val="both"/>
        <w:rPr>
          <w:rStyle w:val="Strong"/>
          <w:rFonts w:ascii="Calibri" w:hAnsi="Calibri" w:cs="Calibri"/>
          <w:b w:val="0"/>
          <w:bCs w:val="0"/>
          <w:sz w:val="22"/>
          <w:szCs w:val="22"/>
        </w:rPr>
      </w:pPr>
      <w:r w:rsidRPr="00DB329A">
        <w:rPr>
          <w:rStyle w:val="Strong"/>
          <w:rFonts w:ascii="Calibri" w:hAnsi="Calibri" w:cs="Calibri"/>
          <w:b w:val="0"/>
          <w:bCs w:val="0"/>
          <w:sz w:val="22"/>
          <w:szCs w:val="22"/>
        </w:rPr>
        <w:t xml:space="preserve">One of the most pressing aspects of the quantum threat is the Harvest Now, Decrypt Later (HNDL) campaign. HNDL is different from traditional cyber-attacks, which must be executed with real-time capability; with HNDL, the harvesting of encrypted data can be done without a real-time requirement. As </w:t>
      </w:r>
      <w:sdt>
        <w:sdtPr>
          <w:rPr>
            <w:rStyle w:val="Strong"/>
            <w:rFonts w:ascii="Calibri" w:hAnsi="Calibri" w:cs="Calibri"/>
            <w:b w:val="0"/>
            <w:bCs w:val="0"/>
            <w:sz w:val="22"/>
            <w:szCs w:val="22"/>
          </w:rPr>
          <w:id w:val="2132744462"/>
          <w:citation/>
        </w:sdtPr>
        <w:sdtEndPr>
          <w:rPr>
            <w:rStyle w:val="Strong"/>
          </w:rPr>
        </w:sdtEndPr>
        <w:sdtContent>
          <w:r w:rsidR="00D06A8A">
            <w:rPr>
              <w:rStyle w:val="Strong"/>
              <w:rFonts w:ascii="Calibri" w:hAnsi="Calibri" w:cs="Calibri"/>
              <w:b w:val="0"/>
              <w:bCs w:val="0"/>
              <w:sz w:val="22"/>
              <w:szCs w:val="22"/>
            </w:rPr>
            <w:fldChar w:fldCharType="begin"/>
          </w:r>
          <w:r w:rsidR="00D06A8A">
            <w:rPr>
              <w:rStyle w:val="Strong"/>
              <w:rFonts w:ascii="Calibri" w:hAnsi="Calibri" w:cs="Calibri"/>
              <w:b w:val="0"/>
              <w:bCs w:val="0"/>
              <w:sz w:val="22"/>
              <w:szCs w:val="22"/>
            </w:rPr>
            <w:instrText xml:space="preserve"> CITATION Bla26 \l 3081 </w:instrText>
          </w:r>
          <w:r w:rsidR="00D06A8A">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(Blanco-Romero, 2026)</w:t>
          </w:r>
          <w:r w:rsidR="00D06A8A">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 xml:space="preserve"> show</w:t>
      </w:r>
      <w:r w:rsidR="00D06A8A">
        <w:rPr>
          <w:rStyle w:val="Strong"/>
          <w:rFonts w:ascii="Calibri" w:hAnsi="Calibri" w:cs="Calibri"/>
          <w:b w:val="0"/>
          <w:bCs w:val="0"/>
          <w:sz w:val="22"/>
          <w:szCs w:val="22"/>
        </w:rPr>
        <w:t>n</w:t>
      </w:r>
      <w:r w:rsidRPr="00DB329A">
        <w:rPr>
          <w:rStyle w:val="Strong"/>
          <w:rFonts w:ascii="Calibri" w:hAnsi="Calibri" w:cs="Calibri"/>
          <w:b w:val="0"/>
          <w:bCs w:val="0"/>
          <w:sz w:val="22"/>
          <w:szCs w:val="22"/>
        </w:rPr>
        <w:t>, it is an economic no-brainer for an adversary to store the intercepted encrypted traffic</w:t>
      </w:r>
      <w:r w:rsidR="00D06A8A">
        <w:rPr>
          <w:rStyle w:val="Strong"/>
          <w:rFonts w:ascii="Calibri" w:hAnsi="Calibri" w:cs="Calibri"/>
          <w:b w:val="0"/>
          <w:bCs w:val="0"/>
          <w:sz w:val="22"/>
          <w:szCs w:val="22"/>
        </w:rPr>
        <w:t>;</w:t>
      </w:r>
      <w:r w:rsidRPr="00DB329A">
        <w:rPr>
          <w:rStyle w:val="Strong"/>
          <w:rFonts w:ascii="Calibri" w:hAnsi="Calibri" w:cs="Calibri"/>
          <w:b w:val="0"/>
          <w:bCs w:val="0"/>
          <w:sz w:val="22"/>
          <w:szCs w:val="22"/>
        </w:rPr>
        <w:t xml:space="preserve"> its cost will be negligible over time, and the value of the traffic that it stores will likely increase or stay the same. This is a present-day threat, as adversaries today are intercepting encrypted communications such as TLS 1.2, TLS 1.3, QUIC or SSH – to decrypt them when quantum becomes a reality. Health data is also a long shelf</w:t>
      </w:r>
      <w:r w:rsidR="0083176A" w:rsidRPr="00DB329A">
        <w:rPr>
          <w:rStyle w:val="Strong"/>
          <w:rFonts w:ascii="Calibri" w:hAnsi="Calibri" w:cs="Calibri"/>
          <w:b w:val="0"/>
          <w:bCs w:val="0"/>
          <w:sz w:val="22"/>
          <w:szCs w:val="22"/>
        </w:rPr>
        <w:t>-</w:t>
      </w:r>
      <w:r w:rsidRPr="00DB329A">
        <w:rPr>
          <w:rStyle w:val="Strong"/>
          <w:rFonts w:ascii="Calibri" w:hAnsi="Calibri" w:cs="Calibri"/>
          <w:b w:val="0"/>
          <w:bCs w:val="0"/>
          <w:sz w:val="22"/>
          <w:szCs w:val="22"/>
        </w:rPr>
        <w:t xml:space="preserve">life item for HNDL operations like financial and national security data and is explicitly identified in the ASD's ACSC Annual Cyber Threat Report </w:t>
      </w:r>
      <w:sdt>
        <w:sdtPr>
          <w:rPr>
            <w:rStyle w:val="Strong"/>
            <w:rFonts w:ascii="Calibri" w:hAnsi="Calibri" w:cs="Calibri"/>
            <w:b w:val="0"/>
            <w:bCs w:val="0"/>
            <w:sz w:val="22"/>
            <w:szCs w:val="22"/>
          </w:rPr>
          <w:id w:val="-1754737679"/>
          <w:citation/>
        </w:sdtPr>
        <w:sdtEndPr>
          <w:rPr>
            <w:rStyle w:val="Strong"/>
          </w:rPr>
        </w:sdtEndPr>
        <w:sdtContent>
          <w:r w:rsidR="00D06A8A">
            <w:rPr>
              <w:rStyle w:val="Strong"/>
              <w:rFonts w:ascii="Calibri" w:hAnsi="Calibri" w:cs="Calibri"/>
              <w:b w:val="0"/>
              <w:bCs w:val="0"/>
              <w:sz w:val="22"/>
              <w:szCs w:val="22"/>
            </w:rPr>
            <w:fldChar w:fldCharType="begin"/>
          </w:r>
          <w:r w:rsidR="00D06A8A">
            <w:rPr>
              <w:rStyle w:val="Strong"/>
              <w:rFonts w:ascii="Calibri" w:hAnsi="Calibri" w:cs="Calibri"/>
              <w:b w:val="0"/>
              <w:bCs w:val="0"/>
              <w:sz w:val="22"/>
              <w:szCs w:val="22"/>
            </w:rPr>
            <w:instrText xml:space="preserve"> CITATION ASD25 \l 3081 </w:instrText>
          </w:r>
          <w:r w:rsidR="00D06A8A">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(ASD, 2025)</w:t>
          </w:r>
          <w:r w:rsidR="00D06A8A">
            <w:rPr>
              <w:rStyle w:val="Strong"/>
              <w:rFonts w:ascii="Calibri" w:hAnsi="Calibri" w:cs="Calibri"/>
              <w:b w:val="0"/>
              <w:bCs w:val="0"/>
              <w:sz w:val="22"/>
              <w:szCs w:val="22"/>
            </w:rPr>
            <w:fldChar w:fldCharType="end"/>
          </w:r>
        </w:sdtContent>
      </w:sdt>
      <w:r w:rsidRPr="00DB329A">
        <w:rPr>
          <w:rStyle w:val="Strong"/>
          <w:rFonts w:ascii="Calibri" w:hAnsi="Calibri" w:cs="Calibri"/>
          <w:b w:val="0"/>
          <w:bCs w:val="0"/>
          <w:sz w:val="22"/>
          <w:szCs w:val="22"/>
        </w:rPr>
        <w:t>.</w:t>
      </w:r>
    </w:p>
    <w:p w14:paraId="0C5ADB17" w14:textId="77777777" w:rsidR="00185F3E" w:rsidRPr="00DB329A" w:rsidRDefault="00185F3E" w:rsidP="00BB5FF0">
      <w:pPr>
        <w:pStyle w:val="font-claude-response-body"/>
        <w:spacing w:line="276" w:lineRule="auto"/>
        <w:jc w:val="both"/>
        <w:rPr>
          <w:rStyle w:val="Strong"/>
          <w:rFonts w:ascii="Calibri" w:hAnsi="Calibri" w:cs="Calibri"/>
          <w:b w:val="0"/>
          <w:bCs w:val="0"/>
          <w:sz w:val="22"/>
          <w:szCs w:val="22"/>
        </w:rPr>
      </w:pPr>
      <w:r w:rsidRPr="00DB329A">
        <w:rPr>
          <w:rStyle w:val="Strong"/>
          <w:rFonts w:ascii="Calibri" w:hAnsi="Calibri" w:cs="Calibri"/>
          <w:b w:val="0"/>
          <w:bCs w:val="0"/>
          <w:sz w:val="22"/>
          <w:szCs w:val="22"/>
        </w:rPr>
        <w:t>These factors are converging to pose a significant and mounting risk exposure to Australian healthcare SME's, especially with the accelerated quantum development, fast-approaching regulatory deadlines, and current picture of HNDL. Patient records under the Privacy Act 1988 and the My Health Records Act 2012 are just the sort of long-lived, sensitive data that patient adversaries are most drawn towards in terms of HNDL strategies. However, as the next themes will show, understanding of this threat is still very low among healthcare SMEs, and the available tools to tackle the threat are simply not within the reach of organisations lacking deep expertise or vast budgets for security.</w:t>
      </w:r>
    </w:p>
    <w:p w14:paraId="1493CA6A" w14:textId="77777777" w:rsidR="00185F3E" w:rsidRPr="00DB329A" w:rsidRDefault="00185F3E" w:rsidP="00BB5FF0">
      <w:pPr>
        <w:pStyle w:val="font-claude-response-body"/>
        <w:spacing w:line="276" w:lineRule="auto"/>
        <w:jc w:val="both"/>
        <w:rPr>
          <w:rStyle w:val="Strong"/>
          <w:rFonts w:ascii="Calibri" w:hAnsi="Calibri" w:cs="Calibri"/>
        </w:rPr>
      </w:pPr>
      <w:r w:rsidRPr="00DB329A">
        <w:rPr>
          <w:rStyle w:val="Strong"/>
          <w:rFonts w:ascii="Calibri" w:hAnsi="Calibri" w:cs="Calibri"/>
        </w:rPr>
        <w:t>Theme 2: SME Vulnerability and the Awareness Gap in Australian Healthcare</w:t>
      </w:r>
    </w:p>
    <w:p w14:paraId="04C8FBCF" w14:textId="5BE3FE6B" w:rsidR="00185F3E" w:rsidRPr="009C6566" w:rsidRDefault="00185F3E" w:rsidP="00BB5FF0">
      <w:pPr>
        <w:pStyle w:val="font-claude-response-body"/>
        <w:spacing w:line="276" w:lineRule="auto"/>
        <w:jc w:val="both"/>
        <w:rPr>
          <w:rStyle w:val="Strong"/>
          <w:rFonts w:ascii="Calibri" w:hAnsi="Calibri" w:cs="Calibri"/>
          <w:b w:val="0"/>
          <w:bCs w:val="0"/>
          <w:sz w:val="22"/>
          <w:szCs w:val="22"/>
        </w:rPr>
      </w:pPr>
      <w:r w:rsidRPr="009C6566">
        <w:rPr>
          <w:rStyle w:val="Strong"/>
          <w:rFonts w:ascii="Calibri" w:hAnsi="Calibri" w:cs="Calibri"/>
          <w:b w:val="0"/>
          <w:bCs w:val="0"/>
          <w:sz w:val="22"/>
          <w:szCs w:val="22"/>
        </w:rPr>
        <w:t>Even though the quantum threat timeline is well understood, the evidence shows that SMEs, especially those in healthcare, continue to be alarmingly underprepared for the post-quantum migration. Such unpreparedness isn't coincidental: it's because of the inherent limits of SMEs, which are well-documented and different from those of larger companies and government entities that have already been working through NIST's 2024 standards.</w:t>
      </w:r>
    </w:p>
    <w:p w14:paraId="2D70E9A0" w14:textId="1D6FF955" w:rsidR="00185F3E" w:rsidRPr="009C6566" w:rsidRDefault="00185F3E" w:rsidP="00BB5FF0">
      <w:pPr>
        <w:pStyle w:val="font-claude-response-body"/>
        <w:spacing w:line="276" w:lineRule="auto"/>
        <w:jc w:val="both"/>
        <w:rPr>
          <w:rStyle w:val="Strong"/>
          <w:rFonts w:ascii="Calibri" w:hAnsi="Calibri" w:cs="Calibri"/>
          <w:b w:val="0"/>
          <w:bCs w:val="0"/>
          <w:sz w:val="22"/>
          <w:szCs w:val="22"/>
        </w:rPr>
      </w:pPr>
      <w:r w:rsidRPr="009C6566">
        <w:rPr>
          <w:rStyle w:val="Strong"/>
          <w:rFonts w:ascii="Calibri" w:hAnsi="Calibri" w:cs="Calibri"/>
          <w:b w:val="0"/>
          <w:bCs w:val="0"/>
          <w:sz w:val="22"/>
          <w:szCs w:val="22"/>
        </w:rPr>
        <w:t xml:space="preserve">The awareness gap is </w:t>
      </w:r>
      <w:r w:rsidR="00126CE9" w:rsidRPr="009C6566">
        <w:rPr>
          <w:rStyle w:val="Strong"/>
          <w:rFonts w:ascii="Calibri" w:hAnsi="Calibri" w:cs="Calibri"/>
          <w:b w:val="0"/>
          <w:bCs w:val="0"/>
          <w:sz w:val="22"/>
          <w:szCs w:val="22"/>
        </w:rPr>
        <w:t>big</w:t>
      </w:r>
      <w:r w:rsidRPr="009C6566">
        <w:rPr>
          <w:rStyle w:val="Strong"/>
          <w:rFonts w:ascii="Calibri" w:hAnsi="Calibri" w:cs="Calibri"/>
          <w:b w:val="0"/>
          <w:bCs w:val="0"/>
          <w:sz w:val="22"/>
          <w:szCs w:val="22"/>
        </w:rPr>
        <w:t>. Less than five per</w:t>
      </w:r>
      <w:r w:rsidR="00126CE9" w:rsidRPr="009C6566">
        <w:rPr>
          <w:rStyle w:val="Strong"/>
          <w:rFonts w:ascii="Calibri" w:hAnsi="Calibri" w:cs="Calibri"/>
          <w:b w:val="0"/>
          <w:bCs w:val="0"/>
          <w:sz w:val="22"/>
          <w:szCs w:val="22"/>
        </w:rPr>
        <w:t xml:space="preserve"> </w:t>
      </w:r>
      <w:r w:rsidRPr="009C6566">
        <w:rPr>
          <w:rStyle w:val="Strong"/>
          <w:rFonts w:ascii="Calibri" w:hAnsi="Calibri" w:cs="Calibri"/>
          <w:b w:val="0"/>
          <w:bCs w:val="0"/>
          <w:sz w:val="22"/>
          <w:szCs w:val="22"/>
        </w:rPr>
        <w:t>cent of organi</w:t>
      </w:r>
      <w:r w:rsidR="00126CE9" w:rsidRPr="009C6566">
        <w:rPr>
          <w:rStyle w:val="Strong"/>
          <w:rFonts w:ascii="Calibri" w:hAnsi="Calibri" w:cs="Calibri"/>
          <w:b w:val="0"/>
          <w:bCs w:val="0"/>
          <w:sz w:val="22"/>
          <w:szCs w:val="22"/>
        </w:rPr>
        <w:t>s</w:t>
      </w:r>
      <w:r w:rsidRPr="009C6566">
        <w:rPr>
          <w:rStyle w:val="Strong"/>
          <w:rFonts w:ascii="Calibri" w:hAnsi="Calibri" w:cs="Calibri"/>
          <w:b w:val="0"/>
          <w:bCs w:val="0"/>
          <w:sz w:val="22"/>
          <w:szCs w:val="22"/>
        </w:rPr>
        <w:t>ations around the world have formal quantum transition plans</w:t>
      </w:r>
      <w:r w:rsidR="00126CE9" w:rsidRPr="009C6566">
        <w:rPr>
          <w:rStyle w:val="Strong"/>
          <w:rFonts w:ascii="Calibri" w:hAnsi="Calibri" w:cs="Calibri"/>
          <w:b w:val="0"/>
          <w:bCs w:val="0"/>
          <w:sz w:val="22"/>
          <w:szCs w:val="22"/>
        </w:rPr>
        <w:t>,</w:t>
      </w:r>
      <w:r w:rsidRPr="009C6566">
        <w:rPr>
          <w:rStyle w:val="Strong"/>
          <w:rFonts w:ascii="Calibri" w:hAnsi="Calibri" w:cs="Calibri"/>
          <w:b w:val="0"/>
          <w:bCs w:val="0"/>
          <w:sz w:val="22"/>
          <w:szCs w:val="22"/>
        </w:rPr>
        <w:t xml:space="preserve"> and 55 per</w:t>
      </w:r>
      <w:r w:rsidR="00126CE9" w:rsidRPr="009C6566">
        <w:rPr>
          <w:rStyle w:val="Strong"/>
          <w:rFonts w:ascii="Calibri" w:hAnsi="Calibri" w:cs="Calibri"/>
          <w:b w:val="0"/>
          <w:bCs w:val="0"/>
          <w:sz w:val="22"/>
          <w:szCs w:val="22"/>
        </w:rPr>
        <w:t xml:space="preserve"> </w:t>
      </w:r>
      <w:r w:rsidRPr="009C6566">
        <w:rPr>
          <w:rStyle w:val="Strong"/>
          <w:rFonts w:ascii="Calibri" w:hAnsi="Calibri" w:cs="Calibri"/>
          <w:b w:val="0"/>
          <w:bCs w:val="0"/>
          <w:sz w:val="22"/>
          <w:szCs w:val="22"/>
        </w:rPr>
        <w:t>cent say they have insufficient awareness or clarity on quantum security adoption</w:t>
      </w:r>
      <w:r w:rsidR="00D06A8A">
        <w:rPr>
          <w:rStyle w:val="Strong"/>
          <w:rFonts w:ascii="Calibri" w:hAnsi="Calibri" w:cs="Calibri"/>
          <w:b w:val="0"/>
          <w:bCs w:val="0"/>
          <w:sz w:val="22"/>
          <w:szCs w:val="22"/>
        </w:rPr>
        <w:t xml:space="preserve"> </w:t>
      </w:r>
      <w:sdt>
        <w:sdtPr>
          <w:rPr>
            <w:rStyle w:val="Strong"/>
            <w:rFonts w:ascii="Calibri" w:hAnsi="Calibri" w:cs="Calibri"/>
            <w:b w:val="0"/>
            <w:bCs w:val="0"/>
            <w:sz w:val="22"/>
            <w:szCs w:val="22"/>
          </w:rPr>
          <w:id w:val="-58720982"/>
          <w:citation/>
        </w:sdtPr>
        <w:sdtEndPr>
          <w:rPr>
            <w:rStyle w:val="Strong"/>
          </w:rPr>
        </w:sdtEndPr>
        <w:sdtContent>
          <w:r w:rsidR="00D06A8A">
            <w:rPr>
              <w:rStyle w:val="Strong"/>
              <w:rFonts w:ascii="Calibri" w:hAnsi="Calibri" w:cs="Calibri"/>
              <w:b w:val="0"/>
              <w:bCs w:val="0"/>
              <w:sz w:val="22"/>
              <w:szCs w:val="22"/>
            </w:rPr>
            <w:fldChar w:fldCharType="begin"/>
          </w:r>
          <w:r w:rsidR="00D06A8A">
            <w:rPr>
              <w:rStyle w:val="Strong"/>
              <w:rFonts w:ascii="Calibri" w:hAnsi="Calibri" w:cs="Calibri"/>
              <w:b w:val="0"/>
              <w:bCs w:val="0"/>
              <w:sz w:val="22"/>
              <w:szCs w:val="22"/>
            </w:rPr>
            <w:instrText xml:space="preserve"> CITATION QNu25 \l 3081 </w:instrText>
          </w:r>
          <w:r w:rsidR="00D06A8A">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(QNu Labs, 2025)</w:t>
          </w:r>
          <w:r w:rsidR="00D06A8A">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These are exacerbated by resource limitations: fifty-eight per</w:t>
      </w:r>
      <w:r w:rsidR="00126CE9" w:rsidRPr="009C6566">
        <w:rPr>
          <w:rStyle w:val="Strong"/>
          <w:rFonts w:ascii="Calibri" w:hAnsi="Calibri" w:cs="Calibri"/>
          <w:b w:val="0"/>
          <w:bCs w:val="0"/>
          <w:sz w:val="22"/>
          <w:szCs w:val="22"/>
        </w:rPr>
        <w:t xml:space="preserve"> </w:t>
      </w:r>
      <w:r w:rsidRPr="009C6566">
        <w:rPr>
          <w:rStyle w:val="Strong"/>
          <w:rFonts w:ascii="Calibri" w:hAnsi="Calibri" w:cs="Calibri"/>
          <w:b w:val="0"/>
          <w:bCs w:val="0"/>
          <w:sz w:val="22"/>
          <w:szCs w:val="22"/>
        </w:rPr>
        <w:t>cent of organisations report a lack of budget for quantum security; and</w:t>
      </w:r>
      <w:r w:rsidR="00D06A8A">
        <w:rPr>
          <w:rStyle w:val="Strong"/>
          <w:rFonts w:ascii="Calibri" w:hAnsi="Calibri" w:cs="Calibri"/>
          <w:b w:val="0"/>
          <w:bCs w:val="0"/>
          <w:sz w:val="22"/>
          <w:szCs w:val="22"/>
        </w:rPr>
        <w:t xml:space="preserve"> </w:t>
      </w:r>
      <w:sdt>
        <w:sdtPr>
          <w:rPr>
            <w:rStyle w:val="Strong"/>
            <w:rFonts w:ascii="Calibri" w:hAnsi="Calibri" w:cs="Calibri"/>
            <w:b w:val="0"/>
            <w:bCs w:val="0"/>
            <w:sz w:val="22"/>
            <w:szCs w:val="22"/>
          </w:rPr>
          <w:id w:val="-228617963"/>
          <w:citation/>
        </w:sdtPr>
        <w:sdtEndPr>
          <w:rPr>
            <w:rStyle w:val="Strong"/>
          </w:rPr>
        </w:sdtEndPr>
        <w:sdtContent>
          <w:r w:rsidR="00D06A8A">
            <w:rPr>
              <w:rStyle w:val="Strong"/>
              <w:rFonts w:ascii="Calibri" w:hAnsi="Calibri" w:cs="Calibri"/>
              <w:b w:val="0"/>
              <w:bCs w:val="0"/>
              <w:sz w:val="22"/>
              <w:szCs w:val="22"/>
            </w:rPr>
            <w:fldChar w:fldCharType="begin"/>
          </w:r>
          <w:r w:rsidR="00D06A8A">
            <w:rPr>
              <w:rStyle w:val="Strong"/>
              <w:rFonts w:ascii="Calibri" w:hAnsi="Calibri" w:cs="Calibri"/>
              <w:b w:val="0"/>
              <w:bCs w:val="0"/>
              <w:sz w:val="22"/>
              <w:szCs w:val="22"/>
            </w:rPr>
            <w:instrText xml:space="preserve"> CITATION Cro25 \l 3081 </w:instrText>
          </w:r>
          <w:r w:rsidR="00D06A8A">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(CrowdStrike, 2025)</w:t>
          </w:r>
          <w:r w:rsidR="00D06A8A">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xml:space="preserve"> reports that only thirty-six per</w:t>
      </w:r>
      <w:r w:rsidR="00126CE9" w:rsidRPr="009C6566">
        <w:rPr>
          <w:rStyle w:val="Strong"/>
          <w:rFonts w:ascii="Calibri" w:hAnsi="Calibri" w:cs="Calibri"/>
          <w:b w:val="0"/>
          <w:bCs w:val="0"/>
          <w:sz w:val="22"/>
          <w:szCs w:val="22"/>
        </w:rPr>
        <w:t xml:space="preserve"> </w:t>
      </w:r>
      <w:r w:rsidRPr="009C6566">
        <w:rPr>
          <w:rStyle w:val="Strong"/>
          <w:rFonts w:ascii="Calibri" w:hAnsi="Calibri" w:cs="Calibri"/>
          <w:b w:val="0"/>
          <w:bCs w:val="0"/>
          <w:sz w:val="22"/>
          <w:szCs w:val="22"/>
        </w:rPr>
        <w:t>cent of SMBs are investing in new security tools</w:t>
      </w:r>
      <w:r w:rsidR="00126CE9" w:rsidRPr="009C6566">
        <w:rPr>
          <w:rStyle w:val="Strong"/>
          <w:rFonts w:ascii="Calibri" w:hAnsi="Calibri" w:cs="Calibri"/>
          <w:b w:val="0"/>
          <w:bCs w:val="0"/>
          <w:sz w:val="22"/>
          <w:szCs w:val="22"/>
        </w:rPr>
        <w:t>;</w:t>
      </w:r>
      <w:r w:rsidRPr="009C6566">
        <w:rPr>
          <w:rStyle w:val="Strong"/>
          <w:rFonts w:ascii="Calibri" w:hAnsi="Calibri" w:cs="Calibri"/>
          <w:b w:val="0"/>
          <w:bCs w:val="0"/>
          <w:sz w:val="22"/>
          <w:szCs w:val="22"/>
        </w:rPr>
        <w:t xml:space="preserve"> ninety-three per</w:t>
      </w:r>
      <w:r w:rsidR="00126CE9" w:rsidRPr="009C6566">
        <w:rPr>
          <w:rStyle w:val="Strong"/>
          <w:rFonts w:ascii="Calibri" w:hAnsi="Calibri" w:cs="Calibri"/>
          <w:b w:val="0"/>
          <w:bCs w:val="0"/>
          <w:sz w:val="22"/>
          <w:szCs w:val="22"/>
        </w:rPr>
        <w:t xml:space="preserve"> </w:t>
      </w:r>
      <w:r w:rsidRPr="009C6566">
        <w:rPr>
          <w:rStyle w:val="Strong"/>
          <w:rFonts w:ascii="Calibri" w:hAnsi="Calibri" w:cs="Calibri"/>
          <w:b w:val="0"/>
          <w:bCs w:val="0"/>
          <w:sz w:val="22"/>
          <w:szCs w:val="22"/>
        </w:rPr>
        <w:t xml:space="preserve">cent of organisations recognise cybersecurity risks in general. The </w:t>
      </w:r>
      <w:sdt>
        <w:sdtPr>
          <w:rPr>
            <w:rStyle w:val="Strong"/>
            <w:rFonts w:ascii="Calibri" w:hAnsi="Calibri" w:cs="Calibri"/>
            <w:b w:val="0"/>
            <w:bCs w:val="0"/>
            <w:sz w:val="22"/>
            <w:szCs w:val="22"/>
          </w:rPr>
          <w:id w:val="542557815"/>
          <w:citation/>
        </w:sdtPr>
        <w:sdtEndPr>
          <w:rPr>
            <w:rStyle w:val="Strong"/>
          </w:rPr>
        </w:sdtEndPr>
        <w:sdtContent>
          <w:r w:rsidR="00D06A8A">
            <w:rPr>
              <w:rStyle w:val="Strong"/>
              <w:rFonts w:ascii="Calibri" w:hAnsi="Calibri" w:cs="Calibri"/>
              <w:b w:val="0"/>
              <w:bCs w:val="0"/>
              <w:sz w:val="22"/>
              <w:szCs w:val="22"/>
            </w:rPr>
            <w:fldChar w:fldCharType="begin"/>
          </w:r>
          <w:r w:rsidR="00D06A8A">
            <w:rPr>
              <w:rStyle w:val="Strong"/>
              <w:rFonts w:ascii="Calibri" w:hAnsi="Calibri" w:cs="Calibri"/>
              <w:b w:val="0"/>
              <w:bCs w:val="0"/>
              <w:sz w:val="22"/>
              <w:szCs w:val="22"/>
            </w:rPr>
            <w:instrText xml:space="preserve"> CITATION OEC23 \l 3081 </w:instrText>
          </w:r>
          <w:r w:rsidR="00D06A8A">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(OECD, 2023)</w:t>
          </w:r>
          <w:r w:rsidR="00D06A8A">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xml:space="preserve">also notes that SMEs have specific structural </w:t>
      </w:r>
      <w:r w:rsidRPr="009C6566">
        <w:rPr>
          <w:rStyle w:val="Strong"/>
          <w:rFonts w:ascii="Calibri" w:hAnsi="Calibri" w:cs="Calibri"/>
          <w:b w:val="0"/>
          <w:bCs w:val="0"/>
          <w:sz w:val="22"/>
          <w:szCs w:val="22"/>
        </w:rPr>
        <w:lastRenderedPageBreak/>
        <w:t xml:space="preserve">vulnerabilities in adopting cybersecurity measures, </w:t>
      </w:r>
      <w:r w:rsidR="00126CE9" w:rsidRPr="009C6566">
        <w:rPr>
          <w:rStyle w:val="Strong"/>
          <w:rFonts w:ascii="Calibri" w:hAnsi="Calibri" w:cs="Calibri"/>
          <w:b w:val="0"/>
          <w:bCs w:val="0"/>
          <w:sz w:val="22"/>
          <w:szCs w:val="22"/>
        </w:rPr>
        <w:t xml:space="preserve">such </w:t>
      </w:r>
      <w:r w:rsidRPr="009C6566">
        <w:rPr>
          <w:rStyle w:val="Strong"/>
          <w:rFonts w:ascii="Calibri" w:hAnsi="Calibri" w:cs="Calibri"/>
          <w:b w:val="0"/>
          <w:bCs w:val="0"/>
          <w:sz w:val="22"/>
          <w:szCs w:val="22"/>
        </w:rPr>
        <w:t xml:space="preserve">as lacking the financial resources to invest in cybersecurity, the lack of a dedicated staff member to manage </w:t>
      </w:r>
      <w:r w:rsidR="005C1773" w:rsidRPr="009C6566">
        <w:rPr>
          <w:rStyle w:val="Strong"/>
          <w:rFonts w:ascii="Calibri" w:hAnsi="Calibri" w:cs="Calibri"/>
          <w:b w:val="0"/>
          <w:bCs w:val="0"/>
          <w:sz w:val="22"/>
          <w:szCs w:val="22"/>
        </w:rPr>
        <w:t>cybersecurity and</w:t>
      </w:r>
      <w:r w:rsidRPr="009C6566">
        <w:rPr>
          <w:rStyle w:val="Strong"/>
          <w:rFonts w:ascii="Calibri" w:hAnsi="Calibri" w:cs="Calibri"/>
          <w:b w:val="0"/>
          <w:bCs w:val="0"/>
          <w:sz w:val="22"/>
          <w:szCs w:val="22"/>
        </w:rPr>
        <w:t xml:space="preserve"> not being able to navigate technical compliance frameworks without the help of specialists. Taken together</w:t>
      </w:r>
      <w:r w:rsidR="00126CE9" w:rsidRPr="009C6566">
        <w:rPr>
          <w:rStyle w:val="Strong"/>
          <w:rFonts w:ascii="Calibri" w:hAnsi="Calibri" w:cs="Calibri"/>
          <w:b w:val="0"/>
          <w:bCs w:val="0"/>
          <w:sz w:val="22"/>
          <w:szCs w:val="22"/>
        </w:rPr>
        <w:t>,</w:t>
      </w:r>
      <w:r w:rsidRPr="009C6566">
        <w:rPr>
          <w:rStyle w:val="Strong"/>
          <w:rFonts w:ascii="Calibri" w:hAnsi="Calibri" w:cs="Calibri"/>
          <w:b w:val="0"/>
          <w:bCs w:val="0"/>
          <w:sz w:val="22"/>
          <w:szCs w:val="22"/>
        </w:rPr>
        <w:t xml:space="preserve"> these results suggest something consistent, which is that whilst there is a level of awareness about cyber risk, this does not equate to the same level of action and that the gap between awareness and investment is greatest in smaller organisations.</w:t>
      </w:r>
    </w:p>
    <w:p w14:paraId="5FBF6628" w14:textId="02BAEF57" w:rsidR="00185F3E" w:rsidRPr="009C6566" w:rsidRDefault="00185F3E" w:rsidP="00BB5FF0">
      <w:pPr>
        <w:pStyle w:val="font-claude-response-body"/>
        <w:spacing w:line="276" w:lineRule="auto"/>
        <w:jc w:val="both"/>
        <w:rPr>
          <w:rStyle w:val="Strong"/>
          <w:rFonts w:ascii="Calibri" w:hAnsi="Calibri" w:cs="Calibri"/>
          <w:b w:val="0"/>
          <w:bCs w:val="0"/>
          <w:sz w:val="22"/>
          <w:szCs w:val="22"/>
        </w:rPr>
      </w:pPr>
      <w:r w:rsidRPr="009C6566">
        <w:rPr>
          <w:rStyle w:val="Strong"/>
          <w:rFonts w:ascii="Calibri" w:hAnsi="Calibri" w:cs="Calibri"/>
          <w:b w:val="0"/>
          <w:bCs w:val="0"/>
          <w:sz w:val="22"/>
          <w:szCs w:val="22"/>
        </w:rPr>
        <w:t>In the health care industry, this is further compounded by the critical nature and duration of the information. Patient information, diagnostic information and Medicare information are routinely accessed by healthcare SMEs, such as general practices, allied health providers, specialist health clinics and health technology vendors, which are covered by the</w:t>
      </w:r>
      <w:r w:rsidR="00C32AA4">
        <w:rPr>
          <w:rStyle w:val="Strong"/>
          <w:rFonts w:ascii="Calibri" w:hAnsi="Calibri" w:cs="Calibri"/>
          <w:b w:val="0"/>
          <w:bCs w:val="0"/>
          <w:sz w:val="22"/>
          <w:szCs w:val="22"/>
        </w:rPr>
        <w:t xml:space="preserve"> </w:t>
      </w:r>
      <w:sdt>
        <w:sdtPr>
          <w:rPr>
            <w:rStyle w:val="Strong"/>
            <w:rFonts w:ascii="Calibri" w:hAnsi="Calibri" w:cs="Calibri"/>
            <w:b w:val="0"/>
            <w:bCs w:val="0"/>
            <w:sz w:val="22"/>
            <w:szCs w:val="22"/>
          </w:rPr>
          <w:id w:val="1229569013"/>
          <w:citation/>
        </w:sdtPr>
        <w:sdtEndPr>
          <w:rPr>
            <w:rStyle w:val="Strong"/>
          </w:rPr>
        </w:sdtEndPr>
        <w:sdtContent>
          <w:r w:rsidR="00C32AA4">
            <w:rPr>
              <w:rStyle w:val="Strong"/>
              <w:rFonts w:ascii="Calibri" w:hAnsi="Calibri" w:cs="Calibri"/>
              <w:b w:val="0"/>
              <w:bCs w:val="0"/>
              <w:sz w:val="22"/>
              <w:szCs w:val="22"/>
            </w:rPr>
            <w:fldChar w:fldCharType="begin"/>
          </w:r>
          <w:r w:rsidR="00C32AA4">
            <w:rPr>
              <w:rStyle w:val="Strong"/>
              <w:rFonts w:ascii="Calibri" w:hAnsi="Calibri" w:cs="Calibri"/>
              <w:b w:val="0"/>
              <w:bCs w:val="0"/>
              <w:sz w:val="22"/>
              <w:szCs w:val="22"/>
            </w:rPr>
            <w:instrText xml:space="preserve">CITATION Pri22 \l 3081 </w:instrText>
          </w:r>
          <w:r w:rsidR="00C32AA4">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 Privacy Act 1988, 2022)</w:t>
          </w:r>
          <w:r w:rsidR="00C32AA4">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xml:space="preserve"> and the </w:t>
      </w:r>
      <w:sdt>
        <w:sdtPr>
          <w:rPr>
            <w:rStyle w:val="Strong"/>
            <w:rFonts w:ascii="Calibri" w:hAnsi="Calibri" w:cs="Calibri"/>
            <w:b w:val="0"/>
            <w:bCs w:val="0"/>
            <w:sz w:val="22"/>
            <w:szCs w:val="22"/>
          </w:rPr>
          <w:id w:val="2032148860"/>
          <w:citation/>
        </w:sdtPr>
        <w:sdtEndPr>
          <w:rPr>
            <w:rStyle w:val="Strong"/>
          </w:rPr>
        </w:sdtEndPr>
        <w:sdtContent>
          <w:r w:rsidR="00C32AA4">
            <w:rPr>
              <w:rStyle w:val="Strong"/>
              <w:rFonts w:ascii="Calibri" w:hAnsi="Calibri" w:cs="Calibri"/>
              <w:b w:val="0"/>
              <w:bCs w:val="0"/>
              <w:sz w:val="22"/>
              <w:szCs w:val="22"/>
            </w:rPr>
            <w:fldChar w:fldCharType="begin"/>
          </w:r>
          <w:r w:rsidR="00C32AA4">
            <w:rPr>
              <w:rStyle w:val="Strong"/>
              <w:rFonts w:ascii="Calibri" w:hAnsi="Calibri" w:cs="Calibri"/>
              <w:b w:val="0"/>
              <w:bCs w:val="0"/>
              <w:sz w:val="22"/>
              <w:szCs w:val="22"/>
            </w:rPr>
            <w:instrText xml:space="preserve">CITATION MyH12 \l 3081 </w:instrText>
          </w:r>
          <w:r w:rsidR="00C32AA4">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(My Health Records Act 2012, 2012)</w:t>
          </w:r>
          <w:r w:rsidR="00C32AA4">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xml:space="preserve">. Compared to financial transaction data, patient health records have a much longer lifespan for maintaining </w:t>
      </w:r>
      <w:r w:rsidR="00126CE9" w:rsidRPr="009C6566">
        <w:rPr>
          <w:rStyle w:val="Strong"/>
          <w:rFonts w:ascii="Calibri" w:hAnsi="Calibri" w:cs="Calibri"/>
          <w:b w:val="0"/>
          <w:bCs w:val="0"/>
          <w:sz w:val="22"/>
          <w:szCs w:val="22"/>
        </w:rPr>
        <w:t>confidentiality and</w:t>
      </w:r>
      <w:r w:rsidRPr="009C6566">
        <w:rPr>
          <w:rStyle w:val="Strong"/>
          <w:rFonts w:ascii="Calibri" w:hAnsi="Calibri" w:cs="Calibri"/>
          <w:b w:val="0"/>
          <w:bCs w:val="0"/>
          <w:sz w:val="22"/>
          <w:szCs w:val="22"/>
        </w:rPr>
        <w:t xml:space="preserve"> are therefore excellent candidates for HNDL strategies based on the adversary's ability to archive encrypted data today for use in decrypting it tomorrow (ASD, 2025). Legacy system dependencies, reliance on third-party vendors, and employee turnover all pose risks for non-compliance with cybersecurity standards, particularly in the healthcare sector, which is identified as one of the most vulnerable areas by</w:t>
      </w:r>
      <w:sdt>
        <w:sdtPr>
          <w:rPr>
            <w:rStyle w:val="Strong"/>
            <w:rFonts w:ascii="Calibri" w:hAnsi="Calibri" w:cs="Calibri"/>
            <w:b w:val="0"/>
            <w:bCs w:val="0"/>
            <w:sz w:val="22"/>
            <w:szCs w:val="22"/>
          </w:rPr>
          <w:id w:val="-1541436982"/>
          <w:citation/>
        </w:sdtPr>
        <w:sdtEndPr>
          <w:rPr>
            <w:rStyle w:val="Strong"/>
          </w:rPr>
        </w:sdtEndPr>
        <w:sdtContent>
          <w:r w:rsidR="00C32AA4">
            <w:rPr>
              <w:rStyle w:val="Strong"/>
              <w:rFonts w:ascii="Calibri" w:hAnsi="Calibri" w:cs="Calibri"/>
              <w:b w:val="0"/>
              <w:bCs w:val="0"/>
              <w:sz w:val="22"/>
              <w:szCs w:val="22"/>
            </w:rPr>
            <w:fldChar w:fldCharType="begin"/>
          </w:r>
          <w:r w:rsidR="00C32AA4">
            <w:rPr>
              <w:rStyle w:val="Strong"/>
              <w:rFonts w:ascii="Calibri" w:hAnsi="Calibri" w:cs="Calibri"/>
              <w:b w:val="0"/>
              <w:bCs w:val="0"/>
              <w:sz w:val="22"/>
              <w:szCs w:val="22"/>
            </w:rPr>
            <w:instrText xml:space="preserve"> CITATION Web24 \l 3081 </w:instrText>
          </w:r>
          <w:r w:rsidR="00C32AA4">
            <w:rPr>
              <w:rStyle w:val="Strong"/>
              <w:rFonts w:ascii="Calibri" w:hAnsi="Calibri" w:cs="Calibri"/>
              <w:b w:val="0"/>
              <w:bCs w:val="0"/>
              <w:sz w:val="22"/>
              <w:szCs w:val="22"/>
            </w:rPr>
            <w:fldChar w:fldCharType="separate"/>
          </w:r>
          <w:r w:rsidR="006075A3">
            <w:rPr>
              <w:rStyle w:val="Strong"/>
              <w:rFonts w:ascii="Calibri" w:hAnsi="Calibri" w:cs="Calibri"/>
              <w:b w:val="0"/>
              <w:bCs w:val="0"/>
              <w:noProof/>
              <w:sz w:val="22"/>
              <w:szCs w:val="22"/>
            </w:rPr>
            <w:t xml:space="preserve"> </w:t>
          </w:r>
          <w:r w:rsidR="006075A3" w:rsidRPr="006075A3">
            <w:rPr>
              <w:rFonts w:ascii="Calibri" w:hAnsi="Calibri" w:cs="Calibri"/>
              <w:noProof/>
              <w:sz w:val="22"/>
              <w:szCs w:val="22"/>
            </w:rPr>
            <w:t>(Weber, 2024)</w:t>
          </w:r>
          <w:r w:rsidR="00C32AA4">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w:t>
      </w:r>
    </w:p>
    <w:p w14:paraId="4CBEEDDD" w14:textId="6A3F0154" w:rsidR="00185F3E" w:rsidRPr="009C6566" w:rsidRDefault="00185F3E" w:rsidP="00BB5FF0">
      <w:pPr>
        <w:pStyle w:val="font-claude-response-body"/>
        <w:spacing w:line="276" w:lineRule="auto"/>
        <w:jc w:val="both"/>
        <w:rPr>
          <w:rStyle w:val="Strong"/>
          <w:rFonts w:ascii="Calibri" w:hAnsi="Calibri" w:cs="Calibri"/>
          <w:b w:val="0"/>
          <w:bCs w:val="0"/>
          <w:sz w:val="22"/>
          <w:szCs w:val="22"/>
        </w:rPr>
      </w:pPr>
      <w:r w:rsidRPr="009C6566">
        <w:rPr>
          <w:rStyle w:val="Strong"/>
          <w:rFonts w:ascii="Calibri" w:hAnsi="Calibri" w:cs="Calibri"/>
          <w:b w:val="0"/>
          <w:bCs w:val="0"/>
          <w:sz w:val="22"/>
          <w:szCs w:val="22"/>
        </w:rPr>
        <w:t>The other dimension of the awareness gap is the lack of quantum</w:t>
      </w:r>
      <w:r w:rsidR="00126CE9" w:rsidRPr="009C6566">
        <w:rPr>
          <w:rStyle w:val="Strong"/>
          <w:rFonts w:ascii="Calibri" w:hAnsi="Calibri" w:cs="Calibri"/>
          <w:b w:val="0"/>
          <w:bCs w:val="0"/>
          <w:sz w:val="22"/>
          <w:szCs w:val="22"/>
        </w:rPr>
        <w:t>-</w:t>
      </w:r>
      <w:r w:rsidRPr="009C6566">
        <w:rPr>
          <w:rStyle w:val="Strong"/>
          <w:rFonts w:ascii="Calibri" w:hAnsi="Calibri" w:cs="Calibri"/>
          <w:b w:val="0"/>
          <w:bCs w:val="0"/>
          <w:sz w:val="22"/>
          <w:szCs w:val="22"/>
        </w:rPr>
        <w:t>specific literacy of healthcare SME decision</w:t>
      </w:r>
      <w:r w:rsidR="00126CE9" w:rsidRPr="009C6566">
        <w:rPr>
          <w:rStyle w:val="Strong"/>
          <w:rFonts w:ascii="Calibri" w:hAnsi="Calibri" w:cs="Calibri"/>
          <w:b w:val="0"/>
          <w:bCs w:val="0"/>
          <w:sz w:val="22"/>
          <w:szCs w:val="22"/>
        </w:rPr>
        <w:t>-</w:t>
      </w:r>
      <w:r w:rsidRPr="009C6566">
        <w:rPr>
          <w:rStyle w:val="Strong"/>
          <w:rFonts w:ascii="Calibri" w:hAnsi="Calibri" w:cs="Calibri"/>
          <w:b w:val="0"/>
          <w:bCs w:val="0"/>
          <w:sz w:val="22"/>
          <w:szCs w:val="22"/>
        </w:rPr>
        <w:t xml:space="preserve">makers. </w:t>
      </w:r>
      <w:sdt>
        <w:sdtPr>
          <w:rPr>
            <w:rStyle w:val="Strong"/>
            <w:rFonts w:ascii="Calibri" w:hAnsi="Calibri" w:cs="Calibri"/>
            <w:b w:val="0"/>
            <w:bCs w:val="0"/>
            <w:sz w:val="22"/>
            <w:szCs w:val="22"/>
          </w:rPr>
          <w:id w:val="-1405756882"/>
          <w:citation/>
        </w:sdtPr>
        <w:sdtEndPr>
          <w:rPr>
            <w:rStyle w:val="Strong"/>
          </w:rPr>
        </w:sdtEndPr>
        <w:sdtContent>
          <w:r w:rsidR="00C32AA4">
            <w:rPr>
              <w:rStyle w:val="Strong"/>
              <w:rFonts w:ascii="Calibri" w:hAnsi="Calibri" w:cs="Calibri"/>
              <w:b w:val="0"/>
              <w:bCs w:val="0"/>
              <w:sz w:val="22"/>
              <w:szCs w:val="22"/>
            </w:rPr>
            <w:fldChar w:fldCharType="begin"/>
          </w:r>
          <w:r w:rsidR="00C32AA4">
            <w:rPr>
              <w:rStyle w:val="Strong"/>
              <w:rFonts w:ascii="Calibri" w:hAnsi="Calibri" w:cs="Calibri"/>
              <w:b w:val="0"/>
              <w:bCs w:val="0"/>
              <w:sz w:val="22"/>
              <w:szCs w:val="22"/>
            </w:rPr>
            <w:instrText xml:space="preserve"> CITATION Mal23 \l 3081 </w:instrText>
          </w:r>
          <w:r w:rsidR="00C32AA4">
            <w:rPr>
              <w:rStyle w:val="Strong"/>
              <w:rFonts w:ascii="Calibri" w:hAnsi="Calibri" w:cs="Calibri"/>
              <w:b w:val="0"/>
              <w:bCs w:val="0"/>
              <w:sz w:val="22"/>
              <w:szCs w:val="22"/>
            </w:rPr>
            <w:fldChar w:fldCharType="separate"/>
          </w:r>
          <w:r w:rsidR="006075A3" w:rsidRPr="006075A3">
            <w:rPr>
              <w:rFonts w:ascii="Calibri" w:hAnsi="Calibri" w:cs="Calibri"/>
              <w:noProof/>
              <w:sz w:val="22"/>
              <w:szCs w:val="22"/>
            </w:rPr>
            <w:t>(Malina, 2023)</w:t>
          </w:r>
          <w:r w:rsidR="00C32AA4">
            <w:rPr>
              <w:rStyle w:val="Strong"/>
              <w:rFonts w:ascii="Calibri" w:hAnsi="Calibri" w:cs="Calibri"/>
              <w:b w:val="0"/>
              <w:bCs w:val="0"/>
              <w:sz w:val="22"/>
              <w:szCs w:val="22"/>
            </w:rPr>
            <w:fldChar w:fldCharType="end"/>
          </w:r>
        </w:sdtContent>
      </w:sdt>
      <w:r w:rsidRPr="009C6566">
        <w:rPr>
          <w:rStyle w:val="Strong"/>
          <w:rFonts w:ascii="Calibri" w:hAnsi="Calibri" w:cs="Calibri"/>
          <w:b w:val="0"/>
          <w:bCs w:val="0"/>
          <w:sz w:val="22"/>
          <w:szCs w:val="22"/>
        </w:rPr>
        <w:t xml:space="preserve"> </w:t>
      </w:r>
      <w:r w:rsidR="00C32AA4">
        <w:rPr>
          <w:rStyle w:val="Strong"/>
          <w:rFonts w:ascii="Calibri" w:hAnsi="Calibri" w:cs="Calibri"/>
          <w:b w:val="0"/>
          <w:bCs w:val="0"/>
          <w:sz w:val="22"/>
          <w:szCs w:val="22"/>
        </w:rPr>
        <w:t>N</w:t>
      </w:r>
      <w:r w:rsidRPr="009C6566">
        <w:rPr>
          <w:rStyle w:val="Strong"/>
          <w:rFonts w:ascii="Calibri" w:hAnsi="Calibri" w:cs="Calibri"/>
          <w:b w:val="0"/>
          <w:bCs w:val="0"/>
          <w:sz w:val="22"/>
          <w:szCs w:val="22"/>
        </w:rPr>
        <w:t>ote that, despite their technical expertise, SME IT managers often never get exposed to PQC concepts, and they are trained and certified using classical cryptographic frameworks. However, the conceptual shift that needs to occur for non-technical healthcare practice owners and managers (</w:t>
      </w:r>
      <w:r w:rsidR="00126CE9" w:rsidRPr="009C6566">
        <w:rPr>
          <w:rStyle w:val="Strong"/>
          <w:rFonts w:ascii="Calibri" w:hAnsi="Calibri" w:cs="Calibri"/>
          <w:b w:val="0"/>
          <w:bCs w:val="0"/>
          <w:sz w:val="22"/>
          <w:szCs w:val="22"/>
        </w:rPr>
        <w:t>most of</w:t>
      </w:r>
      <w:r w:rsidRPr="009C6566">
        <w:rPr>
          <w:rStyle w:val="Strong"/>
          <w:rFonts w:ascii="Calibri" w:hAnsi="Calibri" w:cs="Calibri"/>
          <w:b w:val="0"/>
          <w:bCs w:val="0"/>
          <w:sz w:val="22"/>
          <w:szCs w:val="22"/>
        </w:rPr>
        <w:t xml:space="preserve"> the target audience for a readiness assessment tool) is significant, from being broadly aware of cybersecurity to being aware of the need to migrate to quantum. The existing resources, which are already very capable, such as the NIST CSF 2.0</w:t>
      </w:r>
      <w:r w:rsidR="00C32AA4">
        <w:rPr>
          <w:rStyle w:val="Strong"/>
          <w:rFonts w:ascii="Calibri" w:hAnsi="Calibri" w:cs="Calibri"/>
          <w:b w:val="0"/>
          <w:bCs w:val="0"/>
          <w:sz w:val="22"/>
          <w:szCs w:val="22"/>
        </w:rPr>
        <w:t xml:space="preserve"> and</w:t>
      </w:r>
      <w:r w:rsidRPr="009C6566">
        <w:rPr>
          <w:rStyle w:val="Strong"/>
          <w:rFonts w:ascii="Calibri" w:hAnsi="Calibri" w:cs="Calibri"/>
          <w:b w:val="0"/>
          <w:bCs w:val="0"/>
          <w:sz w:val="22"/>
          <w:szCs w:val="22"/>
        </w:rPr>
        <w:t xml:space="preserve"> the ASD's Essential Eight, are technically involved and cater to enterprise environments that have IT departments with IT Security teams, rather than SME operators who may be responsible for IT as a secondary duty.</w:t>
      </w:r>
    </w:p>
    <w:p w14:paraId="09B65011" w14:textId="53B80F40" w:rsidR="0044589A" w:rsidRPr="009C6566" w:rsidRDefault="00185F3E" w:rsidP="00BB5FF0">
      <w:pPr>
        <w:pStyle w:val="font-claude-response-body"/>
        <w:spacing w:line="276" w:lineRule="auto"/>
        <w:jc w:val="both"/>
        <w:rPr>
          <w:rFonts w:ascii="Calibri" w:hAnsi="Calibri" w:cs="Calibri"/>
          <w:b/>
          <w:bCs/>
          <w:sz w:val="22"/>
          <w:szCs w:val="22"/>
        </w:rPr>
      </w:pPr>
      <w:r w:rsidRPr="009C6566">
        <w:rPr>
          <w:rStyle w:val="Strong"/>
          <w:rFonts w:ascii="Calibri" w:hAnsi="Calibri" w:cs="Calibri"/>
          <w:b w:val="0"/>
          <w:bCs w:val="0"/>
          <w:sz w:val="22"/>
          <w:szCs w:val="22"/>
        </w:rPr>
        <w:t>These findings collectively create clear evidence of the shortfall: Australian healthcare SMEs are exposed to a higher quantum risk, have regulatory obligations that impose a strict timeline, and are lacking in awareness, resources and tools to respond. This lack is the direct market opportunity that QuantumShield is going to fill.</w:t>
      </w:r>
    </w:p>
    <w:p w14:paraId="322A4157" w14:textId="0FD02752" w:rsidR="0044589A" w:rsidRPr="009C6566" w:rsidRDefault="0044589A"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 xml:space="preserve">Within the healthcare sector, this vulnerability is amplified by the sensitivity and longevity of the data involved. Healthcare SMEs </w:t>
      </w:r>
      <w:r w:rsidR="00126CE9" w:rsidRPr="009C6566">
        <w:rPr>
          <w:rFonts w:ascii="Calibri" w:hAnsi="Calibri" w:cs="Calibri"/>
          <w:sz w:val="22"/>
          <w:szCs w:val="22"/>
        </w:rPr>
        <w:t xml:space="preserve">- </w:t>
      </w:r>
      <w:r w:rsidRPr="009C6566">
        <w:rPr>
          <w:rFonts w:ascii="Calibri" w:hAnsi="Calibri" w:cs="Calibri"/>
          <w:sz w:val="22"/>
          <w:szCs w:val="22"/>
        </w:rPr>
        <w:t>including general practices, allied health providers, specialist clinics, and health technology vendors</w:t>
      </w:r>
      <w:r w:rsidR="005C1773" w:rsidRPr="009C6566">
        <w:rPr>
          <w:rFonts w:ascii="Calibri" w:hAnsi="Calibri" w:cs="Calibri"/>
          <w:sz w:val="22"/>
          <w:szCs w:val="22"/>
        </w:rPr>
        <w:t xml:space="preserve"> -</w:t>
      </w:r>
      <w:r w:rsidRPr="009C6566">
        <w:rPr>
          <w:rFonts w:ascii="Calibri" w:hAnsi="Calibri" w:cs="Calibri"/>
          <w:sz w:val="22"/>
          <w:szCs w:val="22"/>
        </w:rPr>
        <w:t xml:space="preserve"> routinely handle patient records, diagnostic data, and Medicare information subject to</w:t>
      </w:r>
      <w:r w:rsidR="008247EC">
        <w:rPr>
          <w:rFonts w:ascii="Calibri" w:hAnsi="Calibri" w:cs="Calibri"/>
          <w:sz w:val="22"/>
          <w:szCs w:val="22"/>
        </w:rPr>
        <w:t xml:space="preserve"> </w:t>
      </w:r>
      <w:sdt>
        <w:sdtPr>
          <w:rPr>
            <w:rFonts w:ascii="Calibri" w:hAnsi="Calibri" w:cs="Calibri"/>
            <w:sz w:val="22"/>
            <w:szCs w:val="22"/>
          </w:rPr>
          <w:id w:val="1677926306"/>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Pri22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 Privacy Act 1988, 2022)</w:t>
          </w:r>
          <w:r w:rsidR="008247EC">
            <w:rPr>
              <w:rFonts w:ascii="Calibri" w:hAnsi="Calibri" w:cs="Calibri"/>
              <w:sz w:val="22"/>
              <w:szCs w:val="22"/>
            </w:rPr>
            <w:fldChar w:fldCharType="end"/>
          </w:r>
        </w:sdtContent>
      </w:sdt>
      <w:r w:rsidRPr="009C6566">
        <w:rPr>
          <w:rFonts w:ascii="Calibri" w:hAnsi="Calibri" w:cs="Calibri"/>
          <w:sz w:val="22"/>
          <w:szCs w:val="22"/>
        </w:rPr>
        <w:t xml:space="preserve"> and </w:t>
      </w:r>
      <w:sdt>
        <w:sdtPr>
          <w:rPr>
            <w:rFonts w:ascii="Calibri" w:hAnsi="Calibri" w:cs="Calibri"/>
            <w:sz w:val="22"/>
            <w:szCs w:val="22"/>
          </w:rPr>
          <w:id w:val="-1392119720"/>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MyH12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(My Health Records Act 2012, 2012)</w:t>
          </w:r>
          <w:r w:rsidR="008247EC">
            <w:rPr>
              <w:rFonts w:ascii="Calibri" w:hAnsi="Calibri" w:cs="Calibri"/>
              <w:sz w:val="22"/>
              <w:szCs w:val="22"/>
            </w:rPr>
            <w:fldChar w:fldCharType="end"/>
          </w:r>
        </w:sdtContent>
      </w:sdt>
      <w:r w:rsidRPr="009C6566">
        <w:rPr>
          <w:rFonts w:ascii="Calibri" w:hAnsi="Calibri" w:cs="Calibri"/>
          <w:sz w:val="22"/>
          <w:szCs w:val="22"/>
        </w:rPr>
        <w:t xml:space="preserve">. Unlike financial transaction data, which depreciates in sensitivity over time, patient health records retain their confidentiality value across decades, making them ideal targets for HNDL strategies where adversaries archive encrypted data now for future decryption </w:t>
      </w:r>
      <w:sdt>
        <w:sdtPr>
          <w:rPr>
            <w:rFonts w:ascii="Calibri" w:hAnsi="Calibri" w:cs="Calibri"/>
            <w:sz w:val="22"/>
            <w:szCs w:val="22"/>
          </w:rPr>
          <w:id w:val="-1240477886"/>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ASD25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(ASD, 2025)</w:t>
          </w:r>
          <w:r w:rsidR="008247EC">
            <w:rPr>
              <w:rFonts w:ascii="Calibri" w:hAnsi="Calibri" w:cs="Calibri"/>
              <w:sz w:val="22"/>
              <w:szCs w:val="22"/>
            </w:rPr>
            <w:fldChar w:fldCharType="end"/>
          </w:r>
        </w:sdtContent>
      </w:sdt>
      <w:r w:rsidRPr="009C6566">
        <w:rPr>
          <w:rFonts w:ascii="Calibri" w:hAnsi="Calibri" w:cs="Calibri"/>
          <w:sz w:val="22"/>
          <w:szCs w:val="22"/>
        </w:rPr>
        <w:t xml:space="preserve">. </w:t>
      </w:r>
      <w:sdt>
        <w:sdtPr>
          <w:rPr>
            <w:rFonts w:ascii="Calibri" w:hAnsi="Calibri" w:cs="Calibri"/>
            <w:sz w:val="22"/>
            <w:szCs w:val="22"/>
          </w:rPr>
          <w:id w:val="-787432718"/>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Web24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(Weber, 2024)</w:t>
          </w:r>
          <w:r w:rsidR="008247EC">
            <w:rPr>
              <w:rFonts w:ascii="Calibri" w:hAnsi="Calibri" w:cs="Calibri"/>
              <w:sz w:val="22"/>
              <w:szCs w:val="22"/>
            </w:rPr>
            <w:fldChar w:fldCharType="end"/>
          </w:r>
        </w:sdtContent>
      </w:sdt>
      <w:r w:rsidRPr="009C6566">
        <w:rPr>
          <w:rFonts w:ascii="Calibri" w:hAnsi="Calibri" w:cs="Calibri"/>
          <w:sz w:val="22"/>
          <w:szCs w:val="22"/>
        </w:rPr>
        <w:t>identify healthcare as among the highest-risk sectors for cybersecurity non-compliance among SMEs, noting that legacy system dependencies, third-party vendor reliance, and staff turnover create persistent vulnerabilities that generic cybersecurity frameworks fail to adequately address.</w:t>
      </w:r>
    </w:p>
    <w:p w14:paraId="1A19840B" w14:textId="2FBA77C9" w:rsidR="0044589A" w:rsidRPr="009C6566" w:rsidRDefault="0044589A"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lastRenderedPageBreak/>
        <w:t>A further dimension of the awareness gap is the absence of quantum-specific literacy among healthcare SME decision-makers.</w:t>
      </w:r>
      <w:sdt>
        <w:sdtPr>
          <w:rPr>
            <w:rFonts w:ascii="Calibri" w:hAnsi="Calibri" w:cs="Calibri"/>
            <w:sz w:val="22"/>
            <w:szCs w:val="22"/>
          </w:rPr>
          <w:id w:val="2023128076"/>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Mal23 \l 3081 </w:instrText>
          </w:r>
          <w:r w:rsidR="008247EC">
            <w:rPr>
              <w:rFonts w:ascii="Calibri" w:hAnsi="Calibri" w:cs="Calibri"/>
              <w:sz w:val="22"/>
              <w:szCs w:val="22"/>
            </w:rPr>
            <w:fldChar w:fldCharType="separate"/>
          </w:r>
          <w:r w:rsidR="006075A3">
            <w:rPr>
              <w:rFonts w:ascii="Calibri" w:hAnsi="Calibri" w:cs="Calibri"/>
              <w:noProof/>
              <w:sz w:val="22"/>
              <w:szCs w:val="22"/>
            </w:rPr>
            <w:t xml:space="preserve"> </w:t>
          </w:r>
          <w:r w:rsidR="006075A3" w:rsidRPr="006075A3">
            <w:rPr>
              <w:rFonts w:ascii="Calibri" w:hAnsi="Calibri" w:cs="Calibri"/>
              <w:noProof/>
              <w:sz w:val="22"/>
              <w:szCs w:val="22"/>
            </w:rPr>
            <w:t>(Malina, 2023)</w:t>
          </w:r>
          <w:r w:rsidR="008247EC">
            <w:rPr>
              <w:rFonts w:ascii="Calibri" w:hAnsi="Calibri" w:cs="Calibri"/>
              <w:sz w:val="22"/>
              <w:szCs w:val="22"/>
            </w:rPr>
            <w:fldChar w:fldCharType="end"/>
          </w:r>
        </w:sdtContent>
      </w:sdt>
      <w:r w:rsidRPr="009C6566">
        <w:rPr>
          <w:rFonts w:ascii="Calibri" w:hAnsi="Calibri" w:cs="Calibri"/>
          <w:sz w:val="22"/>
          <w:szCs w:val="22"/>
        </w:rPr>
        <w:t xml:space="preserve"> </w:t>
      </w:r>
      <w:r w:rsidR="008247EC">
        <w:rPr>
          <w:rFonts w:ascii="Calibri" w:hAnsi="Calibri" w:cs="Calibri"/>
          <w:sz w:val="22"/>
          <w:szCs w:val="22"/>
        </w:rPr>
        <w:t>O</w:t>
      </w:r>
      <w:r w:rsidRPr="009C6566">
        <w:rPr>
          <w:rFonts w:ascii="Calibri" w:hAnsi="Calibri" w:cs="Calibri"/>
          <w:sz w:val="22"/>
          <w:szCs w:val="22"/>
        </w:rPr>
        <w:t xml:space="preserve">bserve that even technically capable SME IT managers frequently lack exposure to PQC concepts, having been trained and certified in classical cryptographic frameworks. For non-technical healthcare practice owners and managers who constitute </w:t>
      </w:r>
      <w:r w:rsidR="003630A5" w:rsidRPr="009C6566">
        <w:rPr>
          <w:rFonts w:ascii="Calibri" w:hAnsi="Calibri" w:cs="Calibri"/>
          <w:sz w:val="22"/>
          <w:szCs w:val="22"/>
        </w:rPr>
        <w:t>most of</w:t>
      </w:r>
      <w:r w:rsidRPr="009C6566">
        <w:rPr>
          <w:rFonts w:ascii="Calibri" w:hAnsi="Calibri" w:cs="Calibri"/>
          <w:sz w:val="22"/>
          <w:szCs w:val="22"/>
        </w:rPr>
        <w:t xml:space="preserve"> the target user base for a readiness assessment tool</w:t>
      </w:r>
      <w:r w:rsidR="008247EC">
        <w:rPr>
          <w:rFonts w:ascii="Calibri" w:hAnsi="Calibri" w:cs="Calibri"/>
          <w:sz w:val="22"/>
          <w:szCs w:val="22"/>
        </w:rPr>
        <w:t>,</w:t>
      </w:r>
      <w:r w:rsidRPr="009C6566">
        <w:rPr>
          <w:rFonts w:ascii="Calibri" w:hAnsi="Calibri" w:cs="Calibri"/>
          <w:sz w:val="22"/>
          <w:szCs w:val="22"/>
        </w:rPr>
        <w:t xml:space="preserve"> the conceptual leap from general cybersecurity awareness to understanding quantum-specific migration requirements is substantial. Existing resources, including the ASD's Essential Eight and the NIST CSF 2.0, are comprehensive but technically demanding, designed primarily for enterprise environments with dedicated security teams rather than SME operators managing IT as a secondary responsibility.</w:t>
      </w:r>
    </w:p>
    <w:p w14:paraId="7D3B158E" w14:textId="2947630E" w:rsidR="002515F6" w:rsidRPr="008247EC" w:rsidRDefault="0044589A" w:rsidP="008247EC">
      <w:pPr>
        <w:pStyle w:val="font-claude-response-body"/>
        <w:spacing w:line="276" w:lineRule="auto"/>
        <w:jc w:val="both"/>
        <w:rPr>
          <w:rFonts w:ascii="Calibri" w:hAnsi="Calibri" w:cs="Calibri"/>
          <w:sz w:val="22"/>
          <w:szCs w:val="22"/>
        </w:rPr>
      </w:pPr>
      <w:r w:rsidRPr="009C6566">
        <w:rPr>
          <w:rFonts w:ascii="Calibri" w:hAnsi="Calibri" w:cs="Calibri"/>
          <w:sz w:val="22"/>
          <w:szCs w:val="22"/>
        </w:rPr>
        <w:t>Taken together, these findings establish a clear and evidence-supported gap: Australian healthcare SMEs face elevated quantum risk, operate under binding regulatory timelines, and yet lack the awareness, resources, and accessible tools needed to respond. This gap is the direct market opportunity that QuantumShield is designed to address.</w:t>
      </w:r>
    </w:p>
    <w:p w14:paraId="638FD83C" w14:textId="77777777" w:rsidR="002515F6" w:rsidRPr="00DB329A" w:rsidRDefault="002515F6" w:rsidP="00BB5FF0">
      <w:pPr>
        <w:pStyle w:val="font-claude-response-body"/>
        <w:spacing w:line="276" w:lineRule="auto"/>
        <w:rPr>
          <w:rFonts w:ascii="Calibri" w:hAnsi="Calibri" w:cs="Calibri"/>
        </w:rPr>
      </w:pPr>
      <w:r w:rsidRPr="00DB329A">
        <w:rPr>
          <w:rStyle w:val="Strong"/>
          <w:rFonts w:ascii="Calibri" w:hAnsi="Calibri" w:cs="Calibri"/>
        </w:rPr>
        <w:t>Theme 3: Existing Solutions and Why They Fail Healthcare SMEs</w:t>
      </w:r>
    </w:p>
    <w:p w14:paraId="6B65DDE9" w14:textId="4F280725"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There are current offerings for the post-quantum cryptography landscape in NIST standards documentation, government migration frameworks, enterprise-grade assessment tools, and speciali</w:t>
      </w:r>
      <w:r w:rsidR="00AC03CE" w:rsidRPr="009C6566">
        <w:rPr>
          <w:rFonts w:ascii="Calibri" w:hAnsi="Calibri" w:cs="Calibri"/>
          <w:sz w:val="22"/>
          <w:szCs w:val="22"/>
        </w:rPr>
        <w:t>s</w:t>
      </w:r>
      <w:r w:rsidRPr="009C6566">
        <w:rPr>
          <w:rFonts w:ascii="Calibri" w:hAnsi="Calibri" w:cs="Calibri"/>
          <w:sz w:val="22"/>
          <w:szCs w:val="22"/>
        </w:rPr>
        <w:t>ed consulting services. A closer look at these solutions, however, shows that they are all designed for large enterprises, government agencies, or technology-savvy organisations and systematically fall short of the needs of healthcare SMEs with limited security teams, technology expertise, and/or cybersecurity budgets.</w:t>
      </w:r>
    </w:p>
    <w:p w14:paraId="3DFF31C0" w14:textId="2CE5A85D"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The most technically advanced of the available solutions are enterprise</w:t>
      </w:r>
      <w:r w:rsidR="00AC03CE" w:rsidRPr="009C6566">
        <w:rPr>
          <w:rFonts w:ascii="Calibri" w:hAnsi="Calibri" w:cs="Calibri"/>
          <w:sz w:val="22"/>
          <w:szCs w:val="22"/>
        </w:rPr>
        <w:t>-</w:t>
      </w:r>
      <w:r w:rsidRPr="009C6566">
        <w:rPr>
          <w:rFonts w:ascii="Calibri" w:hAnsi="Calibri" w:cs="Calibri"/>
          <w:sz w:val="22"/>
          <w:szCs w:val="22"/>
        </w:rPr>
        <w:t>grade. IBM's Quantum Safe platform can perform cryptographic discovery and inventory that can detect quantum</w:t>
      </w:r>
      <w:r w:rsidR="00AC03CE" w:rsidRPr="009C6566">
        <w:rPr>
          <w:rFonts w:ascii="Calibri" w:hAnsi="Calibri" w:cs="Calibri"/>
          <w:sz w:val="22"/>
          <w:szCs w:val="22"/>
        </w:rPr>
        <w:t>-</w:t>
      </w:r>
      <w:r w:rsidRPr="009C6566">
        <w:rPr>
          <w:rFonts w:ascii="Calibri" w:hAnsi="Calibri" w:cs="Calibri"/>
          <w:sz w:val="22"/>
          <w:szCs w:val="22"/>
        </w:rPr>
        <w:t>vulnerable assets in complex IT environments. The platform assumes an enterprise architecture, with multiple systems that are interconnected, security operations personnel, and a level of cryptographic visibility that typically do</w:t>
      </w:r>
      <w:r w:rsidR="00AC03CE" w:rsidRPr="009C6566">
        <w:rPr>
          <w:rFonts w:ascii="Calibri" w:hAnsi="Calibri" w:cs="Calibri"/>
          <w:sz w:val="22"/>
          <w:szCs w:val="22"/>
        </w:rPr>
        <w:t>es</w:t>
      </w:r>
      <w:r w:rsidRPr="009C6566">
        <w:rPr>
          <w:rFonts w:ascii="Calibri" w:hAnsi="Calibri" w:cs="Calibri"/>
          <w:sz w:val="22"/>
          <w:szCs w:val="22"/>
        </w:rPr>
        <w:t xml:space="preserve"> not apply to a healthcare SME running practice management apps, cloud-based patient record apps, and off-the-shelf networking equipment </w:t>
      </w:r>
      <w:sdt>
        <w:sdtPr>
          <w:rPr>
            <w:rFonts w:ascii="Calibri" w:hAnsi="Calibri" w:cs="Calibri"/>
            <w:sz w:val="22"/>
            <w:szCs w:val="22"/>
          </w:rPr>
          <w:id w:val="1365557041"/>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Bin23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(Bindel, 2023)</w:t>
          </w:r>
          <w:r w:rsidR="008247EC">
            <w:rPr>
              <w:rFonts w:ascii="Calibri" w:hAnsi="Calibri" w:cs="Calibri"/>
              <w:sz w:val="22"/>
              <w:szCs w:val="22"/>
            </w:rPr>
            <w:fldChar w:fldCharType="end"/>
          </w:r>
        </w:sdtContent>
      </w:sdt>
      <w:r w:rsidRPr="009C6566">
        <w:rPr>
          <w:rFonts w:ascii="Calibri" w:hAnsi="Calibri" w:cs="Calibri"/>
          <w:sz w:val="22"/>
          <w:szCs w:val="22"/>
        </w:rPr>
        <w:t>. Likewise, PQShield and others, those who speciali</w:t>
      </w:r>
      <w:r w:rsidR="00AC03CE" w:rsidRPr="009C6566">
        <w:rPr>
          <w:rFonts w:ascii="Calibri" w:hAnsi="Calibri" w:cs="Calibri"/>
          <w:sz w:val="22"/>
          <w:szCs w:val="22"/>
        </w:rPr>
        <w:t>s</w:t>
      </w:r>
      <w:r w:rsidRPr="009C6566">
        <w:rPr>
          <w:rFonts w:ascii="Calibri" w:hAnsi="Calibri" w:cs="Calibri"/>
          <w:sz w:val="22"/>
          <w:szCs w:val="22"/>
        </w:rPr>
        <w:t>e in PQC, provide migration consulting and cryptographic agility tooling services, which come in a range of costs from five thousand to fifty thousand dollars, too steep an investment for the small healthcare practice on a thin margin.</w:t>
      </w:r>
    </w:p>
    <w:p w14:paraId="02246134" w14:textId="7EBD7C63"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 xml:space="preserve">Government frameworks are in a different position; they are available, but not technically accessible to non-technical users. The CISA Post-Quantum Cryptography Initiative contains detailed information on migration guidance and a PQC migration roadmap, and the Planning for Post-Quantum Cryptography publication by ASD sets out the Australian compliance timeline and technical requirements </w:t>
      </w:r>
      <w:sdt>
        <w:sdtPr>
          <w:rPr>
            <w:rFonts w:ascii="Calibri" w:hAnsi="Calibri" w:cs="Calibri"/>
            <w:sz w:val="22"/>
            <w:szCs w:val="22"/>
          </w:rPr>
          <w:id w:val="-1394740452"/>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ASD \l 3081  \m Cyb24</w:instrText>
          </w:r>
          <w:r w:rsidR="008247EC">
            <w:rPr>
              <w:rFonts w:ascii="Calibri" w:hAnsi="Calibri" w:cs="Calibri"/>
              <w:sz w:val="22"/>
              <w:szCs w:val="22"/>
            </w:rPr>
            <w:fldChar w:fldCharType="separate"/>
          </w:r>
          <w:r w:rsidR="006075A3" w:rsidRPr="006075A3">
            <w:rPr>
              <w:rFonts w:ascii="Calibri" w:hAnsi="Calibri" w:cs="Calibri"/>
              <w:noProof/>
              <w:sz w:val="22"/>
              <w:szCs w:val="22"/>
            </w:rPr>
            <w:t>(ASD, 2024; CISA, 2024)</w:t>
          </w:r>
          <w:r w:rsidR="008247EC">
            <w:rPr>
              <w:rFonts w:ascii="Calibri" w:hAnsi="Calibri" w:cs="Calibri"/>
              <w:sz w:val="22"/>
              <w:szCs w:val="22"/>
            </w:rPr>
            <w:fldChar w:fldCharType="end"/>
          </w:r>
        </w:sdtContent>
      </w:sdt>
      <w:r w:rsidRPr="009C6566">
        <w:rPr>
          <w:rFonts w:ascii="Calibri" w:hAnsi="Calibri" w:cs="Calibri"/>
          <w:sz w:val="22"/>
          <w:szCs w:val="22"/>
        </w:rPr>
        <w:t>. The NIST CSF 2.0 provides a holistic organisational structure for cybersecurity risk management through five functions: Govern, Identify, Protect, Detect, Respond, and Recover, which could be implemented in the context of quantum readiness planning</w:t>
      </w:r>
      <w:sdt>
        <w:sdtPr>
          <w:rPr>
            <w:rFonts w:ascii="Calibri" w:hAnsi="Calibri" w:cs="Calibri"/>
            <w:sz w:val="22"/>
            <w:szCs w:val="22"/>
          </w:rPr>
          <w:id w:val="1467466375"/>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NIS24 \l 3081 </w:instrText>
          </w:r>
          <w:r w:rsidR="008247EC">
            <w:rPr>
              <w:rFonts w:ascii="Calibri" w:hAnsi="Calibri" w:cs="Calibri"/>
              <w:sz w:val="22"/>
              <w:szCs w:val="22"/>
            </w:rPr>
            <w:fldChar w:fldCharType="separate"/>
          </w:r>
          <w:r w:rsidR="006075A3">
            <w:rPr>
              <w:rFonts w:ascii="Calibri" w:hAnsi="Calibri" w:cs="Calibri"/>
              <w:noProof/>
              <w:sz w:val="22"/>
              <w:szCs w:val="22"/>
            </w:rPr>
            <w:t xml:space="preserve"> </w:t>
          </w:r>
          <w:r w:rsidR="006075A3" w:rsidRPr="006075A3">
            <w:rPr>
              <w:rFonts w:ascii="Calibri" w:hAnsi="Calibri" w:cs="Calibri"/>
              <w:noProof/>
              <w:sz w:val="22"/>
              <w:szCs w:val="22"/>
            </w:rPr>
            <w:t>(NIST, 2024)</w:t>
          </w:r>
          <w:r w:rsidR="008247EC">
            <w:rPr>
              <w:rFonts w:ascii="Calibri" w:hAnsi="Calibri" w:cs="Calibri"/>
              <w:sz w:val="22"/>
              <w:szCs w:val="22"/>
            </w:rPr>
            <w:fldChar w:fldCharType="end"/>
          </w:r>
        </w:sdtContent>
      </w:sdt>
      <w:r w:rsidRPr="009C6566">
        <w:rPr>
          <w:rFonts w:ascii="Calibri" w:hAnsi="Calibri" w:cs="Calibri"/>
          <w:sz w:val="22"/>
          <w:szCs w:val="22"/>
        </w:rPr>
        <w:t xml:space="preserve">. As Fernandez-Cames and Fraga-Lamas (2020) state, however, the interpretation of the requirement of the framework into practical actions for non-technical operators is not something that SMEs are likely to have in-house expertise to </w:t>
      </w:r>
      <w:r w:rsidRPr="009C6566">
        <w:rPr>
          <w:rFonts w:ascii="Calibri" w:hAnsi="Calibri" w:cs="Calibri"/>
          <w:sz w:val="22"/>
          <w:szCs w:val="22"/>
        </w:rPr>
        <w:lastRenderedPageBreak/>
        <w:t>perform. Without specialist support, a healthcare practice manager who reads ASD's PQC guidance without support will not come away with a clear understanding of which of their systems are quantum vulnerable, in what order to migrate them or what budget to use.</w:t>
      </w:r>
    </w:p>
    <w:p w14:paraId="48B1C22F" w14:textId="1B62B5B2"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 xml:space="preserve">A third class of solutions are general cybersecurity evaluation tools such as vulnerability scanners, compliance checkers and security rating platforms. Several tools, such as Security Scorecard and Qualys, offer a general cybersecurity posture assessment, but none currently includes a quantum-specific security risk assessment, cryptographic inventory assessment or a PQC migration readiness scoring </w:t>
      </w:r>
      <w:sdt>
        <w:sdtPr>
          <w:rPr>
            <w:rFonts w:ascii="Calibri" w:hAnsi="Calibri" w:cs="Calibri"/>
            <w:sz w:val="22"/>
            <w:szCs w:val="22"/>
          </w:rPr>
          <w:id w:val="671764572"/>
          <w:citation/>
        </w:sdtPr>
        <w:sdtEndPr/>
        <w:sdtContent>
          <w:r w:rsidR="008247EC">
            <w:rPr>
              <w:rFonts w:ascii="Calibri" w:hAnsi="Calibri" w:cs="Calibri"/>
              <w:sz w:val="22"/>
              <w:szCs w:val="22"/>
            </w:rPr>
            <w:fldChar w:fldCharType="begin"/>
          </w:r>
          <w:r w:rsidR="008247EC">
            <w:rPr>
              <w:rFonts w:ascii="Calibri" w:hAnsi="Calibri" w:cs="Calibri"/>
              <w:sz w:val="22"/>
              <w:szCs w:val="22"/>
            </w:rPr>
            <w:instrText xml:space="preserve"> CITATION Per09 \l 3081 </w:instrText>
          </w:r>
          <w:r w:rsidR="008247EC">
            <w:rPr>
              <w:rFonts w:ascii="Calibri" w:hAnsi="Calibri" w:cs="Calibri"/>
              <w:sz w:val="22"/>
              <w:szCs w:val="22"/>
            </w:rPr>
            <w:fldChar w:fldCharType="separate"/>
          </w:r>
          <w:r w:rsidR="006075A3" w:rsidRPr="006075A3">
            <w:rPr>
              <w:rFonts w:ascii="Calibri" w:hAnsi="Calibri" w:cs="Calibri"/>
              <w:noProof/>
              <w:sz w:val="22"/>
              <w:szCs w:val="22"/>
            </w:rPr>
            <w:t>(Perlner, 2009)</w:t>
          </w:r>
          <w:r w:rsidR="008247EC">
            <w:rPr>
              <w:rFonts w:ascii="Calibri" w:hAnsi="Calibri" w:cs="Calibri"/>
              <w:sz w:val="22"/>
              <w:szCs w:val="22"/>
            </w:rPr>
            <w:fldChar w:fldCharType="end"/>
          </w:r>
        </w:sdtContent>
      </w:sdt>
      <w:r w:rsidRPr="009C6566">
        <w:rPr>
          <w:rFonts w:ascii="Calibri" w:hAnsi="Calibri" w:cs="Calibri"/>
          <w:sz w:val="22"/>
          <w:szCs w:val="22"/>
        </w:rPr>
        <w:t>. Particularly, this absence is significant for healthcare SMEs, where the quantum vulnerability of encryption could be present in medical device communications, telehealth platforms, electronic health record systems or third-party billing software, none of which is assessed from a quantum perspective by existing general assessment tools.</w:t>
      </w:r>
    </w:p>
    <w:p w14:paraId="66736B0D" w14:textId="498540F7" w:rsidR="006B2CC7" w:rsidRPr="00DB329A" w:rsidRDefault="006B2CC7" w:rsidP="00BB5FF0">
      <w:pPr>
        <w:pStyle w:val="font-claude-response-body"/>
        <w:spacing w:line="276" w:lineRule="auto"/>
        <w:jc w:val="both"/>
        <w:rPr>
          <w:rFonts w:ascii="Calibri" w:hAnsi="Calibri" w:cs="Calibri"/>
        </w:rPr>
      </w:pPr>
      <w:r w:rsidRPr="009C6566">
        <w:rPr>
          <w:rFonts w:ascii="Calibri" w:hAnsi="Calibri" w:cs="Calibri"/>
          <w:sz w:val="22"/>
          <w:szCs w:val="22"/>
        </w:rPr>
        <w:t>The fact that these restrictions add up results in a large unfilled market. There is currently no product category available for affordable, accessible, health care-ready assessment of readiness. The proposed solution is QuantumShield, a tool that will fill this space, providing automated, plain-English readiness assessment, tailored to the technical and operational requirements of Australian healthcare SMEs, accessible at an affordable and manageable level without the need for specialist cybersecurity skills</w:t>
      </w:r>
      <w:r w:rsidRPr="00DB329A">
        <w:rPr>
          <w:rFonts w:ascii="Calibri" w:hAnsi="Calibri" w:cs="Calibri"/>
        </w:rPr>
        <w:t>.</w:t>
      </w:r>
    </w:p>
    <w:p w14:paraId="74DECABB" w14:textId="77777777" w:rsidR="006B2CC7" w:rsidRPr="00DB329A" w:rsidRDefault="006B2CC7" w:rsidP="00BB5FF0">
      <w:pPr>
        <w:pStyle w:val="font-claude-response-body"/>
        <w:spacing w:line="276" w:lineRule="auto"/>
        <w:jc w:val="both"/>
        <w:rPr>
          <w:rFonts w:ascii="Calibri" w:hAnsi="Calibri" w:cs="Calibri"/>
          <w:b/>
          <w:bCs/>
        </w:rPr>
      </w:pPr>
      <w:r w:rsidRPr="00DB329A">
        <w:rPr>
          <w:rFonts w:ascii="Calibri" w:hAnsi="Calibri" w:cs="Calibri"/>
          <w:b/>
          <w:bCs/>
        </w:rPr>
        <w:t>Theme 4: Regulatory and Compliance Drivers Shaping the Post-Quantum Transition</w:t>
      </w:r>
    </w:p>
    <w:p w14:paraId="22144F30" w14:textId="77777777"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This is not just an issue of the quantum threat being technically real, but also increasingly a requirement for compliance and regulation with a variety of overlapping mandates with serious legal, financial and reputational ramifications for non-compliant organisations. These are key drivers in understanding the market need for QuantumShield, since the regulatory pressure is one of the most reliable catalysts for SME cybersecurity investments.</w:t>
      </w:r>
    </w:p>
    <w:p w14:paraId="002EA375" w14:textId="66C3AD19"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NIST FIPS 203, 204, and 205 were released in August 2024, providing the international floor for the standards of post-quantum cryptography</w:t>
      </w:r>
      <w:sdt>
        <w:sdtPr>
          <w:rPr>
            <w:rFonts w:ascii="Calibri" w:hAnsi="Calibri" w:cs="Calibri"/>
            <w:sz w:val="22"/>
            <w:szCs w:val="22"/>
          </w:rPr>
          <w:id w:val="2110394940"/>
          <w:citation/>
        </w:sdtPr>
        <w:sdtEndPr/>
        <w:sdtContent>
          <w:r w:rsidR="00265AB5">
            <w:rPr>
              <w:rFonts w:ascii="Calibri" w:hAnsi="Calibri" w:cs="Calibri"/>
              <w:sz w:val="22"/>
              <w:szCs w:val="22"/>
            </w:rPr>
            <w:fldChar w:fldCharType="begin"/>
          </w:r>
          <w:r w:rsidR="00265AB5">
            <w:rPr>
              <w:rFonts w:ascii="Calibri" w:hAnsi="Calibri" w:cs="Calibri"/>
              <w:sz w:val="22"/>
              <w:szCs w:val="22"/>
            </w:rPr>
            <w:instrText xml:space="preserve"> CITATION NIS24 \l 3081 </w:instrText>
          </w:r>
          <w:r w:rsidR="00265AB5">
            <w:rPr>
              <w:rFonts w:ascii="Calibri" w:hAnsi="Calibri" w:cs="Calibri"/>
              <w:sz w:val="22"/>
              <w:szCs w:val="22"/>
            </w:rPr>
            <w:fldChar w:fldCharType="separate"/>
          </w:r>
          <w:r w:rsidR="006075A3">
            <w:rPr>
              <w:rFonts w:ascii="Calibri" w:hAnsi="Calibri" w:cs="Calibri"/>
              <w:noProof/>
              <w:sz w:val="22"/>
              <w:szCs w:val="22"/>
            </w:rPr>
            <w:t xml:space="preserve"> </w:t>
          </w:r>
          <w:r w:rsidR="006075A3" w:rsidRPr="006075A3">
            <w:rPr>
              <w:rFonts w:ascii="Calibri" w:hAnsi="Calibri" w:cs="Calibri"/>
              <w:noProof/>
              <w:sz w:val="22"/>
              <w:szCs w:val="22"/>
            </w:rPr>
            <w:t>(NIST, 2024)</w:t>
          </w:r>
          <w:r w:rsidR="00265AB5">
            <w:rPr>
              <w:rFonts w:ascii="Calibri" w:hAnsi="Calibri" w:cs="Calibri"/>
              <w:sz w:val="22"/>
              <w:szCs w:val="22"/>
            </w:rPr>
            <w:fldChar w:fldCharType="end"/>
          </w:r>
        </w:sdtContent>
      </w:sdt>
      <w:r w:rsidRPr="009C6566">
        <w:rPr>
          <w:rFonts w:ascii="Calibri" w:hAnsi="Calibri" w:cs="Calibri"/>
          <w:sz w:val="22"/>
          <w:szCs w:val="22"/>
        </w:rPr>
        <w:t xml:space="preserve">. Although Australian organisations are not bound by NIST standards, they have a strong de facto influence due to the increasing demand for standards compliance as a requirement for procurement and partnership in the Australian government sector. Legacy public-key cryptography will be increasingly phased out of hardware security modules, secure boot solutions and cryptographic validation programs by 2025 and beyond, with this phase-out being detailed explicitly by the </w:t>
      </w:r>
      <w:sdt>
        <w:sdtPr>
          <w:rPr>
            <w:rFonts w:ascii="Calibri" w:hAnsi="Calibri" w:cs="Calibri"/>
            <w:sz w:val="22"/>
            <w:szCs w:val="22"/>
          </w:rPr>
          <w:id w:val="-1982534904"/>
          <w:citation/>
        </w:sdtPr>
        <w:sdtEndPr/>
        <w:sdtContent>
          <w:r w:rsidR="00265AB5">
            <w:rPr>
              <w:rFonts w:ascii="Calibri" w:hAnsi="Calibri" w:cs="Calibri"/>
              <w:sz w:val="22"/>
              <w:szCs w:val="22"/>
            </w:rPr>
            <w:fldChar w:fldCharType="begin"/>
          </w:r>
          <w:r w:rsidR="00265AB5">
            <w:rPr>
              <w:rFonts w:ascii="Calibri" w:hAnsi="Calibri" w:cs="Calibri"/>
              <w:sz w:val="22"/>
              <w:szCs w:val="22"/>
            </w:rPr>
            <w:instrText xml:space="preserve"> CITATION NCS25 \l 3081 </w:instrText>
          </w:r>
          <w:r w:rsidR="00265AB5">
            <w:rPr>
              <w:rFonts w:ascii="Calibri" w:hAnsi="Calibri" w:cs="Calibri"/>
              <w:sz w:val="22"/>
              <w:szCs w:val="22"/>
            </w:rPr>
            <w:fldChar w:fldCharType="separate"/>
          </w:r>
          <w:r w:rsidR="006075A3" w:rsidRPr="006075A3">
            <w:rPr>
              <w:rFonts w:ascii="Calibri" w:hAnsi="Calibri" w:cs="Calibri"/>
              <w:noProof/>
              <w:sz w:val="22"/>
              <w:szCs w:val="22"/>
            </w:rPr>
            <w:t>(NCSC, 2025)</w:t>
          </w:r>
          <w:r w:rsidR="00265AB5">
            <w:rPr>
              <w:rFonts w:ascii="Calibri" w:hAnsi="Calibri" w:cs="Calibri"/>
              <w:sz w:val="22"/>
              <w:szCs w:val="22"/>
            </w:rPr>
            <w:fldChar w:fldCharType="end"/>
          </w:r>
        </w:sdtContent>
      </w:sdt>
      <w:r w:rsidRPr="009C6566">
        <w:rPr>
          <w:rFonts w:ascii="Calibri" w:hAnsi="Calibri" w:cs="Calibri"/>
          <w:sz w:val="22"/>
          <w:szCs w:val="22"/>
        </w:rPr>
        <w:t>, meaning that any Australian healthcare SME that interfaces with international technology supply chains is likely to be experiencing downstream compliance pressure.</w:t>
      </w:r>
    </w:p>
    <w:p w14:paraId="184169C4" w14:textId="740BEF5F" w:rsidR="006B2CC7" w:rsidRPr="009C6566" w:rsidRDefault="006B2CC7" w:rsidP="00BB5FF0">
      <w:pPr>
        <w:pStyle w:val="font-claude-response-body"/>
        <w:spacing w:line="276" w:lineRule="auto"/>
        <w:jc w:val="both"/>
        <w:rPr>
          <w:rFonts w:ascii="Calibri" w:hAnsi="Calibri" w:cs="Calibri"/>
          <w:sz w:val="22"/>
          <w:szCs w:val="22"/>
        </w:rPr>
      </w:pPr>
      <w:r w:rsidRPr="009C6566">
        <w:rPr>
          <w:rFonts w:ascii="Calibri" w:hAnsi="Calibri" w:cs="Calibri"/>
          <w:sz w:val="22"/>
          <w:szCs w:val="22"/>
        </w:rPr>
        <w:t>The regulatory environment within Australia is more binding. The ASD's Information Security Manual provides a clear three-stage compliance plan: organisations will need to have a documented plan for quantum transition by the end of 2026, start using post-quantum algorithms in critical systems by the end of 2028 and quantum transition by the end of 2030</w:t>
      </w:r>
      <w:r w:rsidR="00265AB5">
        <w:rPr>
          <w:rFonts w:ascii="Calibri" w:hAnsi="Calibri" w:cs="Calibri"/>
          <w:sz w:val="22"/>
          <w:szCs w:val="22"/>
        </w:rPr>
        <w:t xml:space="preserve"> </w:t>
      </w:r>
      <w:sdt>
        <w:sdtPr>
          <w:rPr>
            <w:rFonts w:ascii="Calibri" w:hAnsi="Calibri" w:cs="Calibri"/>
            <w:sz w:val="22"/>
            <w:szCs w:val="22"/>
          </w:rPr>
          <w:id w:val="-1357180178"/>
          <w:citation/>
        </w:sdtPr>
        <w:sdtEndPr/>
        <w:sdtContent>
          <w:r w:rsidR="000C6811">
            <w:rPr>
              <w:rFonts w:ascii="Calibri" w:hAnsi="Calibri" w:cs="Calibri"/>
              <w:sz w:val="22"/>
              <w:szCs w:val="22"/>
            </w:rPr>
            <w:fldChar w:fldCharType="begin"/>
          </w:r>
          <w:r w:rsidR="000C6811">
            <w:rPr>
              <w:rFonts w:ascii="Calibri" w:hAnsi="Calibri" w:cs="Calibri"/>
              <w:sz w:val="22"/>
              <w:szCs w:val="22"/>
            </w:rPr>
            <w:instrText xml:space="preserve"> CITATION ASD \l 3081 </w:instrText>
          </w:r>
          <w:r w:rsidR="000C6811">
            <w:rPr>
              <w:rFonts w:ascii="Calibri" w:hAnsi="Calibri" w:cs="Calibri"/>
              <w:sz w:val="22"/>
              <w:szCs w:val="22"/>
            </w:rPr>
            <w:fldChar w:fldCharType="separate"/>
          </w:r>
          <w:r w:rsidR="006075A3" w:rsidRPr="006075A3">
            <w:rPr>
              <w:rFonts w:ascii="Calibri" w:hAnsi="Calibri" w:cs="Calibri"/>
              <w:noProof/>
              <w:sz w:val="22"/>
              <w:szCs w:val="22"/>
            </w:rPr>
            <w:t>(ASD, 2024)</w:t>
          </w:r>
          <w:r w:rsidR="000C6811">
            <w:rPr>
              <w:rFonts w:ascii="Calibri" w:hAnsi="Calibri" w:cs="Calibri"/>
              <w:sz w:val="22"/>
              <w:szCs w:val="22"/>
            </w:rPr>
            <w:fldChar w:fldCharType="end"/>
          </w:r>
        </w:sdtContent>
      </w:sdt>
      <w:r w:rsidRPr="009C6566">
        <w:rPr>
          <w:rFonts w:ascii="Calibri" w:hAnsi="Calibri" w:cs="Calibri"/>
          <w:sz w:val="22"/>
          <w:szCs w:val="22"/>
        </w:rPr>
        <w:t xml:space="preserve">. The ISM is primarily relevant to government/ critical infrastructure operators, but healthcare is considered critical infrastructure under the Security of Critical Infrastructure Act 2018 and healthcare providers (including SMEs who operate </w:t>
      </w:r>
      <w:r w:rsidRPr="009C6566">
        <w:rPr>
          <w:rFonts w:ascii="Calibri" w:hAnsi="Calibri" w:cs="Calibri"/>
          <w:sz w:val="22"/>
          <w:szCs w:val="22"/>
        </w:rPr>
        <w:lastRenderedPageBreak/>
        <w:t>within the health system) are included. Failure to meet the critical infrastructure security requirements results in civil fines and damage to reputation, which are a material business risk to healthcare practices.</w:t>
      </w:r>
    </w:p>
    <w:p w14:paraId="246CC365" w14:textId="0C8D5BCC" w:rsidR="00652496" w:rsidRPr="009C6566" w:rsidRDefault="006B2CC7" w:rsidP="00BB5FF0">
      <w:pPr>
        <w:pStyle w:val="font-claude-response-body"/>
        <w:spacing w:line="276" w:lineRule="auto"/>
        <w:jc w:val="both"/>
        <w:rPr>
          <w:rFonts w:ascii="Calibri" w:hAnsi="Calibri" w:cs="Calibri"/>
          <w:sz w:val="22"/>
          <w:szCs w:val="22"/>
          <w:highlight w:val="yellow"/>
        </w:rPr>
      </w:pPr>
      <w:r w:rsidRPr="009C6566">
        <w:rPr>
          <w:rFonts w:ascii="Calibri" w:hAnsi="Calibri" w:cs="Calibri"/>
          <w:sz w:val="22"/>
          <w:szCs w:val="22"/>
        </w:rPr>
        <w:t xml:space="preserve">This pressure is compounded by regulatory requirements in the healthcare industry. The Privacy Act 1988 and the My Health Records Act 2012 have strict conditions for the protection of health information, including the requirement to implement reasonable security measures commensurate with the nature of the information collected and retained (Privacy Act 1988 and My Health Records Act 2012). With quantum computing making traditional encryption methods too insecure to be considered reasonable, healthcare SMEs who don't move may be subject to regulatory action from the Office of the Australian Information Commissioner (OAIC) if a data breach occurs, especially when quantum-decrypted health records become a notifiable data breach under the Notifiable Data Breaches scheme. Indeed, regulatory compliance requirements are one of the most powerful motivators for investing in cybersecurity in SME settings because they turn an abstract technical threat into a real legal liability </w:t>
      </w:r>
      <w:sdt>
        <w:sdtPr>
          <w:rPr>
            <w:rFonts w:ascii="Calibri" w:hAnsi="Calibri" w:cs="Calibri"/>
            <w:sz w:val="22"/>
            <w:szCs w:val="22"/>
          </w:rPr>
          <w:id w:val="2067682908"/>
          <w:citation/>
        </w:sdtPr>
        <w:sdtEndPr/>
        <w:sdtContent>
          <w:r w:rsidR="000C6811">
            <w:rPr>
              <w:rFonts w:ascii="Calibri" w:hAnsi="Calibri" w:cs="Calibri"/>
              <w:sz w:val="22"/>
              <w:szCs w:val="22"/>
            </w:rPr>
            <w:fldChar w:fldCharType="begin"/>
          </w:r>
          <w:r w:rsidR="000C6811">
            <w:rPr>
              <w:rFonts w:ascii="Calibri" w:hAnsi="Calibri" w:cs="Calibri"/>
              <w:sz w:val="22"/>
              <w:szCs w:val="22"/>
            </w:rPr>
            <w:instrText xml:space="preserve"> CITATION Tup18 \l 3081 </w:instrText>
          </w:r>
          <w:r w:rsidR="000C6811">
            <w:rPr>
              <w:rFonts w:ascii="Calibri" w:hAnsi="Calibri" w:cs="Calibri"/>
              <w:sz w:val="22"/>
              <w:szCs w:val="22"/>
            </w:rPr>
            <w:fldChar w:fldCharType="separate"/>
          </w:r>
          <w:r w:rsidR="006075A3" w:rsidRPr="006075A3">
            <w:rPr>
              <w:rFonts w:ascii="Calibri" w:hAnsi="Calibri" w:cs="Calibri"/>
              <w:noProof/>
              <w:sz w:val="22"/>
              <w:szCs w:val="22"/>
            </w:rPr>
            <w:t>(Tuptuk, 2018)</w:t>
          </w:r>
          <w:r w:rsidR="000C6811">
            <w:rPr>
              <w:rFonts w:ascii="Calibri" w:hAnsi="Calibri" w:cs="Calibri"/>
              <w:sz w:val="22"/>
              <w:szCs w:val="22"/>
            </w:rPr>
            <w:fldChar w:fldCharType="end"/>
          </w:r>
        </w:sdtContent>
      </w:sdt>
      <w:r w:rsidRPr="009C6566">
        <w:rPr>
          <w:rFonts w:ascii="Calibri" w:hAnsi="Calibri" w:cs="Calibri"/>
          <w:sz w:val="22"/>
          <w:szCs w:val="22"/>
        </w:rPr>
        <w:t>.</w:t>
      </w:r>
    </w:p>
    <w:p w14:paraId="3AC2E540" w14:textId="77777777" w:rsidR="0054671E" w:rsidRPr="00DB329A" w:rsidRDefault="0054671E"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Section 5: Gap Analysis Using Selected Frameworks</w:t>
      </w:r>
    </w:p>
    <w:p w14:paraId="61E1A78F" w14:textId="77777777" w:rsidR="0054671E" w:rsidRPr="00DB329A" w:rsidRDefault="0054671E"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Framework Selection Rationale</w:t>
      </w:r>
    </w:p>
    <w:p w14:paraId="7C1C150F" w14:textId="62ADAB2F" w:rsidR="00EE0ECA" w:rsidRPr="00DB329A" w:rsidRDefault="0054671E" w:rsidP="00BB5FF0">
      <w:pPr>
        <w:spacing w:before="100" w:beforeAutospacing="1" w:after="100" w:afterAutospacing="1" w:line="276" w:lineRule="auto"/>
        <w:jc w:val="both"/>
        <w:rPr>
          <w:rFonts w:ascii="Calibri" w:eastAsia="Times New Roman" w:hAnsi="Calibri" w:cs="Calibri"/>
          <w:lang w:val="en-AU" w:eastAsia="en-GB"/>
        </w:rPr>
      </w:pPr>
      <w:r w:rsidRPr="009C6566">
        <w:rPr>
          <w:rFonts w:ascii="Calibri" w:eastAsia="Times New Roman" w:hAnsi="Calibri" w:cs="Calibri"/>
          <w:sz w:val="22"/>
          <w:szCs w:val="22"/>
          <w:lang w:val="en-AU" w:eastAsia="en-GB"/>
        </w:rPr>
        <w:t xml:space="preserve">Three gap-analysis frameworks were selected to evaluate the post-quantum readiness landscape for Australian healthcare SMEs. First, a competitor feature matrix was chosen to systematically map the functional gap between existing solutions and the needs of healthcare SME users a standard tool for product-market fit analysis in startup MVP contexts. Second, the NIST Cybersecurity Framework 2.0 (CSF 2.0) was selected because it provides a structured, function-level view of organisational cybersecurity posture that can be directly mapped to quantum readiness dimensions, and because it is the framework most referenced in Australian government PQC guidance </w:t>
      </w:r>
      <w:sdt>
        <w:sdtPr>
          <w:rPr>
            <w:rFonts w:ascii="Calibri" w:eastAsia="Times New Roman" w:hAnsi="Calibri" w:cs="Calibri"/>
            <w:sz w:val="22"/>
            <w:szCs w:val="22"/>
            <w:lang w:val="en-AU" w:eastAsia="en-GB"/>
          </w:rPr>
          <w:id w:val="-2117661078"/>
          <w:citation/>
        </w:sdtPr>
        <w:sdtEndPr/>
        <w:sdtContent>
          <w:r w:rsidR="000C6811">
            <w:rPr>
              <w:rFonts w:ascii="Calibri" w:eastAsia="Times New Roman" w:hAnsi="Calibri" w:cs="Calibri"/>
              <w:sz w:val="22"/>
              <w:szCs w:val="22"/>
              <w:lang w:val="en-AU" w:eastAsia="en-GB"/>
            </w:rPr>
            <w:fldChar w:fldCharType="begin"/>
          </w:r>
          <w:r w:rsidR="000C6811">
            <w:rPr>
              <w:rFonts w:ascii="Calibri" w:eastAsia="Times New Roman" w:hAnsi="Calibri" w:cs="Calibri"/>
              <w:sz w:val="22"/>
              <w:szCs w:val="22"/>
              <w:lang w:val="en-AU" w:eastAsia="en-GB"/>
            </w:rPr>
            <w:instrText xml:space="preserve"> CITATION ASD \l 3081 </w:instrText>
          </w:r>
          <w:r w:rsidR="000C6811">
            <w:rPr>
              <w:rFonts w:ascii="Calibri" w:eastAsia="Times New Roman" w:hAnsi="Calibri" w:cs="Calibri"/>
              <w:sz w:val="22"/>
              <w:szCs w:val="22"/>
              <w:lang w:val="en-AU" w:eastAsia="en-GB"/>
            </w:rPr>
            <w:fldChar w:fldCharType="separate"/>
          </w:r>
          <w:r w:rsidR="006075A3" w:rsidRPr="006075A3">
            <w:rPr>
              <w:rFonts w:ascii="Calibri" w:eastAsia="Times New Roman" w:hAnsi="Calibri" w:cs="Calibri"/>
              <w:noProof/>
              <w:sz w:val="22"/>
              <w:szCs w:val="22"/>
              <w:lang w:val="en-AU" w:eastAsia="en-GB"/>
            </w:rPr>
            <w:t>(ASD, 2024)</w:t>
          </w:r>
          <w:r w:rsidR="000C6811">
            <w:rPr>
              <w:rFonts w:ascii="Calibri" w:eastAsia="Times New Roman" w:hAnsi="Calibri" w:cs="Calibri"/>
              <w:sz w:val="22"/>
              <w:szCs w:val="22"/>
              <w:lang w:val="en-AU" w:eastAsia="en-GB"/>
            </w:rPr>
            <w:fldChar w:fldCharType="end"/>
          </w:r>
        </w:sdtContent>
      </w:sdt>
      <w:r w:rsidRPr="009C6566">
        <w:rPr>
          <w:rFonts w:ascii="Calibri" w:eastAsia="Times New Roman" w:hAnsi="Calibri" w:cs="Calibri"/>
          <w:sz w:val="22"/>
          <w:szCs w:val="22"/>
          <w:lang w:val="en-AU" w:eastAsia="en-GB"/>
        </w:rPr>
        <w:t>. Third, the ASD Essential Eight Maturity Model was selected as it represents the primary Australian cybersecurity compliance benchmark, allowing QuantumShield's assessment logic to be anchored to a framework already familiar to Australian healthcare SME IT managers. Together</w:t>
      </w:r>
      <w:r w:rsidR="009C6566">
        <w:rPr>
          <w:rFonts w:ascii="Calibri" w:eastAsia="Times New Roman" w:hAnsi="Calibri" w:cs="Calibri"/>
          <w:sz w:val="22"/>
          <w:szCs w:val="22"/>
          <w:lang w:val="en-AU" w:eastAsia="en-GB"/>
        </w:rPr>
        <w:t>,</w:t>
      </w:r>
      <w:r w:rsidRPr="009C6566">
        <w:rPr>
          <w:rFonts w:ascii="Calibri" w:eastAsia="Times New Roman" w:hAnsi="Calibri" w:cs="Calibri"/>
          <w:sz w:val="22"/>
          <w:szCs w:val="22"/>
          <w:lang w:val="en-AU" w:eastAsia="en-GB"/>
        </w:rPr>
        <w:t xml:space="preserve"> these three frameworks produce complementary insights</w:t>
      </w:r>
      <w:r w:rsidR="009C6566">
        <w:rPr>
          <w:rFonts w:ascii="Calibri" w:eastAsia="Times New Roman" w:hAnsi="Calibri" w:cs="Calibri"/>
          <w:sz w:val="22"/>
          <w:szCs w:val="22"/>
          <w:lang w:val="en-AU" w:eastAsia="en-GB"/>
        </w:rPr>
        <w:t>:</w:t>
      </w:r>
      <w:r w:rsidRPr="009C6566">
        <w:rPr>
          <w:rFonts w:ascii="Calibri" w:eastAsia="Times New Roman" w:hAnsi="Calibri" w:cs="Calibri"/>
          <w:sz w:val="22"/>
          <w:szCs w:val="22"/>
          <w:lang w:val="en-AU" w:eastAsia="en-GB"/>
        </w:rPr>
        <w:t xml:space="preserve"> competitive positioning, organisational capability gap, and Australian compliance alignment</w:t>
      </w:r>
      <w:r w:rsidR="00271840" w:rsidRPr="009C6566">
        <w:rPr>
          <w:rFonts w:ascii="Calibri" w:eastAsia="Times New Roman" w:hAnsi="Calibri" w:cs="Calibri"/>
          <w:sz w:val="22"/>
          <w:szCs w:val="22"/>
          <w:lang w:val="en-AU" w:eastAsia="en-GB"/>
        </w:rPr>
        <w:t xml:space="preserve"> </w:t>
      </w:r>
      <w:r w:rsidRPr="009C6566">
        <w:rPr>
          <w:rFonts w:ascii="Calibri" w:eastAsia="Times New Roman" w:hAnsi="Calibri" w:cs="Calibri"/>
          <w:sz w:val="22"/>
          <w:szCs w:val="22"/>
          <w:lang w:val="en-AU" w:eastAsia="en-GB"/>
        </w:rPr>
        <w:t>that collectively justify the QuantumShield proposition</w:t>
      </w:r>
      <w:r w:rsidRPr="00DB329A">
        <w:rPr>
          <w:rFonts w:ascii="Calibri" w:eastAsia="Times New Roman" w:hAnsi="Calibri" w:cs="Calibri"/>
          <w:lang w:val="en-AU" w:eastAsia="en-GB"/>
        </w:rPr>
        <w:t>.</w:t>
      </w:r>
    </w:p>
    <w:p w14:paraId="23EF3CDA" w14:textId="77777777" w:rsidR="0054671E" w:rsidRPr="00DB329A" w:rsidRDefault="0054671E"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Framework 1: Competitor Feature Matrix</w:t>
      </w:r>
    </w:p>
    <w:p w14:paraId="2BFE4E6A" w14:textId="0CADC1E2" w:rsidR="0054671E" w:rsidRPr="00DB329A" w:rsidRDefault="0054671E"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lang w:val="en-AU" w:eastAsia="en-GB"/>
        </w:rPr>
        <w:t xml:space="preserve">The following matrix evaluates QuantumShield against four existing solutions across six dimensions critical to </w:t>
      </w:r>
      <w:r w:rsidR="00271840" w:rsidRPr="00DB329A">
        <w:rPr>
          <w:rFonts w:ascii="Calibri" w:eastAsia="Times New Roman" w:hAnsi="Calibri" w:cs="Calibri"/>
          <w:lang w:val="en-AU" w:eastAsia="en-GB"/>
        </w:rPr>
        <w:t>usability</w:t>
      </w:r>
      <w:r w:rsidRPr="00DB329A">
        <w:rPr>
          <w:rFonts w:ascii="Calibri" w:eastAsia="Times New Roman" w:hAnsi="Calibri" w:cs="Calibri"/>
          <w:lang w:val="en-AU" w:eastAsia="en-GB"/>
        </w:rPr>
        <w:t xml:space="preserve"> </w:t>
      </w:r>
      <w:r w:rsidR="00271840" w:rsidRPr="00DB329A">
        <w:rPr>
          <w:rFonts w:ascii="Calibri" w:eastAsia="Times New Roman" w:hAnsi="Calibri" w:cs="Calibri"/>
          <w:lang w:val="en-AU" w:eastAsia="en-GB"/>
        </w:rPr>
        <w:t>for</w:t>
      </w:r>
      <w:r w:rsidRPr="00DB329A">
        <w:rPr>
          <w:rFonts w:ascii="Calibri" w:eastAsia="Times New Roman" w:hAnsi="Calibri" w:cs="Calibri"/>
          <w:lang w:val="en-AU" w:eastAsia="en-GB"/>
        </w:rPr>
        <w:t xml:space="preserve"> </w:t>
      </w:r>
      <w:r w:rsidR="00271840" w:rsidRPr="00DB329A">
        <w:rPr>
          <w:rFonts w:ascii="Calibri" w:eastAsia="Times New Roman" w:hAnsi="Calibri" w:cs="Calibri"/>
          <w:lang w:val="en-AU" w:eastAsia="en-GB"/>
        </w:rPr>
        <w:t>healthcare SMEs</w:t>
      </w:r>
      <w:r w:rsidRPr="00DB329A">
        <w:rPr>
          <w:rFonts w:ascii="Calibri" w:eastAsia="Times New Roman" w:hAnsi="Calibri" w:cs="Calibri"/>
          <w:lang w:val="en-AU" w:eastAsia="en-GB"/>
        </w:rPr>
        <w:t>.</w:t>
      </w:r>
    </w:p>
    <w:tbl>
      <w:tblPr>
        <w:tblStyle w:val="GridTable1Light"/>
        <w:tblW w:w="0" w:type="auto"/>
        <w:tblLook w:val="04A0" w:firstRow="1" w:lastRow="0" w:firstColumn="1" w:lastColumn="0" w:noHBand="0" w:noVBand="1"/>
      </w:tblPr>
      <w:tblGrid>
        <w:gridCol w:w="2028"/>
        <w:gridCol w:w="1373"/>
        <w:gridCol w:w="1558"/>
        <w:gridCol w:w="1440"/>
        <w:gridCol w:w="1307"/>
        <w:gridCol w:w="1644"/>
      </w:tblGrid>
      <w:tr w:rsidR="0054671E" w:rsidRPr="009C6566" w14:paraId="232CD5B5" w14:textId="77777777" w:rsidTr="00271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2FC77" w14:textId="77777777" w:rsidR="0054671E" w:rsidRPr="009C6566" w:rsidRDefault="0054671E" w:rsidP="00BB5FF0">
            <w:pPr>
              <w:spacing w:line="276" w:lineRule="auto"/>
              <w:jc w:val="center"/>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Feature</w:t>
            </w:r>
          </w:p>
        </w:tc>
        <w:tc>
          <w:tcPr>
            <w:tcW w:w="0" w:type="auto"/>
            <w:hideMark/>
          </w:tcPr>
          <w:p w14:paraId="316C57C5"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IBM Quantum Safe</w:t>
            </w:r>
          </w:p>
        </w:tc>
        <w:tc>
          <w:tcPr>
            <w:tcW w:w="0" w:type="auto"/>
            <w:hideMark/>
          </w:tcPr>
          <w:p w14:paraId="246FE1AE"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CISA PQC Framework</w:t>
            </w:r>
          </w:p>
        </w:tc>
        <w:tc>
          <w:tcPr>
            <w:tcW w:w="0" w:type="auto"/>
            <w:hideMark/>
          </w:tcPr>
          <w:p w14:paraId="7331A421"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PQC Consultants</w:t>
            </w:r>
          </w:p>
        </w:tc>
        <w:tc>
          <w:tcPr>
            <w:tcW w:w="0" w:type="auto"/>
            <w:hideMark/>
          </w:tcPr>
          <w:p w14:paraId="5272709C"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General Cyber Tools</w:t>
            </w:r>
          </w:p>
        </w:tc>
        <w:tc>
          <w:tcPr>
            <w:tcW w:w="0" w:type="auto"/>
            <w:hideMark/>
          </w:tcPr>
          <w:p w14:paraId="0B56FCCC"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QuantumShield</w:t>
            </w:r>
          </w:p>
        </w:tc>
      </w:tr>
      <w:tr w:rsidR="0054671E" w:rsidRPr="009C6566" w14:paraId="02A8CF7C" w14:textId="77777777" w:rsidTr="00271840">
        <w:tc>
          <w:tcPr>
            <w:cnfStyle w:val="001000000000" w:firstRow="0" w:lastRow="0" w:firstColumn="1" w:lastColumn="0" w:oddVBand="0" w:evenVBand="0" w:oddHBand="0" w:evenHBand="0" w:firstRowFirstColumn="0" w:firstRowLastColumn="0" w:lastRowFirstColumn="0" w:lastRowLastColumn="0"/>
            <w:tcW w:w="0" w:type="auto"/>
            <w:hideMark/>
          </w:tcPr>
          <w:p w14:paraId="0A0F520E"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t>SME accessible (no specialist needed)</w:t>
            </w:r>
          </w:p>
        </w:tc>
        <w:tc>
          <w:tcPr>
            <w:tcW w:w="0" w:type="auto"/>
            <w:hideMark/>
          </w:tcPr>
          <w:p w14:paraId="08CB99A3"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05D1BEB0"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5A8D0974"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6FB084B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61E0A863"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r w:rsidR="0054671E" w:rsidRPr="009C6566" w14:paraId="21BB8D4A" w14:textId="77777777" w:rsidTr="00271840">
        <w:tc>
          <w:tcPr>
            <w:cnfStyle w:val="001000000000" w:firstRow="0" w:lastRow="0" w:firstColumn="1" w:lastColumn="0" w:oddVBand="0" w:evenVBand="0" w:oddHBand="0" w:evenHBand="0" w:firstRowFirstColumn="0" w:firstRowLastColumn="0" w:lastRowFirstColumn="0" w:lastRowLastColumn="0"/>
            <w:tcW w:w="0" w:type="auto"/>
            <w:hideMark/>
          </w:tcPr>
          <w:p w14:paraId="212C82A5"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lastRenderedPageBreak/>
              <w:t>Healthcare-sector specific</w:t>
            </w:r>
          </w:p>
        </w:tc>
        <w:tc>
          <w:tcPr>
            <w:tcW w:w="0" w:type="auto"/>
            <w:hideMark/>
          </w:tcPr>
          <w:p w14:paraId="439CA91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6C0ED9B3"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10C290C8"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1338F99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0BCBBA6D"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r w:rsidR="0054671E" w:rsidRPr="009C6566" w14:paraId="246A791E" w14:textId="77777777" w:rsidTr="009C6566">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3328115F"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t>Automated readiness report</w:t>
            </w:r>
          </w:p>
        </w:tc>
        <w:tc>
          <w:tcPr>
            <w:tcW w:w="0" w:type="auto"/>
            <w:hideMark/>
          </w:tcPr>
          <w:p w14:paraId="232F39E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65CD75A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1627C25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0E5662D0"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231980AF"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r w:rsidR="0054671E" w:rsidRPr="009C6566" w14:paraId="01FA334C" w14:textId="77777777" w:rsidTr="00271840">
        <w:tc>
          <w:tcPr>
            <w:cnfStyle w:val="001000000000" w:firstRow="0" w:lastRow="0" w:firstColumn="1" w:lastColumn="0" w:oddVBand="0" w:evenVBand="0" w:oddHBand="0" w:evenHBand="0" w:firstRowFirstColumn="0" w:firstRowLastColumn="0" w:lastRowFirstColumn="0" w:lastRowLastColumn="0"/>
            <w:tcW w:w="0" w:type="auto"/>
            <w:hideMark/>
          </w:tcPr>
          <w:p w14:paraId="23B52893"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t>Plain-English output</w:t>
            </w:r>
          </w:p>
        </w:tc>
        <w:tc>
          <w:tcPr>
            <w:tcW w:w="0" w:type="auto"/>
            <w:hideMark/>
          </w:tcPr>
          <w:p w14:paraId="77E25D7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4228F580"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385F03CC"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302169D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0CE68147"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r w:rsidR="0054671E" w:rsidRPr="009C6566" w14:paraId="058D68FB" w14:textId="77777777" w:rsidTr="00271840">
        <w:tc>
          <w:tcPr>
            <w:cnfStyle w:val="001000000000" w:firstRow="0" w:lastRow="0" w:firstColumn="1" w:lastColumn="0" w:oddVBand="0" w:evenVBand="0" w:oddHBand="0" w:evenHBand="0" w:firstRowFirstColumn="0" w:firstRowLastColumn="0" w:lastRowFirstColumn="0" w:lastRowLastColumn="0"/>
            <w:tcW w:w="0" w:type="auto"/>
            <w:hideMark/>
          </w:tcPr>
          <w:p w14:paraId="768EAE6B"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t>Affordable (under $500)</w:t>
            </w:r>
          </w:p>
        </w:tc>
        <w:tc>
          <w:tcPr>
            <w:tcW w:w="0" w:type="auto"/>
            <w:hideMark/>
          </w:tcPr>
          <w:p w14:paraId="5AC6277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7EE52D3D"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390566A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1F4031A5"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7CBD4F05"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r w:rsidR="0054671E" w:rsidRPr="009C6566" w14:paraId="756C4438" w14:textId="77777777" w:rsidTr="00271840">
        <w:tc>
          <w:tcPr>
            <w:cnfStyle w:val="001000000000" w:firstRow="0" w:lastRow="0" w:firstColumn="1" w:lastColumn="0" w:oddVBand="0" w:evenVBand="0" w:oddHBand="0" w:evenHBand="0" w:firstRowFirstColumn="0" w:firstRowLastColumn="0" w:lastRowFirstColumn="0" w:lastRowLastColumn="0"/>
            <w:tcW w:w="0" w:type="auto"/>
            <w:hideMark/>
          </w:tcPr>
          <w:p w14:paraId="1D0129E5" w14:textId="77777777" w:rsidR="0054671E" w:rsidRPr="009C6566" w:rsidRDefault="0054671E" w:rsidP="00BB5FF0">
            <w:pPr>
              <w:spacing w:line="276" w:lineRule="auto"/>
              <w:rPr>
                <w:rFonts w:ascii="Calibri" w:eastAsia="Times New Roman" w:hAnsi="Calibri" w:cs="Calibri"/>
                <w:b w:val="0"/>
                <w:bCs w:val="0"/>
                <w:sz w:val="22"/>
                <w:szCs w:val="22"/>
                <w:lang w:val="en-AU" w:eastAsia="en-GB"/>
              </w:rPr>
            </w:pPr>
            <w:r w:rsidRPr="009C6566">
              <w:rPr>
                <w:rFonts w:ascii="Calibri" w:eastAsia="Times New Roman" w:hAnsi="Calibri" w:cs="Calibri"/>
                <w:b w:val="0"/>
                <w:bCs w:val="0"/>
                <w:sz w:val="22"/>
                <w:szCs w:val="22"/>
                <w:lang w:val="en-AU" w:eastAsia="en-GB"/>
              </w:rPr>
              <w:t>Australian regulatory alignment</w:t>
            </w:r>
          </w:p>
        </w:tc>
        <w:tc>
          <w:tcPr>
            <w:tcW w:w="0" w:type="auto"/>
            <w:hideMark/>
          </w:tcPr>
          <w:p w14:paraId="50B0FF52"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313FD16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7851CD8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Partial</w:t>
            </w:r>
          </w:p>
        </w:tc>
        <w:tc>
          <w:tcPr>
            <w:tcW w:w="0" w:type="auto"/>
            <w:hideMark/>
          </w:tcPr>
          <w:p w14:paraId="7546EE8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sz w:val="22"/>
                <w:szCs w:val="22"/>
                <w:lang w:val="en-AU" w:eastAsia="en-GB"/>
              </w:rPr>
              <w:t>✗</w:t>
            </w:r>
          </w:p>
        </w:tc>
        <w:tc>
          <w:tcPr>
            <w:tcW w:w="0" w:type="auto"/>
            <w:hideMark/>
          </w:tcPr>
          <w:p w14:paraId="3D3A0205"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Segoe UI Symbol" w:eastAsia="Times New Roman" w:hAnsi="Segoe UI Symbol" w:cs="Segoe UI Symbol"/>
                <w:b/>
                <w:bCs/>
                <w:sz w:val="22"/>
                <w:szCs w:val="22"/>
                <w:lang w:val="en-AU" w:eastAsia="en-GB"/>
              </w:rPr>
              <w:t>✓</w:t>
            </w:r>
          </w:p>
        </w:tc>
      </w:tr>
    </w:tbl>
    <w:p w14:paraId="4E1FF199" w14:textId="77777777" w:rsidR="000C6811" w:rsidRDefault="0054671E" w:rsidP="000C6811">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b/>
          <w:bCs/>
          <w:sz w:val="22"/>
          <w:szCs w:val="22"/>
          <w:lang w:val="en-AU" w:eastAsia="en-GB"/>
        </w:rPr>
        <w:t>Key insight:</w:t>
      </w:r>
      <w:r w:rsidRPr="009C6566">
        <w:rPr>
          <w:rFonts w:ascii="Calibri" w:eastAsia="Times New Roman" w:hAnsi="Calibri" w:cs="Calibri"/>
          <w:sz w:val="22"/>
          <w:szCs w:val="22"/>
          <w:lang w:val="en-AU" w:eastAsia="en-GB"/>
        </w:rPr>
        <w:t xml:space="preserve"> No existing solution simultaneously meets all six criteria relevant to Australian healthcare SMEs. QuantumShield is the only proposed solution achieving full coverage across accessibility, sector specificity, automation, plain-English output, affordability, and Australian regulatory alignment.</w:t>
      </w:r>
    </w:p>
    <w:p w14:paraId="6EB5941C" w14:textId="6A9E1887" w:rsidR="0054671E" w:rsidRPr="000C6811" w:rsidRDefault="0054671E" w:rsidP="000C6811">
      <w:pPr>
        <w:spacing w:before="100" w:beforeAutospacing="1" w:after="100" w:afterAutospacing="1" w:line="276" w:lineRule="auto"/>
        <w:jc w:val="both"/>
        <w:rPr>
          <w:rFonts w:ascii="Calibri" w:eastAsia="Times New Roman" w:hAnsi="Calibri" w:cs="Calibri"/>
          <w:sz w:val="22"/>
          <w:szCs w:val="22"/>
          <w:lang w:val="en-AU" w:eastAsia="en-GB"/>
        </w:rPr>
      </w:pPr>
      <w:r w:rsidRPr="00DB329A">
        <w:rPr>
          <w:rFonts w:ascii="Calibri" w:eastAsia="Times New Roman" w:hAnsi="Calibri" w:cs="Calibri"/>
          <w:b/>
          <w:bCs/>
          <w:lang w:val="en-AU" w:eastAsia="en-GB"/>
        </w:rPr>
        <w:t>Framework 2: NIST CSF 2.0 — Current State vs Target State</w:t>
      </w:r>
    </w:p>
    <w:p w14:paraId="46FFE4D7" w14:textId="77777777" w:rsidR="0054671E" w:rsidRPr="009C6566" w:rsidRDefault="0054671E" w:rsidP="00BB5FF0">
      <w:pPr>
        <w:spacing w:before="100" w:beforeAutospacing="1" w:after="100" w:afterAutospacing="1"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The NIST CSF 2.0 organises cybersecurity capability across six core functions. The following table maps the current state of a typical Australian healthcare SME against the target state required for post-quantum readiness.</w:t>
      </w:r>
    </w:p>
    <w:tbl>
      <w:tblPr>
        <w:tblStyle w:val="GridTable1Light"/>
        <w:tblW w:w="0" w:type="auto"/>
        <w:tblLook w:val="04A0" w:firstRow="1" w:lastRow="0" w:firstColumn="1" w:lastColumn="0" w:noHBand="0" w:noVBand="1"/>
      </w:tblPr>
      <w:tblGrid>
        <w:gridCol w:w="1547"/>
        <w:gridCol w:w="3208"/>
        <w:gridCol w:w="3624"/>
        <w:gridCol w:w="971"/>
      </w:tblGrid>
      <w:tr w:rsidR="0054671E" w:rsidRPr="009C6566" w14:paraId="3FAC1B03" w14:textId="77777777" w:rsidTr="009C6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AF0E2" w14:textId="77777777" w:rsidR="0054671E" w:rsidRPr="009C6566" w:rsidRDefault="0054671E" w:rsidP="00BB5FF0">
            <w:pPr>
              <w:spacing w:line="276" w:lineRule="auto"/>
              <w:jc w:val="center"/>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CSF 2.0 Function</w:t>
            </w:r>
          </w:p>
        </w:tc>
        <w:tc>
          <w:tcPr>
            <w:tcW w:w="0" w:type="auto"/>
            <w:hideMark/>
          </w:tcPr>
          <w:p w14:paraId="72F7F3B4"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Current State (Typical Healthcare SME)</w:t>
            </w:r>
          </w:p>
        </w:tc>
        <w:tc>
          <w:tcPr>
            <w:tcW w:w="0" w:type="auto"/>
            <w:hideMark/>
          </w:tcPr>
          <w:p w14:paraId="2D4D25EC"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Target State (PQC Ready)</w:t>
            </w:r>
          </w:p>
        </w:tc>
        <w:tc>
          <w:tcPr>
            <w:tcW w:w="0" w:type="auto"/>
            <w:hideMark/>
          </w:tcPr>
          <w:p w14:paraId="03B48702"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Gap</w:t>
            </w:r>
          </w:p>
        </w:tc>
      </w:tr>
      <w:tr w:rsidR="0054671E" w:rsidRPr="009C6566" w14:paraId="257DA968"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48952046"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Govern</w:t>
            </w:r>
          </w:p>
        </w:tc>
        <w:tc>
          <w:tcPr>
            <w:tcW w:w="0" w:type="auto"/>
            <w:hideMark/>
          </w:tcPr>
          <w:p w14:paraId="1C0403A2"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No quantum risk policy exists</w:t>
            </w:r>
          </w:p>
        </w:tc>
        <w:tc>
          <w:tcPr>
            <w:tcW w:w="0" w:type="auto"/>
            <w:hideMark/>
          </w:tcPr>
          <w:p w14:paraId="610C2E6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Documented PQC transition plan by 2026</w:t>
            </w:r>
          </w:p>
        </w:tc>
        <w:tc>
          <w:tcPr>
            <w:tcW w:w="0" w:type="auto"/>
            <w:hideMark/>
          </w:tcPr>
          <w:p w14:paraId="2B5CE303"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Critical</w:t>
            </w:r>
          </w:p>
        </w:tc>
      </w:tr>
      <w:tr w:rsidR="0054671E" w:rsidRPr="009C6566" w14:paraId="6B089B75"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60D8C0EA"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Identify</w:t>
            </w:r>
          </w:p>
        </w:tc>
        <w:tc>
          <w:tcPr>
            <w:tcW w:w="0" w:type="auto"/>
            <w:hideMark/>
          </w:tcPr>
          <w:p w14:paraId="766DAB7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No cryptographic asset inventory</w:t>
            </w:r>
          </w:p>
        </w:tc>
        <w:tc>
          <w:tcPr>
            <w:tcW w:w="0" w:type="auto"/>
            <w:hideMark/>
          </w:tcPr>
          <w:p w14:paraId="68571778"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Full inventory of quantum-vulnerable systems</w:t>
            </w:r>
          </w:p>
        </w:tc>
        <w:tc>
          <w:tcPr>
            <w:tcW w:w="0" w:type="auto"/>
            <w:hideMark/>
          </w:tcPr>
          <w:p w14:paraId="702C3560"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Critical</w:t>
            </w:r>
          </w:p>
        </w:tc>
      </w:tr>
      <w:tr w:rsidR="0054671E" w:rsidRPr="009C6566" w14:paraId="63CECD7B"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4440D3CF"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Protect</w:t>
            </w:r>
          </w:p>
        </w:tc>
        <w:tc>
          <w:tcPr>
            <w:tcW w:w="0" w:type="auto"/>
            <w:hideMark/>
          </w:tcPr>
          <w:p w14:paraId="060A933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RSA/ECC encryption in use</w:t>
            </w:r>
          </w:p>
        </w:tc>
        <w:tc>
          <w:tcPr>
            <w:tcW w:w="0" w:type="auto"/>
            <w:hideMark/>
          </w:tcPr>
          <w:p w14:paraId="5EBEE88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FIPS 203/204/205 algorithms implemented</w:t>
            </w:r>
          </w:p>
        </w:tc>
        <w:tc>
          <w:tcPr>
            <w:tcW w:w="0" w:type="auto"/>
            <w:hideMark/>
          </w:tcPr>
          <w:p w14:paraId="5CEBF97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Critical</w:t>
            </w:r>
          </w:p>
        </w:tc>
      </w:tr>
      <w:tr w:rsidR="0054671E" w:rsidRPr="009C6566" w14:paraId="2B197D22"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0FADD3CF"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Detect</w:t>
            </w:r>
          </w:p>
        </w:tc>
        <w:tc>
          <w:tcPr>
            <w:tcW w:w="0" w:type="auto"/>
            <w:hideMark/>
          </w:tcPr>
          <w:p w14:paraId="1AA363CC"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No quantum-specific monitoring</w:t>
            </w:r>
          </w:p>
        </w:tc>
        <w:tc>
          <w:tcPr>
            <w:tcW w:w="0" w:type="auto"/>
            <w:hideMark/>
          </w:tcPr>
          <w:p w14:paraId="09385A69"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CRQC threat indicators integrated</w:t>
            </w:r>
          </w:p>
        </w:tc>
        <w:tc>
          <w:tcPr>
            <w:tcW w:w="0" w:type="auto"/>
            <w:hideMark/>
          </w:tcPr>
          <w:p w14:paraId="51F124B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High</w:t>
            </w:r>
          </w:p>
        </w:tc>
      </w:tr>
      <w:tr w:rsidR="0054671E" w:rsidRPr="009C6566" w14:paraId="799E471A"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0BE24B3C"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Respond</w:t>
            </w:r>
          </w:p>
        </w:tc>
        <w:tc>
          <w:tcPr>
            <w:tcW w:w="0" w:type="auto"/>
            <w:hideMark/>
          </w:tcPr>
          <w:p w14:paraId="036CF40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Generic incident response plan</w:t>
            </w:r>
          </w:p>
        </w:tc>
        <w:tc>
          <w:tcPr>
            <w:tcW w:w="0" w:type="auto"/>
            <w:hideMark/>
          </w:tcPr>
          <w:p w14:paraId="05DA38A4"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 breach response procedures</w:t>
            </w:r>
          </w:p>
        </w:tc>
        <w:tc>
          <w:tcPr>
            <w:tcW w:w="0" w:type="auto"/>
            <w:hideMark/>
          </w:tcPr>
          <w:p w14:paraId="1FBB905F"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Medium</w:t>
            </w:r>
          </w:p>
        </w:tc>
      </w:tr>
      <w:tr w:rsidR="0054671E" w:rsidRPr="009C6566" w14:paraId="4810228B" w14:textId="77777777" w:rsidTr="009C6566">
        <w:tc>
          <w:tcPr>
            <w:cnfStyle w:val="001000000000" w:firstRow="0" w:lastRow="0" w:firstColumn="1" w:lastColumn="0" w:oddVBand="0" w:evenVBand="0" w:oddHBand="0" w:evenHBand="0" w:firstRowFirstColumn="0" w:firstRowLastColumn="0" w:lastRowFirstColumn="0" w:lastRowLastColumn="0"/>
            <w:tcW w:w="0" w:type="auto"/>
            <w:hideMark/>
          </w:tcPr>
          <w:p w14:paraId="481AB24C"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Recover</w:t>
            </w:r>
          </w:p>
        </w:tc>
        <w:tc>
          <w:tcPr>
            <w:tcW w:w="0" w:type="auto"/>
            <w:hideMark/>
          </w:tcPr>
          <w:p w14:paraId="4336DF35"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Standard backup and recovery</w:t>
            </w:r>
          </w:p>
        </w:tc>
        <w:tc>
          <w:tcPr>
            <w:tcW w:w="0" w:type="auto"/>
            <w:hideMark/>
          </w:tcPr>
          <w:p w14:paraId="2B1DC6AD"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Quantum-resilient recovery architecture</w:t>
            </w:r>
          </w:p>
        </w:tc>
        <w:tc>
          <w:tcPr>
            <w:tcW w:w="0" w:type="auto"/>
            <w:hideMark/>
          </w:tcPr>
          <w:p w14:paraId="305BAD32"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Medium</w:t>
            </w:r>
          </w:p>
        </w:tc>
      </w:tr>
    </w:tbl>
    <w:p w14:paraId="5061EEC3" w14:textId="7B344F5E" w:rsidR="0054671E" w:rsidRPr="009C6566" w:rsidRDefault="0054671E" w:rsidP="00BB5FF0">
      <w:pPr>
        <w:spacing w:before="100" w:beforeAutospacing="1" w:after="100" w:afterAutospacing="1" w:line="276" w:lineRule="auto"/>
        <w:rPr>
          <w:rFonts w:ascii="Calibri" w:eastAsia="Times New Roman" w:hAnsi="Calibri" w:cs="Calibri"/>
          <w:sz w:val="22"/>
          <w:szCs w:val="22"/>
          <w:lang w:val="en-AU" w:eastAsia="en-GB"/>
        </w:rPr>
      </w:pPr>
      <w:r w:rsidRPr="009C6566">
        <w:rPr>
          <w:rFonts w:ascii="Calibri" w:eastAsia="Times New Roman" w:hAnsi="Calibri" w:cs="Calibri"/>
          <w:b/>
          <w:bCs/>
          <w:sz w:val="22"/>
          <w:szCs w:val="22"/>
          <w:lang w:val="en-AU" w:eastAsia="en-GB"/>
        </w:rPr>
        <w:t>Key insight:</w:t>
      </w:r>
      <w:r w:rsidRPr="009C6566">
        <w:rPr>
          <w:rFonts w:ascii="Calibri" w:eastAsia="Times New Roman" w:hAnsi="Calibri" w:cs="Calibri"/>
          <w:sz w:val="22"/>
          <w:szCs w:val="22"/>
          <w:lang w:val="en-AU" w:eastAsia="en-GB"/>
        </w:rPr>
        <w:t xml:space="preserve"> Australian healthcare SMEs face critical gaps across the three most foundational CSF 2.0 functions </w:t>
      </w:r>
      <w:r w:rsidR="000C6811">
        <w:rPr>
          <w:rFonts w:ascii="Calibri" w:eastAsia="Times New Roman" w:hAnsi="Calibri" w:cs="Calibri"/>
          <w:sz w:val="22"/>
          <w:szCs w:val="22"/>
          <w:lang w:val="en-AU" w:eastAsia="en-GB"/>
        </w:rPr>
        <w:t xml:space="preserve">- </w:t>
      </w:r>
      <w:r w:rsidR="000C6811" w:rsidRPr="009C6566">
        <w:rPr>
          <w:rFonts w:ascii="Calibri" w:eastAsia="Times New Roman" w:hAnsi="Calibri" w:cs="Calibri"/>
          <w:sz w:val="22"/>
          <w:szCs w:val="22"/>
          <w:lang w:val="en-AU" w:eastAsia="en-GB"/>
        </w:rPr>
        <w:t>Govern</w:t>
      </w:r>
      <w:r w:rsidRPr="009C6566">
        <w:rPr>
          <w:rFonts w:ascii="Calibri" w:eastAsia="Times New Roman" w:hAnsi="Calibri" w:cs="Calibri"/>
          <w:sz w:val="22"/>
          <w:szCs w:val="22"/>
          <w:lang w:val="en-AU" w:eastAsia="en-GB"/>
        </w:rPr>
        <w:t>, Identify, and Protect — meaning they lack the policy, visibility, and technical controls needed to begin meaningful PQC migration. QuantumShield directly addresses the Govern and Identify gaps by producing a documented risk assessment and prioritised action plan.</w:t>
      </w:r>
    </w:p>
    <w:p w14:paraId="5811817C" w14:textId="77777777" w:rsidR="0054671E" w:rsidRPr="00DB329A" w:rsidRDefault="0054671E"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Framework 3: ASD Essential Eight — Quantum Relevance Mapping</w:t>
      </w:r>
    </w:p>
    <w:p w14:paraId="3D0EFD78" w14:textId="09816ABA" w:rsidR="00F575D5" w:rsidRPr="009C6566" w:rsidRDefault="0054671E" w:rsidP="00BB5FF0">
      <w:pPr>
        <w:spacing w:before="100" w:beforeAutospacing="1" w:after="100" w:afterAutospacing="1"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lastRenderedPageBreak/>
        <w:t xml:space="preserve">The ASD Essential Eight Maturity Model defines eight mitigation strategies across four maturity levels (0–3). The following table maps quantum relevance to each control and indicates typical </w:t>
      </w:r>
      <w:r w:rsidR="00BF6EEF" w:rsidRPr="009C6566">
        <w:rPr>
          <w:rFonts w:ascii="Calibri" w:eastAsia="Times New Roman" w:hAnsi="Calibri" w:cs="Calibri"/>
          <w:sz w:val="22"/>
          <w:szCs w:val="22"/>
          <w:lang w:val="en-AU" w:eastAsia="en-GB"/>
        </w:rPr>
        <w:t>maturity</w:t>
      </w:r>
      <w:r w:rsidRPr="009C6566">
        <w:rPr>
          <w:rFonts w:ascii="Calibri" w:eastAsia="Times New Roman" w:hAnsi="Calibri" w:cs="Calibri"/>
          <w:sz w:val="22"/>
          <w:szCs w:val="22"/>
          <w:lang w:val="en-AU" w:eastAsia="en-GB"/>
        </w:rPr>
        <w:t xml:space="preserve"> </w:t>
      </w:r>
      <w:r w:rsidR="00BF6EEF" w:rsidRPr="009C6566">
        <w:rPr>
          <w:rFonts w:ascii="Calibri" w:eastAsia="Times New Roman" w:hAnsi="Calibri" w:cs="Calibri"/>
          <w:sz w:val="22"/>
          <w:szCs w:val="22"/>
          <w:lang w:val="en-AU" w:eastAsia="en-GB"/>
        </w:rPr>
        <w:t>of</w:t>
      </w:r>
      <w:r w:rsidRPr="009C6566">
        <w:rPr>
          <w:rFonts w:ascii="Calibri" w:eastAsia="Times New Roman" w:hAnsi="Calibri" w:cs="Calibri"/>
          <w:sz w:val="22"/>
          <w:szCs w:val="22"/>
          <w:lang w:val="en-AU" w:eastAsia="en-GB"/>
        </w:rPr>
        <w:t xml:space="preserve"> </w:t>
      </w:r>
      <w:r w:rsidR="00BF6EEF" w:rsidRPr="009C6566">
        <w:rPr>
          <w:rFonts w:ascii="Calibri" w:eastAsia="Times New Roman" w:hAnsi="Calibri" w:cs="Calibri"/>
          <w:sz w:val="22"/>
          <w:szCs w:val="22"/>
          <w:lang w:val="en-AU" w:eastAsia="en-GB"/>
        </w:rPr>
        <w:t>healthcare SMEs</w:t>
      </w:r>
      <w:r w:rsidRPr="009C6566">
        <w:rPr>
          <w:rFonts w:ascii="Calibri" w:eastAsia="Times New Roman" w:hAnsi="Calibri" w:cs="Calibri"/>
          <w:sz w:val="22"/>
          <w:szCs w:val="22"/>
          <w:lang w:val="en-AU" w:eastAsia="en-GB"/>
        </w:rPr>
        <w:t>.</w:t>
      </w:r>
    </w:p>
    <w:tbl>
      <w:tblPr>
        <w:tblStyle w:val="GridTable1Light"/>
        <w:tblW w:w="0" w:type="auto"/>
        <w:tblLook w:val="04A0" w:firstRow="1" w:lastRow="0" w:firstColumn="1" w:lastColumn="0" w:noHBand="0" w:noVBand="1"/>
      </w:tblPr>
      <w:tblGrid>
        <w:gridCol w:w="2689"/>
        <w:gridCol w:w="2976"/>
        <w:gridCol w:w="1841"/>
        <w:gridCol w:w="1844"/>
      </w:tblGrid>
      <w:tr w:rsidR="0054671E" w:rsidRPr="009C6566" w14:paraId="0734B26A" w14:textId="77777777" w:rsidTr="00256450">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2EB9DFC" w14:textId="77777777" w:rsidR="0054671E" w:rsidRPr="009C6566" w:rsidRDefault="0054671E" w:rsidP="00BB5FF0">
            <w:pPr>
              <w:spacing w:line="276" w:lineRule="auto"/>
              <w:jc w:val="center"/>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Essential Eight Control</w:t>
            </w:r>
          </w:p>
        </w:tc>
        <w:tc>
          <w:tcPr>
            <w:tcW w:w="2976" w:type="dxa"/>
            <w:vAlign w:val="center"/>
            <w:hideMark/>
          </w:tcPr>
          <w:p w14:paraId="5418C388"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 Relevance</w:t>
            </w:r>
          </w:p>
        </w:tc>
        <w:tc>
          <w:tcPr>
            <w:tcW w:w="1841" w:type="dxa"/>
            <w:vAlign w:val="center"/>
            <w:hideMark/>
          </w:tcPr>
          <w:p w14:paraId="55122354"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Typical SME Maturity Level</w:t>
            </w:r>
          </w:p>
        </w:tc>
        <w:tc>
          <w:tcPr>
            <w:tcW w:w="0" w:type="auto"/>
            <w:vAlign w:val="center"/>
            <w:hideMark/>
          </w:tcPr>
          <w:p w14:paraId="33E22F13" w14:textId="77777777" w:rsidR="0054671E" w:rsidRPr="009C6566" w:rsidRDefault="0054671E" w:rsidP="00BB5FF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QuantumShield Role</w:t>
            </w:r>
          </w:p>
        </w:tc>
      </w:tr>
      <w:tr w:rsidR="0054671E" w:rsidRPr="009C6566" w14:paraId="7883200A"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0BAD3D11"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Patch applications</w:t>
            </w:r>
          </w:p>
        </w:tc>
        <w:tc>
          <w:tcPr>
            <w:tcW w:w="2976" w:type="dxa"/>
            <w:vAlign w:val="center"/>
            <w:hideMark/>
          </w:tcPr>
          <w:p w14:paraId="100C5D44" w14:textId="18C2BB75"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Medium </w:t>
            </w:r>
            <w:r w:rsidR="00F575D5" w:rsidRPr="009C6566">
              <w:rPr>
                <w:rFonts w:ascii="Calibri" w:eastAsia="Times New Roman" w:hAnsi="Calibri" w:cs="Calibri"/>
                <w:sz w:val="22"/>
                <w:szCs w:val="22"/>
                <w:lang w:val="en-AU" w:eastAsia="en-GB"/>
              </w:rPr>
              <w:t>-</w:t>
            </w:r>
            <w:r w:rsidRPr="009C6566">
              <w:rPr>
                <w:rFonts w:ascii="Calibri" w:eastAsia="Times New Roman" w:hAnsi="Calibri" w:cs="Calibri"/>
                <w:sz w:val="22"/>
                <w:szCs w:val="22"/>
                <w:lang w:val="en-AU" w:eastAsia="en-GB"/>
              </w:rPr>
              <w:t xml:space="preserve"> vulnerable crypto libraries require patching</w:t>
            </w:r>
          </w:p>
        </w:tc>
        <w:tc>
          <w:tcPr>
            <w:tcW w:w="1841" w:type="dxa"/>
            <w:vAlign w:val="center"/>
            <w:hideMark/>
          </w:tcPr>
          <w:p w14:paraId="4562B3FF"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w:t>
            </w:r>
          </w:p>
        </w:tc>
        <w:tc>
          <w:tcPr>
            <w:tcW w:w="0" w:type="auto"/>
            <w:vAlign w:val="center"/>
            <w:hideMark/>
          </w:tcPr>
          <w:p w14:paraId="76A0239C"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Identifies unpatched crypto dependencies</w:t>
            </w:r>
          </w:p>
        </w:tc>
      </w:tr>
      <w:tr w:rsidR="0054671E" w:rsidRPr="009C6566" w14:paraId="25585C63"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9710FF3"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Patch operating systems</w:t>
            </w:r>
          </w:p>
        </w:tc>
        <w:tc>
          <w:tcPr>
            <w:tcW w:w="2976" w:type="dxa"/>
            <w:vAlign w:val="center"/>
            <w:hideMark/>
          </w:tcPr>
          <w:p w14:paraId="617DC1E8" w14:textId="5D456DE9"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Medium </w:t>
            </w:r>
            <w:r w:rsidR="00F575D5" w:rsidRPr="009C6566">
              <w:rPr>
                <w:rFonts w:ascii="Calibri" w:eastAsia="Times New Roman" w:hAnsi="Calibri" w:cs="Calibri"/>
                <w:sz w:val="22"/>
                <w:szCs w:val="22"/>
                <w:lang w:val="en-AU" w:eastAsia="en-GB"/>
              </w:rPr>
              <w:t xml:space="preserve">- </w:t>
            </w:r>
            <w:r w:rsidRPr="009C6566">
              <w:rPr>
                <w:rFonts w:ascii="Calibri" w:eastAsia="Times New Roman" w:hAnsi="Calibri" w:cs="Calibri"/>
                <w:sz w:val="22"/>
                <w:szCs w:val="22"/>
                <w:lang w:val="en-AU" w:eastAsia="en-GB"/>
              </w:rPr>
              <w:t>OS-level cryptographic modules</w:t>
            </w:r>
          </w:p>
        </w:tc>
        <w:tc>
          <w:tcPr>
            <w:tcW w:w="1841" w:type="dxa"/>
            <w:vAlign w:val="center"/>
            <w:hideMark/>
          </w:tcPr>
          <w:p w14:paraId="3084B8F3"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w:t>
            </w:r>
          </w:p>
        </w:tc>
        <w:tc>
          <w:tcPr>
            <w:tcW w:w="0" w:type="auto"/>
            <w:vAlign w:val="center"/>
            <w:hideMark/>
          </w:tcPr>
          <w:p w14:paraId="6EB809AE"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Flags OS crypto update requirements</w:t>
            </w:r>
          </w:p>
        </w:tc>
      </w:tr>
      <w:tr w:rsidR="0054671E" w:rsidRPr="009C6566" w14:paraId="504B812E"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49DD0553"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Multi-factor authentication</w:t>
            </w:r>
          </w:p>
        </w:tc>
        <w:tc>
          <w:tcPr>
            <w:tcW w:w="2976" w:type="dxa"/>
            <w:vAlign w:val="center"/>
            <w:hideMark/>
          </w:tcPr>
          <w:p w14:paraId="3F22264E" w14:textId="63594689"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Low </w:t>
            </w:r>
            <w:r w:rsidR="00F575D5" w:rsidRPr="009C6566">
              <w:rPr>
                <w:rFonts w:ascii="Calibri" w:eastAsia="Times New Roman" w:hAnsi="Calibri" w:cs="Calibri"/>
                <w:sz w:val="22"/>
                <w:szCs w:val="22"/>
                <w:lang w:val="en-AU" w:eastAsia="en-GB"/>
              </w:rPr>
              <w:t>-</w:t>
            </w:r>
            <w:r w:rsidRPr="009C6566">
              <w:rPr>
                <w:rFonts w:ascii="Calibri" w:eastAsia="Times New Roman" w:hAnsi="Calibri" w:cs="Calibri"/>
                <w:sz w:val="22"/>
                <w:szCs w:val="22"/>
                <w:lang w:val="en-AU" w:eastAsia="en-GB"/>
              </w:rPr>
              <w:t xml:space="preserve"> not directly quantum-vulnerable</w:t>
            </w:r>
          </w:p>
        </w:tc>
        <w:tc>
          <w:tcPr>
            <w:tcW w:w="1841" w:type="dxa"/>
            <w:vAlign w:val="center"/>
            <w:hideMark/>
          </w:tcPr>
          <w:p w14:paraId="1C24606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1–2</w:t>
            </w:r>
          </w:p>
        </w:tc>
        <w:tc>
          <w:tcPr>
            <w:tcW w:w="0" w:type="auto"/>
            <w:vAlign w:val="center"/>
            <w:hideMark/>
          </w:tcPr>
          <w:p w14:paraId="3A93B9C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Out of scope</w:t>
            </w:r>
          </w:p>
        </w:tc>
      </w:tr>
      <w:tr w:rsidR="0054671E" w:rsidRPr="009C6566" w14:paraId="5AA40387"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BA792C8"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Restrict admin privileges</w:t>
            </w:r>
          </w:p>
        </w:tc>
        <w:tc>
          <w:tcPr>
            <w:tcW w:w="2976" w:type="dxa"/>
            <w:vAlign w:val="center"/>
            <w:hideMark/>
          </w:tcPr>
          <w:p w14:paraId="66B6F10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Low</w:t>
            </w:r>
          </w:p>
        </w:tc>
        <w:tc>
          <w:tcPr>
            <w:tcW w:w="1841" w:type="dxa"/>
            <w:vAlign w:val="center"/>
            <w:hideMark/>
          </w:tcPr>
          <w:p w14:paraId="13496274"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w:t>
            </w:r>
          </w:p>
        </w:tc>
        <w:tc>
          <w:tcPr>
            <w:tcW w:w="0" w:type="auto"/>
            <w:vAlign w:val="center"/>
            <w:hideMark/>
          </w:tcPr>
          <w:p w14:paraId="0152A58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Out of scope</w:t>
            </w:r>
          </w:p>
        </w:tc>
      </w:tr>
      <w:tr w:rsidR="0054671E" w:rsidRPr="009C6566" w14:paraId="315728D9"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61283EB0"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Application control</w:t>
            </w:r>
          </w:p>
        </w:tc>
        <w:tc>
          <w:tcPr>
            <w:tcW w:w="2976" w:type="dxa"/>
            <w:vAlign w:val="center"/>
            <w:hideMark/>
          </w:tcPr>
          <w:p w14:paraId="5FF9D9C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Low</w:t>
            </w:r>
          </w:p>
        </w:tc>
        <w:tc>
          <w:tcPr>
            <w:tcW w:w="1841" w:type="dxa"/>
            <w:vAlign w:val="center"/>
            <w:hideMark/>
          </w:tcPr>
          <w:p w14:paraId="0F247A18"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w:t>
            </w:r>
          </w:p>
        </w:tc>
        <w:tc>
          <w:tcPr>
            <w:tcW w:w="0" w:type="auto"/>
            <w:vAlign w:val="center"/>
            <w:hideMark/>
          </w:tcPr>
          <w:p w14:paraId="056C932F"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Out of scope</w:t>
            </w:r>
          </w:p>
        </w:tc>
      </w:tr>
      <w:tr w:rsidR="0054671E" w:rsidRPr="009C6566" w14:paraId="3D4D2E51"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7C6DE33"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Restrict macros</w:t>
            </w:r>
          </w:p>
        </w:tc>
        <w:tc>
          <w:tcPr>
            <w:tcW w:w="2976" w:type="dxa"/>
            <w:vAlign w:val="center"/>
            <w:hideMark/>
          </w:tcPr>
          <w:p w14:paraId="234754C6"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Low</w:t>
            </w:r>
          </w:p>
        </w:tc>
        <w:tc>
          <w:tcPr>
            <w:tcW w:w="1841" w:type="dxa"/>
            <w:vAlign w:val="center"/>
            <w:hideMark/>
          </w:tcPr>
          <w:p w14:paraId="028BE85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2</w:t>
            </w:r>
          </w:p>
        </w:tc>
        <w:tc>
          <w:tcPr>
            <w:tcW w:w="0" w:type="auto"/>
            <w:vAlign w:val="center"/>
            <w:hideMark/>
          </w:tcPr>
          <w:p w14:paraId="4C5D95E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Out of scope</w:t>
            </w:r>
          </w:p>
        </w:tc>
      </w:tr>
      <w:tr w:rsidR="0054671E" w:rsidRPr="009C6566" w14:paraId="6383C824"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4F6B104"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User application hardening</w:t>
            </w:r>
          </w:p>
        </w:tc>
        <w:tc>
          <w:tcPr>
            <w:tcW w:w="2976" w:type="dxa"/>
            <w:vAlign w:val="center"/>
            <w:hideMark/>
          </w:tcPr>
          <w:p w14:paraId="16F1CD42"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Low</w:t>
            </w:r>
          </w:p>
        </w:tc>
        <w:tc>
          <w:tcPr>
            <w:tcW w:w="1841" w:type="dxa"/>
            <w:vAlign w:val="center"/>
            <w:hideMark/>
          </w:tcPr>
          <w:p w14:paraId="555C188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1</w:t>
            </w:r>
          </w:p>
        </w:tc>
        <w:tc>
          <w:tcPr>
            <w:tcW w:w="0" w:type="auto"/>
            <w:vAlign w:val="center"/>
            <w:hideMark/>
          </w:tcPr>
          <w:p w14:paraId="492675D8"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Out of scope</w:t>
            </w:r>
          </w:p>
        </w:tc>
      </w:tr>
      <w:tr w:rsidR="0054671E" w:rsidRPr="009C6566" w14:paraId="3C2E469E" w14:textId="77777777" w:rsidTr="00256450">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51A203C4" w14:textId="77777777" w:rsidR="0054671E" w:rsidRPr="009C6566" w:rsidRDefault="0054671E" w:rsidP="00BB5FF0">
            <w:pPr>
              <w:spacing w:line="276" w:lineRule="auto"/>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Regular backups</w:t>
            </w:r>
          </w:p>
        </w:tc>
        <w:tc>
          <w:tcPr>
            <w:tcW w:w="2976" w:type="dxa"/>
            <w:vAlign w:val="center"/>
            <w:hideMark/>
          </w:tcPr>
          <w:p w14:paraId="4F774540" w14:textId="72F3DD78"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High encrypted backups may be HNDL targets</w:t>
            </w:r>
          </w:p>
        </w:tc>
        <w:tc>
          <w:tcPr>
            <w:tcW w:w="1841" w:type="dxa"/>
            <w:vAlign w:val="center"/>
            <w:hideMark/>
          </w:tcPr>
          <w:p w14:paraId="2DA89A4B"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Level 2</w:t>
            </w:r>
          </w:p>
        </w:tc>
        <w:tc>
          <w:tcPr>
            <w:tcW w:w="0" w:type="auto"/>
            <w:vAlign w:val="center"/>
            <w:hideMark/>
          </w:tcPr>
          <w:p w14:paraId="3833F441" w14:textId="77777777" w:rsidR="0054671E" w:rsidRPr="009C6566" w:rsidRDefault="0054671E" w:rsidP="00BB5FF0">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Assesses backup encryption standards</w:t>
            </w:r>
          </w:p>
        </w:tc>
      </w:tr>
    </w:tbl>
    <w:p w14:paraId="1FBB9415" w14:textId="468EC0C4" w:rsidR="00E63672" w:rsidRPr="009C6566" w:rsidRDefault="0054671E"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b/>
          <w:bCs/>
          <w:sz w:val="22"/>
          <w:szCs w:val="22"/>
          <w:lang w:val="en-AU" w:eastAsia="en-GB"/>
        </w:rPr>
        <w:t>Key insight:</w:t>
      </w:r>
      <w:r w:rsidRPr="009C6566">
        <w:rPr>
          <w:rFonts w:ascii="Calibri" w:eastAsia="Times New Roman" w:hAnsi="Calibri" w:cs="Calibri"/>
          <w:sz w:val="22"/>
          <w:szCs w:val="22"/>
          <w:lang w:val="en-AU" w:eastAsia="en-GB"/>
        </w:rPr>
        <w:t xml:space="preserve"> Of the Essential Eight controls, patch management and backup integrity carry the highest quantum relevance for healthcare SMEs. QuantumShield's assessment framework incorporates these dimensions, enabling outputs to be expressed in Essential Eight maturity language already familiar to Australian IT managers and compliance officers — significantly </w:t>
      </w:r>
      <w:r w:rsidRPr="009C6566">
        <w:rPr>
          <w:rFonts w:ascii="Calibri" w:eastAsia="Times New Roman" w:hAnsi="Calibri" w:cs="Calibri"/>
          <w:sz w:val="22"/>
          <w:szCs w:val="22"/>
          <w:highlight w:val="yellow"/>
          <w:lang w:val="en-AU" w:eastAsia="en-GB"/>
        </w:rPr>
        <w:t>lowering the interpretive burden compared to raw NIST standards documentation</w:t>
      </w:r>
      <w:r w:rsidR="00BF6EEF" w:rsidRPr="009C6566">
        <w:rPr>
          <w:rFonts w:ascii="Calibri" w:eastAsia="Times New Roman" w:hAnsi="Calibri" w:cs="Calibri"/>
          <w:sz w:val="22"/>
          <w:szCs w:val="22"/>
          <w:highlight w:val="yellow"/>
          <w:lang w:val="en-AU" w:eastAsia="en-GB"/>
        </w:rPr>
        <w:t>.</w:t>
      </w:r>
    </w:p>
    <w:p w14:paraId="1A3C6CFE" w14:textId="16A202ED" w:rsidR="7C729A58" w:rsidRPr="00DB329A" w:rsidRDefault="259D8D99" w:rsidP="00BB5FF0">
      <w:pPr>
        <w:pStyle w:val="Heading1"/>
        <w:spacing w:line="276" w:lineRule="auto"/>
        <w:rPr>
          <w:rFonts w:ascii="Calibri" w:hAnsi="Calibri" w:cs="Calibri"/>
        </w:rPr>
      </w:pPr>
      <w:bookmarkStart w:id="2" w:name="_Toc234740548"/>
      <w:r w:rsidRPr="00DB329A">
        <w:rPr>
          <w:rFonts w:ascii="Calibri" w:hAnsi="Calibri" w:cs="Calibri"/>
        </w:rPr>
        <w:t>Gap analysis using selected frameworks</w:t>
      </w:r>
      <w:bookmarkEnd w:id="2"/>
    </w:p>
    <w:p w14:paraId="4D50ADF0" w14:textId="498D1C86" w:rsidR="05437AA6" w:rsidRPr="00DB329A" w:rsidRDefault="05437AA6" w:rsidP="00BB5FF0">
      <w:pPr>
        <w:pStyle w:val="Heading1"/>
        <w:spacing w:line="276" w:lineRule="auto"/>
        <w:rPr>
          <w:rFonts w:ascii="Calibri" w:hAnsi="Calibri" w:cs="Calibri"/>
        </w:rPr>
      </w:pPr>
      <w:bookmarkStart w:id="3" w:name="_Toc234740549"/>
      <w:r w:rsidRPr="00DB329A">
        <w:rPr>
          <w:rFonts w:ascii="Calibri" w:hAnsi="Calibri" w:cs="Calibri"/>
        </w:rPr>
        <w:t>Ethical and sustainability considerations</w:t>
      </w:r>
      <w:bookmarkEnd w:id="3"/>
    </w:p>
    <w:p w14:paraId="3AC91347" w14:textId="77777777" w:rsidR="00226C84" w:rsidRPr="00DB329A" w:rsidRDefault="00226C84" w:rsidP="00BB5FF0">
      <w:pPr>
        <w:spacing w:before="100" w:beforeAutospacing="1" w:after="100" w:afterAutospacing="1" w:line="276" w:lineRule="auto"/>
        <w:jc w:val="both"/>
        <w:rPr>
          <w:rFonts w:ascii="Calibri" w:eastAsia="Times New Roman" w:hAnsi="Calibri" w:cs="Calibri"/>
          <w:lang w:val="en-AU" w:eastAsia="en-GB"/>
        </w:rPr>
      </w:pPr>
      <w:r w:rsidRPr="00DB329A">
        <w:rPr>
          <w:rFonts w:ascii="Calibri" w:eastAsia="Times New Roman" w:hAnsi="Calibri" w:cs="Calibri"/>
          <w:b/>
          <w:bCs/>
          <w:lang w:val="en-AU" w:eastAsia="en-GB"/>
        </w:rPr>
        <w:t>Ethical Considerations</w:t>
      </w:r>
    </w:p>
    <w:p w14:paraId="4EF56A7A" w14:textId="77777777"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The development and deployment of QuantumShield raises several ethical considerations that must be addressed proactively to ensure the platform operates responsibly and in the best interests of its target users.</w:t>
      </w:r>
    </w:p>
    <w:p w14:paraId="3802A270" w14:textId="5F40591A"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The most significant ethical dilemma is the risk of fear-based marketing. A platform designed to assess quantum vulnerability could exploit the uncertainty and complexity surrounding quantum computing to </w:t>
      </w:r>
      <w:r w:rsidRPr="009C6566">
        <w:rPr>
          <w:rFonts w:ascii="Calibri" w:eastAsia="Times New Roman" w:hAnsi="Calibri" w:cs="Calibri"/>
          <w:sz w:val="22"/>
          <w:szCs w:val="22"/>
          <w:lang w:val="en-AU" w:eastAsia="en-GB"/>
        </w:rPr>
        <w:lastRenderedPageBreak/>
        <w:t xml:space="preserve">generate anxiety among non-technical healthcare SME owners, driving engagement through fear rather than genuine informed decision-making. This approach would conflict directly with the ACS Code of Professional Ethics, which requires IT professionals to act in the public interest and prioritise the wellbeing of users above commercial gain </w:t>
      </w:r>
      <w:sdt>
        <w:sdtPr>
          <w:rPr>
            <w:rFonts w:ascii="Calibri" w:eastAsia="Times New Roman" w:hAnsi="Calibri" w:cs="Calibri"/>
            <w:sz w:val="22"/>
            <w:szCs w:val="22"/>
            <w:lang w:val="en-AU" w:eastAsia="en-GB"/>
          </w:rPr>
          <w:id w:val="-1755591925"/>
          <w:citation/>
        </w:sdtPr>
        <w:sdtEndPr/>
        <w:sdtContent>
          <w:r w:rsidR="000F7AC7">
            <w:rPr>
              <w:rFonts w:ascii="Calibri" w:eastAsia="Times New Roman" w:hAnsi="Calibri" w:cs="Calibri"/>
              <w:sz w:val="22"/>
              <w:szCs w:val="22"/>
              <w:lang w:val="en-AU" w:eastAsia="en-GB"/>
            </w:rPr>
            <w:fldChar w:fldCharType="begin"/>
          </w:r>
          <w:r w:rsidR="000F7AC7">
            <w:rPr>
              <w:rFonts w:ascii="Calibri" w:eastAsia="Times New Roman" w:hAnsi="Calibri" w:cs="Calibri"/>
              <w:sz w:val="22"/>
              <w:szCs w:val="22"/>
              <w:lang w:val="en-AU" w:eastAsia="en-GB"/>
            </w:rPr>
            <w:instrText xml:space="preserve"> CITATION Aus233 \l 3081 </w:instrText>
          </w:r>
          <w:r w:rsidR="000F7AC7">
            <w:rPr>
              <w:rFonts w:ascii="Calibri" w:eastAsia="Times New Roman" w:hAnsi="Calibri" w:cs="Calibri"/>
              <w:sz w:val="22"/>
              <w:szCs w:val="22"/>
              <w:lang w:val="en-AU" w:eastAsia="en-GB"/>
            </w:rPr>
            <w:fldChar w:fldCharType="separate"/>
          </w:r>
          <w:r w:rsidR="006075A3" w:rsidRPr="006075A3">
            <w:rPr>
              <w:rFonts w:ascii="Calibri" w:eastAsia="Times New Roman" w:hAnsi="Calibri" w:cs="Calibri"/>
              <w:noProof/>
              <w:sz w:val="22"/>
              <w:szCs w:val="22"/>
              <w:lang w:val="en-AU" w:eastAsia="en-GB"/>
            </w:rPr>
            <w:t>(ACS, 2023)</w:t>
          </w:r>
          <w:r w:rsidR="000F7AC7">
            <w:rPr>
              <w:rFonts w:ascii="Calibri" w:eastAsia="Times New Roman" w:hAnsi="Calibri" w:cs="Calibri"/>
              <w:sz w:val="22"/>
              <w:szCs w:val="22"/>
              <w:lang w:val="en-AU" w:eastAsia="en-GB"/>
            </w:rPr>
            <w:fldChar w:fldCharType="end"/>
          </w:r>
        </w:sdtContent>
      </w:sdt>
      <w:r w:rsidRPr="009C6566">
        <w:rPr>
          <w:rFonts w:ascii="Calibri" w:eastAsia="Times New Roman" w:hAnsi="Calibri" w:cs="Calibri"/>
          <w:sz w:val="22"/>
          <w:szCs w:val="22"/>
          <w:lang w:val="en-AU" w:eastAsia="en-GB"/>
        </w:rPr>
        <w:t>. QuantumShield mitigates this risk by committing to plain-English, evidence-based outputs that accurately represent the current state of quantum threat development without exaggerating imminence or severity beyond what the evidence supports.</w:t>
      </w:r>
    </w:p>
    <w:p w14:paraId="581E6D8A" w14:textId="6074D7BD"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A second ethical consideration concerns data privacy during the assessment process. Healthcare SME users completing the QuantumShield questionnaire will disclose information about their current security posture, systems, and data handling practices information that is itself sensitive. Australia's AI Ethics Principles </w:t>
      </w:r>
      <w:sdt>
        <w:sdtPr>
          <w:rPr>
            <w:rFonts w:ascii="Calibri" w:eastAsia="Times New Roman" w:hAnsi="Calibri" w:cs="Calibri"/>
            <w:sz w:val="22"/>
            <w:szCs w:val="22"/>
            <w:lang w:val="en-AU" w:eastAsia="en-GB"/>
          </w:rPr>
          <w:id w:val="-14238640"/>
          <w:citation/>
        </w:sdtPr>
        <w:sdtEndPr/>
        <w:sdtContent>
          <w:r w:rsidR="000F7AC7">
            <w:rPr>
              <w:rFonts w:ascii="Calibri" w:eastAsia="Times New Roman" w:hAnsi="Calibri" w:cs="Calibri"/>
              <w:sz w:val="22"/>
              <w:szCs w:val="22"/>
              <w:lang w:val="en-AU" w:eastAsia="en-GB"/>
            </w:rPr>
            <w:fldChar w:fldCharType="begin"/>
          </w:r>
          <w:r w:rsidR="000F7AC7">
            <w:rPr>
              <w:rFonts w:ascii="Calibri" w:eastAsia="Times New Roman" w:hAnsi="Calibri" w:cs="Calibri"/>
              <w:sz w:val="22"/>
              <w:szCs w:val="22"/>
              <w:lang w:val="en-AU" w:eastAsia="en-GB"/>
            </w:rPr>
            <w:instrText xml:space="preserve"> CITATION DIS23 \l 3081 </w:instrText>
          </w:r>
          <w:r w:rsidR="000F7AC7">
            <w:rPr>
              <w:rFonts w:ascii="Calibri" w:eastAsia="Times New Roman" w:hAnsi="Calibri" w:cs="Calibri"/>
              <w:sz w:val="22"/>
              <w:szCs w:val="22"/>
              <w:lang w:val="en-AU" w:eastAsia="en-GB"/>
            </w:rPr>
            <w:fldChar w:fldCharType="separate"/>
          </w:r>
          <w:r w:rsidR="006075A3" w:rsidRPr="006075A3">
            <w:rPr>
              <w:rFonts w:ascii="Calibri" w:eastAsia="Times New Roman" w:hAnsi="Calibri" w:cs="Calibri"/>
              <w:noProof/>
              <w:sz w:val="22"/>
              <w:szCs w:val="22"/>
              <w:lang w:val="en-AU" w:eastAsia="en-GB"/>
            </w:rPr>
            <w:t>(DISR, 2023)</w:t>
          </w:r>
          <w:r w:rsidR="000F7AC7">
            <w:rPr>
              <w:rFonts w:ascii="Calibri" w:eastAsia="Times New Roman" w:hAnsi="Calibri" w:cs="Calibri"/>
              <w:sz w:val="22"/>
              <w:szCs w:val="22"/>
              <w:lang w:val="en-AU" w:eastAsia="en-GB"/>
            </w:rPr>
            <w:fldChar w:fldCharType="end"/>
          </w:r>
        </w:sdtContent>
      </w:sdt>
      <w:r w:rsidRPr="009C6566">
        <w:rPr>
          <w:rFonts w:ascii="Calibri" w:eastAsia="Times New Roman" w:hAnsi="Calibri" w:cs="Calibri"/>
          <w:sz w:val="22"/>
          <w:szCs w:val="22"/>
          <w:lang w:val="en-AU" w:eastAsia="en-GB"/>
        </w:rPr>
        <w:t xml:space="preserve"> require that AI-assisted platforms handle user data with transparency, implementing privacy-by-design principles and obtaining informed consent before collecting or processing any organisational information. QuantumShield will address this through a no-data-retention prototype testing policy, explicit consent processes, and transparent disclosure of how assessment responses are used.</w:t>
      </w:r>
    </w:p>
    <w:p w14:paraId="225D3295" w14:textId="798A11F4" w:rsidR="00226C84" w:rsidRPr="00DB329A" w:rsidRDefault="00226C84" w:rsidP="00BB5FF0">
      <w:pPr>
        <w:spacing w:before="100" w:beforeAutospacing="1" w:after="100" w:afterAutospacing="1" w:line="276" w:lineRule="auto"/>
        <w:jc w:val="both"/>
        <w:rPr>
          <w:rFonts w:ascii="Calibri" w:eastAsia="Times New Roman" w:hAnsi="Calibri" w:cs="Calibri"/>
          <w:lang w:val="en-AU" w:eastAsia="en-GB"/>
        </w:rPr>
      </w:pPr>
      <w:r w:rsidRPr="009C6566">
        <w:rPr>
          <w:rFonts w:ascii="Calibri" w:eastAsia="Times New Roman" w:hAnsi="Calibri" w:cs="Calibri"/>
          <w:sz w:val="22"/>
          <w:szCs w:val="22"/>
          <w:lang w:val="en-AU" w:eastAsia="en-GB"/>
        </w:rPr>
        <w:t>Accessibility represents a third ethical dimension. The ACS Code requires that IT professionals consider the needs of all users, including those with limited technical literacy</w:t>
      </w:r>
      <w:sdt>
        <w:sdtPr>
          <w:rPr>
            <w:rFonts w:ascii="Calibri" w:eastAsia="Times New Roman" w:hAnsi="Calibri" w:cs="Calibri"/>
            <w:sz w:val="22"/>
            <w:szCs w:val="22"/>
            <w:lang w:val="en-AU" w:eastAsia="en-GB"/>
          </w:rPr>
          <w:id w:val="427473006"/>
          <w:citation/>
        </w:sdtPr>
        <w:sdtEndPr/>
        <w:sdtContent>
          <w:r w:rsidR="000F7AC7">
            <w:rPr>
              <w:rFonts w:ascii="Calibri" w:eastAsia="Times New Roman" w:hAnsi="Calibri" w:cs="Calibri"/>
              <w:sz w:val="22"/>
              <w:szCs w:val="22"/>
              <w:lang w:val="en-AU" w:eastAsia="en-GB"/>
            </w:rPr>
            <w:fldChar w:fldCharType="begin"/>
          </w:r>
          <w:r w:rsidR="000F7AC7">
            <w:rPr>
              <w:rFonts w:ascii="Calibri" w:eastAsia="Times New Roman" w:hAnsi="Calibri" w:cs="Calibri"/>
              <w:sz w:val="22"/>
              <w:szCs w:val="22"/>
              <w:lang w:val="en-AU" w:eastAsia="en-GB"/>
            </w:rPr>
            <w:instrText xml:space="preserve"> CITATION Aus233 \l 3081 </w:instrText>
          </w:r>
          <w:r w:rsidR="000F7AC7">
            <w:rPr>
              <w:rFonts w:ascii="Calibri" w:eastAsia="Times New Roman" w:hAnsi="Calibri" w:cs="Calibri"/>
              <w:sz w:val="22"/>
              <w:szCs w:val="22"/>
              <w:lang w:val="en-AU" w:eastAsia="en-GB"/>
            </w:rPr>
            <w:fldChar w:fldCharType="separate"/>
          </w:r>
          <w:r w:rsidR="006075A3">
            <w:rPr>
              <w:rFonts w:ascii="Calibri" w:eastAsia="Times New Roman" w:hAnsi="Calibri" w:cs="Calibri"/>
              <w:noProof/>
              <w:sz w:val="22"/>
              <w:szCs w:val="22"/>
              <w:lang w:val="en-AU" w:eastAsia="en-GB"/>
            </w:rPr>
            <w:t xml:space="preserve"> </w:t>
          </w:r>
          <w:r w:rsidR="006075A3" w:rsidRPr="006075A3">
            <w:rPr>
              <w:rFonts w:ascii="Calibri" w:eastAsia="Times New Roman" w:hAnsi="Calibri" w:cs="Calibri"/>
              <w:noProof/>
              <w:sz w:val="22"/>
              <w:szCs w:val="22"/>
              <w:lang w:val="en-AU" w:eastAsia="en-GB"/>
            </w:rPr>
            <w:t>(ACS, 2023)</w:t>
          </w:r>
          <w:r w:rsidR="000F7AC7">
            <w:rPr>
              <w:rFonts w:ascii="Calibri" w:eastAsia="Times New Roman" w:hAnsi="Calibri" w:cs="Calibri"/>
              <w:sz w:val="22"/>
              <w:szCs w:val="22"/>
              <w:lang w:val="en-AU" w:eastAsia="en-GB"/>
            </w:rPr>
            <w:fldChar w:fldCharType="end"/>
          </w:r>
        </w:sdtContent>
      </w:sdt>
      <w:r w:rsidRPr="009C6566">
        <w:rPr>
          <w:rFonts w:ascii="Calibri" w:eastAsia="Times New Roman" w:hAnsi="Calibri" w:cs="Calibri"/>
          <w:sz w:val="22"/>
          <w:szCs w:val="22"/>
          <w:lang w:val="en-AU" w:eastAsia="en-GB"/>
        </w:rPr>
        <w:t>. QuantumShield's plain-English output design, WCAG 2.1 AA accessibility compliance target, and avoidance of unexplained technical terminology are direct responses to this obligation</w:t>
      </w:r>
      <w:r w:rsidRPr="00DB329A">
        <w:rPr>
          <w:rFonts w:ascii="Calibri" w:eastAsia="Times New Roman" w:hAnsi="Calibri" w:cs="Calibri"/>
          <w:lang w:val="en-AU" w:eastAsia="en-GB"/>
        </w:rPr>
        <w:t>.</w:t>
      </w:r>
    </w:p>
    <w:p w14:paraId="6C6A43BC" w14:textId="77777777" w:rsidR="00226C84" w:rsidRPr="00DB329A" w:rsidRDefault="00226C84" w:rsidP="00BB5FF0">
      <w:pPr>
        <w:spacing w:before="100" w:beforeAutospacing="1" w:after="100" w:afterAutospacing="1" w:line="276" w:lineRule="auto"/>
        <w:jc w:val="both"/>
        <w:rPr>
          <w:rFonts w:ascii="Calibri" w:eastAsia="Times New Roman" w:hAnsi="Calibri" w:cs="Calibri"/>
          <w:b/>
          <w:bCs/>
          <w:lang w:val="en-AU" w:eastAsia="en-GB"/>
        </w:rPr>
      </w:pPr>
      <w:r w:rsidRPr="00DB329A">
        <w:rPr>
          <w:rFonts w:ascii="Calibri" w:eastAsia="Times New Roman" w:hAnsi="Calibri" w:cs="Calibri"/>
          <w:b/>
          <w:bCs/>
          <w:lang w:val="en-AU" w:eastAsia="en-GB"/>
        </w:rPr>
        <w:t>Sustainability Considerations</w:t>
      </w:r>
    </w:p>
    <w:p w14:paraId="3B912CBE" w14:textId="725C4998" w:rsidR="00BD0CAF" w:rsidRPr="00881E10" w:rsidRDefault="00226C84" w:rsidP="00881E1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QuantumShield contributes to sustainability across two dimensions. Economically, the freemium model ensures the platform remains accessible to resource-constrained healthcare SMEs, avoiding the creation of a two-tiered quantum security landscape where only well-funded organisations can afford readiness guidance. Socially, the platform contributes to Australia's broader digital resilience by raising quantum security awareness across a sector that handles some of the most sensitive personal data in the economy, directly supporting the objectives of Australia's Cyber Security Strategy 2023–2030.</w:t>
      </w:r>
    </w:p>
    <w:p w14:paraId="54D11F14" w14:textId="4FC875F3" w:rsidR="05437AA6" w:rsidRPr="00DB329A" w:rsidRDefault="05437AA6" w:rsidP="00BB5FF0">
      <w:pPr>
        <w:pStyle w:val="Heading1"/>
        <w:spacing w:line="276" w:lineRule="auto"/>
        <w:rPr>
          <w:rFonts w:ascii="Calibri" w:hAnsi="Calibri" w:cs="Calibri"/>
        </w:rPr>
      </w:pPr>
      <w:bookmarkStart w:id="4" w:name="_Toc234740550"/>
      <w:r w:rsidRPr="00DB329A">
        <w:rPr>
          <w:rFonts w:ascii="Calibri" w:hAnsi="Calibri" w:cs="Calibri"/>
        </w:rPr>
        <w:t>Conclusion</w:t>
      </w:r>
      <w:bookmarkEnd w:id="4"/>
    </w:p>
    <w:p w14:paraId="15A906EC" w14:textId="77777777"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This review has synthesised evidence across four interconnected themes to establish the case for QuantumShield as a timely, necessary, and commercially viable response to a significant and growing market gap. The quantum computing threat is real, accelerating, and operating on a regulatory timeline that has already begun — NIST's 2024 standards, ASD's binding 2026–2030 compliance roadmap, and the present-day reality of HNDL attacks collectively mean that post-quantum migration is not a future consideration but a current obligation for Australian healthcare SMEs.</w:t>
      </w:r>
    </w:p>
    <w:p w14:paraId="107B3AA5" w14:textId="77777777"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 xml:space="preserve">The evidence demonstrates that healthcare SMEs represent a particularly high-risk and underserved cohort - handling long-lived sensitive patient data under stringent privacy obligations, operating under binding critical infrastructure security requirements, and yet lacking the awareness, technical expertise, </w:t>
      </w:r>
      <w:r w:rsidRPr="009C6566">
        <w:rPr>
          <w:rFonts w:ascii="Calibri" w:eastAsia="Times New Roman" w:hAnsi="Calibri" w:cs="Calibri"/>
          <w:sz w:val="22"/>
          <w:szCs w:val="22"/>
          <w:lang w:val="en-AU" w:eastAsia="en-GB"/>
        </w:rPr>
        <w:lastRenderedPageBreak/>
        <w:t>and accessible tools needed to respond. Existing solutions systematically fail this cohort through complexity, cost, and absence of healthcare-sector specificity.</w:t>
      </w:r>
    </w:p>
    <w:p w14:paraId="5CD294F3" w14:textId="61DBC1A3" w:rsidR="00226C84" w:rsidRPr="009C6566" w:rsidRDefault="00226C84" w:rsidP="00BB5FF0">
      <w:pPr>
        <w:spacing w:before="100" w:beforeAutospacing="1" w:after="100" w:afterAutospacing="1" w:line="276" w:lineRule="auto"/>
        <w:jc w:val="both"/>
        <w:rPr>
          <w:rFonts w:ascii="Calibri" w:eastAsia="Times New Roman" w:hAnsi="Calibri" w:cs="Calibri"/>
          <w:sz w:val="22"/>
          <w:szCs w:val="22"/>
          <w:lang w:val="en-AU" w:eastAsia="en-GB"/>
        </w:rPr>
      </w:pPr>
      <w:r w:rsidRPr="009C6566">
        <w:rPr>
          <w:rFonts w:ascii="Calibri" w:eastAsia="Times New Roman" w:hAnsi="Calibri" w:cs="Calibri"/>
          <w:sz w:val="22"/>
          <w:szCs w:val="22"/>
          <w:lang w:val="en-AU" w:eastAsia="en-GB"/>
        </w:rPr>
        <w:t>Gap analysis using a competitor feature matrix, NIST CSF 2.0, and the ASD Essential Eight confirms that no existing solution addresses the full combination of accessibility, affordability, plain-English output, and Australian regulatory alignment required by healthcare SME users. QuantumShield is proposed to occupy this gap, delivering automated, sector-specific quantum readiness assessment that translates complex cryptographic and regulatory requirements into prioritised, actionable guidance accessible to non-technical healthcare operators. The evidence base established in this review will underpin the formal project scoping, validation planning, and Part B execution detailed in Assessment 3.</w:t>
      </w:r>
    </w:p>
    <w:bookmarkStart w:id="5" w:name="_Toc234740551" w:displacedByCustomXml="next"/>
    <w:sdt>
      <w:sdtPr>
        <w:rPr>
          <w:rFonts w:asciiTheme="minorHAnsi" w:eastAsiaTheme="minorEastAsia" w:hAnsiTheme="minorHAnsi" w:cstheme="minorBidi"/>
          <w:color w:val="auto"/>
          <w:sz w:val="24"/>
          <w:szCs w:val="24"/>
        </w:rPr>
        <w:id w:val="2114549939"/>
        <w:docPartObj>
          <w:docPartGallery w:val="Bibliographies"/>
          <w:docPartUnique/>
        </w:docPartObj>
      </w:sdtPr>
      <w:sdtEndPr/>
      <w:sdtContent>
        <w:p w14:paraId="08928BBB" w14:textId="43697046" w:rsidR="00382026" w:rsidRDefault="00382026">
          <w:pPr>
            <w:pStyle w:val="Heading1"/>
          </w:pPr>
          <w:r>
            <w:t>Bibliography</w:t>
          </w:r>
          <w:bookmarkEnd w:id="5"/>
        </w:p>
        <w:sdt>
          <w:sdtPr>
            <w:id w:val="111145805"/>
            <w:bibliography/>
          </w:sdtPr>
          <w:sdtEndPr/>
          <w:sdtContent>
            <w:p w14:paraId="06E64639" w14:textId="77777777" w:rsidR="006075A3" w:rsidRDefault="00382026" w:rsidP="006075A3">
              <w:pPr>
                <w:pStyle w:val="Bibliography"/>
                <w:rPr>
                  <w:noProof/>
                </w:rPr>
              </w:pPr>
              <w:r>
                <w:fldChar w:fldCharType="begin"/>
              </w:r>
              <w:r>
                <w:instrText xml:space="preserve"> BIBLIOGRAPHY </w:instrText>
              </w:r>
              <w:r>
                <w:fldChar w:fldCharType="separate"/>
              </w:r>
              <w:r w:rsidR="006075A3">
                <w:rPr>
                  <w:noProof/>
                </w:rPr>
                <w:t xml:space="preserve">Privacy Act 1988, 2022. </w:t>
              </w:r>
              <w:r w:rsidR="006075A3">
                <w:rPr>
                  <w:i/>
                  <w:iCs/>
                  <w:noProof/>
                </w:rPr>
                <w:t xml:space="preserve">Federal Register of Legislation. </w:t>
              </w:r>
              <w:r w:rsidR="006075A3">
                <w:rPr>
                  <w:noProof/>
                </w:rPr>
                <w:t xml:space="preserve">[Online] </w:t>
              </w:r>
              <w:r w:rsidR="006075A3">
                <w:rPr>
                  <w:noProof/>
                </w:rPr>
                <w:br/>
                <w:t xml:space="preserve">Available at: </w:t>
              </w:r>
              <w:r w:rsidR="006075A3">
                <w:rPr>
                  <w:noProof/>
                  <w:u w:val="single"/>
                </w:rPr>
                <w:t>https://www.legislation.gov.au/C2004A03712/2022-12-13/text</w:t>
              </w:r>
            </w:p>
            <w:p w14:paraId="4B209A46" w14:textId="77777777" w:rsidR="006075A3" w:rsidRDefault="006075A3" w:rsidP="006075A3">
              <w:pPr>
                <w:pStyle w:val="Bibliography"/>
                <w:rPr>
                  <w:noProof/>
                </w:rPr>
              </w:pPr>
              <w:r>
                <w:rPr>
                  <w:noProof/>
                </w:rPr>
                <w:t xml:space="preserve">2018, S. o. C. I. A., 2022. </w:t>
              </w:r>
              <w:r>
                <w:rPr>
                  <w:i/>
                  <w:iCs/>
                  <w:noProof/>
                </w:rPr>
                <w:t xml:space="preserve">Federal Register of Legislation. </w:t>
              </w:r>
              <w:r>
                <w:rPr>
                  <w:noProof/>
                </w:rPr>
                <w:t xml:space="preserve">[Online] </w:t>
              </w:r>
              <w:r>
                <w:rPr>
                  <w:noProof/>
                </w:rPr>
                <w:br/>
                <w:t xml:space="preserve">Available at: </w:t>
              </w:r>
              <w:r>
                <w:rPr>
                  <w:noProof/>
                  <w:u w:val="single"/>
                </w:rPr>
                <w:t>https://www.legislation.gov.au/C2004A04121/2022-01-01/text</w:t>
              </w:r>
            </w:p>
            <w:p w14:paraId="3CCB57A8" w14:textId="77777777" w:rsidR="006075A3" w:rsidRDefault="006075A3" w:rsidP="006075A3">
              <w:pPr>
                <w:pStyle w:val="Bibliography"/>
                <w:rPr>
                  <w:noProof/>
                </w:rPr>
              </w:pPr>
              <w:r>
                <w:rPr>
                  <w:noProof/>
                </w:rPr>
                <w:t xml:space="preserve">ACS, 2023. </w:t>
              </w:r>
              <w:r>
                <w:rPr>
                  <w:i/>
                  <w:iCs/>
                  <w:noProof/>
                </w:rPr>
                <w:t xml:space="preserve">ACS code of professional ethics. Australian Computer Society. </w:t>
              </w:r>
              <w:r>
                <w:rPr>
                  <w:noProof/>
                </w:rPr>
                <w:t xml:space="preserve">[Online] </w:t>
              </w:r>
              <w:r>
                <w:rPr>
                  <w:noProof/>
                </w:rPr>
                <w:br/>
                <w:t xml:space="preserve">Available at: </w:t>
              </w:r>
              <w:r>
                <w:rPr>
                  <w:noProof/>
                  <w:u w:val="single"/>
                </w:rPr>
                <w:t>https://www.acs.org.au/memberships/professional-ethics-conduct-and-complaints.html</w:t>
              </w:r>
            </w:p>
            <w:p w14:paraId="5FEE94E8" w14:textId="77777777" w:rsidR="006075A3" w:rsidRDefault="006075A3" w:rsidP="006075A3">
              <w:pPr>
                <w:pStyle w:val="Bibliography"/>
                <w:rPr>
                  <w:noProof/>
                </w:rPr>
              </w:pPr>
              <w:r>
                <w:rPr>
                  <w:noProof/>
                </w:rPr>
                <w:t xml:space="preserve">ASD, 2023. </w:t>
              </w:r>
              <w:r>
                <w:rPr>
                  <w:i/>
                  <w:iCs/>
                  <w:noProof/>
                </w:rPr>
                <w:t xml:space="preserve">Planning for post-quantum cryptography. Australian Cyber Security Centre.. </w:t>
              </w:r>
              <w:r>
                <w:rPr>
                  <w:noProof/>
                </w:rPr>
                <w:t xml:space="preserve">[Online] </w:t>
              </w:r>
              <w:r>
                <w:rPr>
                  <w:noProof/>
                </w:rPr>
                <w:br/>
                <w:t xml:space="preserve">Available at: </w:t>
              </w:r>
              <w:r>
                <w:rPr>
                  <w:noProof/>
                  <w:u w:val="single"/>
                </w:rPr>
                <w:t>https://www.cyber.gov.au/sites/default/files/2025-03/Planning%20for%20post-quantum%20cryptography%20(August%202023).pdf</w:t>
              </w:r>
            </w:p>
            <w:p w14:paraId="5ED3700E" w14:textId="77777777" w:rsidR="006075A3" w:rsidRDefault="006075A3" w:rsidP="006075A3">
              <w:pPr>
                <w:pStyle w:val="Bibliography"/>
                <w:rPr>
                  <w:noProof/>
                </w:rPr>
              </w:pPr>
              <w:r>
                <w:rPr>
                  <w:noProof/>
                </w:rPr>
                <w:t xml:space="preserve">ASD, 2024. </w:t>
              </w:r>
              <w:r>
                <w:rPr>
                  <w:i/>
                  <w:iCs/>
                  <w:noProof/>
                </w:rPr>
                <w:t xml:space="preserve">Essential Eight maturity model. Australian Cyber Security Centre.. </w:t>
              </w:r>
              <w:r>
                <w:rPr>
                  <w:noProof/>
                </w:rPr>
                <w:t xml:space="preserve">[Online] </w:t>
              </w:r>
              <w:r>
                <w:rPr>
                  <w:noProof/>
                </w:rPr>
                <w:br/>
                <w:t xml:space="preserve">Available at: </w:t>
              </w:r>
              <w:r>
                <w:rPr>
                  <w:noProof/>
                  <w:u w:val="single"/>
                </w:rPr>
                <w:t>https://www.cyber.gov.au/business-government/asds-cyber-security-frameworks/essential-eight/essential-eight-maturity-model</w:t>
              </w:r>
            </w:p>
            <w:p w14:paraId="707EB8E0" w14:textId="77777777" w:rsidR="006075A3" w:rsidRDefault="006075A3" w:rsidP="006075A3">
              <w:pPr>
                <w:pStyle w:val="Bibliography"/>
                <w:rPr>
                  <w:noProof/>
                </w:rPr>
              </w:pPr>
              <w:r>
                <w:rPr>
                  <w:noProof/>
                </w:rPr>
                <w:t xml:space="preserve">ASD, 2025. </w:t>
              </w:r>
              <w:r>
                <w:rPr>
                  <w:i/>
                  <w:iCs/>
                  <w:noProof/>
                </w:rPr>
                <w:t xml:space="preserve">Annual cyber threat report 2024–25. Australian Cyber Security Centre.. </w:t>
              </w:r>
              <w:r>
                <w:rPr>
                  <w:noProof/>
                </w:rPr>
                <w:t xml:space="preserve">[Online] </w:t>
              </w:r>
              <w:r>
                <w:rPr>
                  <w:noProof/>
                </w:rPr>
                <w:br/>
                <w:t xml:space="preserve">Available at: </w:t>
              </w:r>
              <w:r>
                <w:rPr>
                  <w:noProof/>
                  <w:u w:val="single"/>
                </w:rPr>
                <w:t>https://www.cyber.gov.au/about-us/view-all-content/reports-and-statistics/annual-cyber-threat-report-2024-2025</w:t>
              </w:r>
            </w:p>
            <w:p w14:paraId="488769E0" w14:textId="77777777" w:rsidR="006075A3" w:rsidRDefault="006075A3" w:rsidP="006075A3">
              <w:pPr>
                <w:pStyle w:val="Bibliography"/>
                <w:rPr>
                  <w:noProof/>
                </w:rPr>
              </w:pPr>
              <w:r>
                <w:rPr>
                  <w:noProof/>
                </w:rPr>
                <w:t xml:space="preserve">Bernstein, D. &amp;. L. T., 2017. </w:t>
              </w:r>
              <w:r>
                <w:rPr>
                  <w:i/>
                  <w:iCs/>
                  <w:noProof/>
                </w:rPr>
                <w:t xml:space="preserve">Post-quantum cryptography. Nature. </w:t>
              </w:r>
              <w:r>
                <w:rPr>
                  <w:noProof/>
                </w:rPr>
                <w:t xml:space="preserve">[Online] </w:t>
              </w:r>
              <w:r>
                <w:rPr>
                  <w:noProof/>
                </w:rPr>
                <w:br/>
                <w:t xml:space="preserve">Available at: </w:t>
              </w:r>
              <w:r>
                <w:rPr>
                  <w:noProof/>
                  <w:u w:val="single"/>
                </w:rPr>
                <w:t>https://doi.org/10.1038/nature23461</w:t>
              </w:r>
            </w:p>
            <w:p w14:paraId="0DF5A400" w14:textId="77777777" w:rsidR="006075A3" w:rsidRDefault="006075A3" w:rsidP="006075A3">
              <w:pPr>
                <w:pStyle w:val="Bibliography"/>
                <w:rPr>
                  <w:noProof/>
                </w:rPr>
              </w:pPr>
              <w:r>
                <w:rPr>
                  <w:noProof/>
                </w:rPr>
                <w:t xml:space="preserve">Bindel, N. B. J. G. L. S. T. &amp;. W. T., 2023. </w:t>
              </w:r>
              <w:r>
                <w:rPr>
                  <w:i/>
                  <w:iCs/>
                  <w:noProof/>
                </w:rPr>
                <w:t xml:space="preserve">Transitioning to post-quantum cryptography: A systematization of knowledge. Journal of Cybersecurity. </w:t>
              </w:r>
              <w:r>
                <w:rPr>
                  <w:noProof/>
                </w:rPr>
                <w:t xml:space="preserve">[Online] </w:t>
              </w:r>
              <w:r>
                <w:rPr>
                  <w:noProof/>
                </w:rPr>
                <w:br/>
                <w:t xml:space="preserve">Available at: </w:t>
              </w:r>
              <w:r>
                <w:rPr>
                  <w:noProof/>
                  <w:u w:val="single"/>
                </w:rPr>
                <w:t>https://academic.oup.com/cybersecurity/article/9/1/tyad007/7130095</w:t>
              </w:r>
            </w:p>
            <w:p w14:paraId="23A13D83" w14:textId="77777777" w:rsidR="006075A3" w:rsidRDefault="006075A3" w:rsidP="006075A3">
              <w:pPr>
                <w:pStyle w:val="Bibliography"/>
                <w:rPr>
                  <w:noProof/>
                </w:rPr>
              </w:pPr>
              <w:r>
                <w:rPr>
                  <w:noProof/>
                </w:rPr>
                <w:lastRenderedPageBreak/>
                <w:t xml:space="preserve">Blanco-Romero, J. A. M. F. G. R. C. C. C. &amp;. D. S. D., 2026. </w:t>
              </w:r>
              <w:r>
                <w:rPr>
                  <w:i/>
                  <w:iCs/>
                  <w:noProof/>
                </w:rPr>
                <w:t xml:space="preserve">On the practical feasibility of harvest-now, decrypt-later attacks. </w:t>
              </w:r>
              <w:r>
                <w:rPr>
                  <w:noProof/>
                </w:rPr>
                <w:t xml:space="preserve">[Online] </w:t>
              </w:r>
              <w:r>
                <w:rPr>
                  <w:noProof/>
                </w:rPr>
                <w:br/>
                <w:t xml:space="preserve">Available at: </w:t>
              </w:r>
              <w:r>
                <w:rPr>
                  <w:noProof/>
                  <w:u w:val="single"/>
                </w:rPr>
                <w:t>https://arxiv.org/pdf/2603.01091</w:t>
              </w:r>
            </w:p>
            <w:p w14:paraId="7BC19630" w14:textId="77777777" w:rsidR="006075A3" w:rsidRDefault="006075A3" w:rsidP="006075A3">
              <w:pPr>
                <w:pStyle w:val="Bibliography"/>
                <w:rPr>
                  <w:noProof/>
                </w:rPr>
              </w:pPr>
              <w:r>
                <w:rPr>
                  <w:noProof/>
                </w:rPr>
                <w:t xml:space="preserve">CISA, 2024. </w:t>
              </w:r>
              <w:r>
                <w:rPr>
                  <w:i/>
                  <w:iCs/>
                  <w:noProof/>
                </w:rPr>
                <w:t xml:space="preserve">Post-quantum cryptography initiative. US Department of Homeland Security.. </w:t>
              </w:r>
              <w:r>
                <w:rPr>
                  <w:noProof/>
                </w:rPr>
                <w:t xml:space="preserve">[Online] </w:t>
              </w:r>
              <w:r>
                <w:rPr>
                  <w:noProof/>
                </w:rPr>
                <w:br/>
                <w:t xml:space="preserve">Available at: </w:t>
              </w:r>
              <w:r>
                <w:rPr>
                  <w:noProof/>
                  <w:u w:val="single"/>
                </w:rPr>
                <w:t>https://www.cisa.gov/topics/risk-management/quantum</w:t>
              </w:r>
            </w:p>
            <w:p w14:paraId="4CABBA34" w14:textId="77777777" w:rsidR="006075A3" w:rsidRDefault="006075A3" w:rsidP="006075A3">
              <w:pPr>
                <w:pStyle w:val="Bibliography"/>
                <w:rPr>
                  <w:noProof/>
                </w:rPr>
              </w:pPr>
              <w:r>
                <w:rPr>
                  <w:noProof/>
                </w:rPr>
                <w:t xml:space="preserve">CrowdStrike, 2025. </w:t>
              </w:r>
              <w:r>
                <w:rPr>
                  <w:i/>
                  <w:iCs/>
                  <w:noProof/>
                </w:rPr>
                <w:t xml:space="preserve">State of SMB cybersecurity report 2025. </w:t>
              </w:r>
              <w:r>
                <w:rPr>
                  <w:noProof/>
                </w:rPr>
                <w:t xml:space="preserve">[Online] </w:t>
              </w:r>
              <w:r>
                <w:rPr>
                  <w:noProof/>
                </w:rPr>
                <w:br/>
                <w:t xml:space="preserve">Available at: </w:t>
              </w:r>
              <w:r>
                <w:rPr>
                  <w:noProof/>
                  <w:u w:val="single"/>
                </w:rPr>
                <w:t>https://www.crowdstrike.com/en-us/press-releases/crowdstrike-unveils-smb-cyber-report-highlighting-protection-gaps/</w:t>
              </w:r>
            </w:p>
            <w:p w14:paraId="73134603" w14:textId="77777777" w:rsidR="006075A3" w:rsidRDefault="006075A3" w:rsidP="006075A3">
              <w:pPr>
                <w:pStyle w:val="Bibliography"/>
                <w:rPr>
                  <w:noProof/>
                </w:rPr>
              </w:pPr>
              <w:r>
                <w:rPr>
                  <w:noProof/>
                </w:rPr>
                <w:t xml:space="preserve">DISR, 2023. </w:t>
              </w:r>
              <w:r>
                <w:rPr>
                  <w:i/>
                  <w:iCs/>
                  <w:noProof/>
                </w:rPr>
                <w:t xml:space="preserve">Australia's artificial intelligence ethics principles. Australian Government.. </w:t>
              </w:r>
              <w:r>
                <w:rPr>
                  <w:noProof/>
                </w:rPr>
                <w:t xml:space="preserve">[Online] </w:t>
              </w:r>
              <w:r>
                <w:rPr>
                  <w:noProof/>
                </w:rPr>
                <w:br/>
                <w:t xml:space="preserve">Available at: </w:t>
              </w:r>
              <w:r>
                <w:rPr>
                  <w:noProof/>
                  <w:u w:val="single"/>
                </w:rPr>
                <w:t>https://www.industry.gov.au/publications/australias-ai-ethics-principles</w:t>
              </w:r>
            </w:p>
            <w:p w14:paraId="4571DB39" w14:textId="77777777" w:rsidR="006075A3" w:rsidRDefault="006075A3" w:rsidP="006075A3">
              <w:pPr>
                <w:pStyle w:val="Bibliography"/>
                <w:rPr>
                  <w:noProof/>
                </w:rPr>
              </w:pPr>
              <w:r>
                <w:rPr>
                  <w:noProof/>
                </w:rPr>
                <w:t xml:space="preserve">Fernandez-Carames, T. &amp;. F.-L. P., 2020. </w:t>
              </w:r>
              <w:r>
                <w:rPr>
                  <w:i/>
                  <w:iCs/>
                  <w:noProof/>
                </w:rPr>
                <w:t xml:space="preserve">Towards post-quantum blockchain: A review of blockchain cryptography from the quantum computing perspective. </w:t>
              </w:r>
              <w:r>
                <w:rPr>
                  <w:noProof/>
                </w:rPr>
                <w:t xml:space="preserve">[Online] </w:t>
              </w:r>
              <w:r>
                <w:rPr>
                  <w:noProof/>
                </w:rPr>
                <w:br/>
                <w:t xml:space="preserve">Available at: </w:t>
              </w:r>
              <w:r>
                <w:rPr>
                  <w:noProof/>
                  <w:u w:val="single"/>
                </w:rPr>
                <w:t>https://doi.org/10.1109/ACCESS.2020.2968985</w:t>
              </w:r>
            </w:p>
            <w:p w14:paraId="3BF3F665" w14:textId="77777777" w:rsidR="006075A3" w:rsidRDefault="006075A3" w:rsidP="006075A3">
              <w:pPr>
                <w:pStyle w:val="Bibliography"/>
                <w:rPr>
                  <w:noProof/>
                </w:rPr>
              </w:pPr>
              <w:r>
                <w:rPr>
                  <w:noProof/>
                </w:rPr>
                <w:t xml:space="preserve">Malina, L. P. L. D. P. H. J. &amp;. M. Z., 2023. </w:t>
              </w:r>
              <w:r>
                <w:rPr>
                  <w:i/>
                  <w:iCs/>
                  <w:noProof/>
                </w:rPr>
                <w:t xml:space="preserve">On feasibility of post-quantum cryptography on small devices. Sensors. </w:t>
              </w:r>
              <w:r>
                <w:rPr>
                  <w:noProof/>
                </w:rPr>
                <w:t xml:space="preserve">[Online] </w:t>
              </w:r>
              <w:r>
                <w:rPr>
                  <w:noProof/>
                </w:rPr>
                <w:br/>
                <w:t xml:space="preserve">Available at: </w:t>
              </w:r>
              <w:r>
                <w:rPr>
                  <w:noProof/>
                  <w:u w:val="single"/>
                </w:rPr>
                <w:t>https://www.mdpi.com/1424-8220/23/4/1963</w:t>
              </w:r>
            </w:p>
            <w:p w14:paraId="19404E9F" w14:textId="77777777" w:rsidR="006075A3" w:rsidRDefault="006075A3" w:rsidP="006075A3">
              <w:pPr>
                <w:pStyle w:val="Bibliography"/>
                <w:rPr>
                  <w:noProof/>
                </w:rPr>
              </w:pPr>
              <w:r>
                <w:rPr>
                  <w:noProof/>
                </w:rPr>
                <w:t xml:space="preserve">Mosca, M., 2018. </w:t>
              </w:r>
              <w:r>
                <w:rPr>
                  <w:i/>
                  <w:iCs/>
                  <w:noProof/>
                </w:rPr>
                <w:t xml:space="preserve">Cybersecurity in an era with quantum computers: Will we be ready? IEEE Security &amp; Privacy. </w:t>
              </w:r>
              <w:r>
                <w:rPr>
                  <w:noProof/>
                </w:rPr>
                <w:t xml:space="preserve">[Online] </w:t>
              </w:r>
              <w:r>
                <w:rPr>
                  <w:noProof/>
                </w:rPr>
                <w:br/>
                <w:t xml:space="preserve">Available at: </w:t>
              </w:r>
              <w:r>
                <w:rPr>
                  <w:noProof/>
                  <w:u w:val="single"/>
                </w:rPr>
                <w:t>https://ieeexplore.ieee.org/document/8490169</w:t>
              </w:r>
            </w:p>
            <w:p w14:paraId="5314D9A4" w14:textId="77777777" w:rsidR="006075A3" w:rsidRDefault="006075A3" w:rsidP="006075A3">
              <w:pPr>
                <w:pStyle w:val="Bibliography"/>
                <w:rPr>
                  <w:noProof/>
                </w:rPr>
              </w:pPr>
              <w:r>
                <w:rPr>
                  <w:noProof/>
                </w:rPr>
                <w:t xml:space="preserve">My Health Records Act 2012, 2012. </w:t>
              </w:r>
              <w:r>
                <w:rPr>
                  <w:i/>
                  <w:iCs/>
                  <w:noProof/>
                </w:rPr>
                <w:t xml:space="preserve">Federal Register of Legislation. </w:t>
              </w:r>
              <w:r>
                <w:rPr>
                  <w:noProof/>
                </w:rPr>
                <w:t xml:space="preserve">[Online] </w:t>
              </w:r>
              <w:r>
                <w:rPr>
                  <w:noProof/>
                </w:rPr>
                <w:br/>
                <w:t xml:space="preserve">Available at: </w:t>
              </w:r>
              <w:r>
                <w:rPr>
                  <w:noProof/>
                  <w:u w:val="single"/>
                </w:rPr>
                <w:t>https://www.legislation.gov.au/C2004A05168/2022-09-28/text</w:t>
              </w:r>
            </w:p>
            <w:p w14:paraId="61EE450A" w14:textId="77777777" w:rsidR="006075A3" w:rsidRDefault="006075A3" w:rsidP="006075A3">
              <w:pPr>
                <w:pStyle w:val="Bibliography"/>
                <w:rPr>
                  <w:noProof/>
                </w:rPr>
              </w:pPr>
              <w:r>
                <w:rPr>
                  <w:noProof/>
                </w:rPr>
                <w:t xml:space="preserve">NCSC, 2025. </w:t>
              </w:r>
              <w:r>
                <w:rPr>
                  <w:i/>
                  <w:iCs/>
                  <w:noProof/>
                </w:rPr>
                <w:t xml:space="preserve">Timelines for migration to post-quantum cryptography. UK Government. </w:t>
              </w:r>
              <w:r>
                <w:rPr>
                  <w:noProof/>
                </w:rPr>
                <w:t xml:space="preserve">[Online] </w:t>
              </w:r>
              <w:r>
                <w:rPr>
                  <w:noProof/>
                </w:rPr>
                <w:br/>
                <w:t xml:space="preserve">Available at: </w:t>
              </w:r>
              <w:r>
                <w:rPr>
                  <w:noProof/>
                  <w:u w:val="single"/>
                </w:rPr>
                <w:t>https://www.ncsc.gov.uk/guidance/pqc-migration-timelines</w:t>
              </w:r>
            </w:p>
            <w:p w14:paraId="0CDB7005" w14:textId="77777777" w:rsidR="006075A3" w:rsidRDefault="006075A3" w:rsidP="006075A3">
              <w:pPr>
                <w:pStyle w:val="Bibliography"/>
                <w:rPr>
                  <w:noProof/>
                </w:rPr>
              </w:pPr>
              <w:r>
                <w:rPr>
                  <w:noProof/>
                </w:rPr>
                <w:t xml:space="preserve">NIST, 2024. </w:t>
              </w:r>
              <w:r>
                <w:rPr>
                  <w:i/>
                  <w:iCs/>
                  <w:noProof/>
                </w:rPr>
                <w:t xml:space="preserve">Federal information processing standards 203, 204, 205: Post-quantum cryptography standards. US Department of Commerc. </w:t>
              </w:r>
              <w:r>
                <w:rPr>
                  <w:noProof/>
                </w:rPr>
                <w:t xml:space="preserve">[Online] </w:t>
              </w:r>
              <w:r>
                <w:rPr>
                  <w:noProof/>
                </w:rPr>
                <w:br/>
                <w:t xml:space="preserve">Available at: </w:t>
              </w:r>
              <w:r>
                <w:rPr>
                  <w:noProof/>
                  <w:u w:val="single"/>
                </w:rPr>
                <w:t>https://csrc.nist.gov/projects/post-quantum-cryptography</w:t>
              </w:r>
            </w:p>
            <w:p w14:paraId="59652C0F" w14:textId="77777777" w:rsidR="006075A3" w:rsidRDefault="006075A3" w:rsidP="006075A3">
              <w:pPr>
                <w:pStyle w:val="Bibliography"/>
                <w:rPr>
                  <w:noProof/>
                </w:rPr>
              </w:pPr>
              <w:r>
                <w:rPr>
                  <w:noProof/>
                </w:rPr>
                <w:t xml:space="preserve">OECD, 2023. </w:t>
              </w:r>
              <w:r>
                <w:rPr>
                  <w:i/>
                  <w:iCs/>
                  <w:noProof/>
                </w:rPr>
                <w:t xml:space="preserve">SME and entrepreneurship outlook 2024. OECD Publishing. </w:t>
              </w:r>
              <w:r>
                <w:rPr>
                  <w:noProof/>
                </w:rPr>
                <w:t xml:space="preserve">[Online] </w:t>
              </w:r>
              <w:r>
                <w:rPr>
                  <w:noProof/>
                </w:rPr>
                <w:br/>
                <w:t xml:space="preserve">Available at: </w:t>
              </w:r>
              <w:r>
                <w:rPr>
                  <w:noProof/>
                  <w:u w:val="single"/>
                </w:rPr>
                <w:t>https://www.oecd.org/en/publications/oecd-sme-and-entrepreneurship-outlook-2023_342b8564-en.html</w:t>
              </w:r>
            </w:p>
            <w:p w14:paraId="195816CA" w14:textId="77777777" w:rsidR="006075A3" w:rsidRDefault="006075A3" w:rsidP="006075A3">
              <w:pPr>
                <w:pStyle w:val="Bibliography"/>
                <w:rPr>
                  <w:noProof/>
                </w:rPr>
              </w:pPr>
              <w:r>
                <w:rPr>
                  <w:noProof/>
                </w:rPr>
                <w:lastRenderedPageBreak/>
                <w:t xml:space="preserve">Perlner, R. &amp;. C. D., 2009. </w:t>
              </w:r>
              <w:r>
                <w:rPr>
                  <w:i/>
                  <w:iCs/>
                  <w:noProof/>
                </w:rPr>
                <w:t xml:space="preserve">Quantum resistant public key cryptography: A survey. Proceedings of the 8th Symposium on Identity and Trust on the Internet,. </w:t>
              </w:r>
              <w:r>
                <w:rPr>
                  <w:noProof/>
                </w:rPr>
                <w:t xml:space="preserve">[Online] </w:t>
              </w:r>
              <w:r>
                <w:rPr>
                  <w:noProof/>
                </w:rPr>
                <w:br/>
                <w:t xml:space="preserve">Available at: </w:t>
              </w:r>
              <w:r>
                <w:rPr>
                  <w:noProof/>
                  <w:u w:val="single"/>
                </w:rPr>
                <w:t>https://dl.acm.org/doi/abs/10.1145/1527017.1527028</w:t>
              </w:r>
            </w:p>
            <w:p w14:paraId="636F06F7" w14:textId="77777777" w:rsidR="006075A3" w:rsidRDefault="006075A3" w:rsidP="006075A3">
              <w:pPr>
                <w:pStyle w:val="Bibliography"/>
                <w:rPr>
                  <w:noProof/>
                </w:rPr>
              </w:pPr>
              <w:r>
                <w:rPr>
                  <w:noProof/>
                </w:rPr>
                <w:t xml:space="preserve">QNu Labs, 2025. </w:t>
              </w:r>
              <w:r>
                <w:rPr>
                  <w:i/>
                  <w:iCs/>
                  <w:noProof/>
                </w:rPr>
                <w:t xml:space="preserve">Quantum readiness in cybersecurity report 2025. QNu Labs. </w:t>
              </w:r>
              <w:r>
                <w:rPr>
                  <w:noProof/>
                </w:rPr>
                <w:t xml:space="preserve">[Online] </w:t>
              </w:r>
              <w:r>
                <w:rPr>
                  <w:noProof/>
                </w:rPr>
                <w:br/>
                <w:t xml:space="preserve">Available at: </w:t>
              </w:r>
              <w:r>
                <w:rPr>
                  <w:noProof/>
                  <w:u w:val="single"/>
                </w:rPr>
                <w:t>https://www.qnulabs.com/whitepaper/quantum-readiness-cybersecurity-report-2025-qnu-labs</w:t>
              </w:r>
            </w:p>
            <w:p w14:paraId="356B2BCA" w14:textId="77777777" w:rsidR="006075A3" w:rsidRDefault="006075A3" w:rsidP="006075A3">
              <w:pPr>
                <w:pStyle w:val="Bibliography"/>
                <w:rPr>
                  <w:noProof/>
                </w:rPr>
              </w:pPr>
              <w:r>
                <w:rPr>
                  <w:noProof/>
                </w:rPr>
                <w:t xml:space="preserve">Tuptuk, N. &amp;. H. S., 2018. </w:t>
              </w:r>
              <w:r>
                <w:rPr>
                  <w:i/>
                  <w:iCs/>
                  <w:noProof/>
                </w:rPr>
                <w:t xml:space="preserve">Security of smart manufacturing systems. Journal of Manufacturing Systems. </w:t>
              </w:r>
              <w:r>
                <w:rPr>
                  <w:noProof/>
                </w:rPr>
                <w:t xml:space="preserve">[Online] </w:t>
              </w:r>
              <w:r>
                <w:rPr>
                  <w:noProof/>
                </w:rPr>
                <w:br/>
                <w:t xml:space="preserve">Available at: </w:t>
              </w:r>
              <w:r>
                <w:rPr>
                  <w:noProof/>
                  <w:u w:val="single"/>
                </w:rPr>
                <w:t>https://www.sciencedirect.com/science/article/pii/S0278612518300463?via%3Dihub</w:t>
              </w:r>
            </w:p>
            <w:p w14:paraId="6B7BBA19" w14:textId="77777777" w:rsidR="006075A3" w:rsidRDefault="006075A3" w:rsidP="006075A3">
              <w:pPr>
                <w:pStyle w:val="Bibliography"/>
                <w:rPr>
                  <w:noProof/>
                </w:rPr>
              </w:pPr>
              <w:r>
                <w:rPr>
                  <w:noProof/>
                </w:rPr>
                <w:t xml:space="preserve">Weber, M. S. A. F. T. &amp;. H. H., 2024. </w:t>
              </w:r>
              <w:r>
                <w:rPr>
                  <w:i/>
                  <w:iCs/>
                  <w:noProof/>
                </w:rPr>
                <w:t xml:space="preserve">SME cybersecurity adoption barriers: A systematic literature review. Computers &amp; Security. </w:t>
              </w:r>
              <w:r>
                <w:rPr>
                  <w:noProof/>
                </w:rPr>
                <w:t xml:space="preserve">[Online] </w:t>
              </w:r>
              <w:r>
                <w:rPr>
                  <w:noProof/>
                </w:rPr>
                <w:br/>
                <w:t xml:space="preserve">Available at: </w:t>
              </w:r>
              <w:r>
                <w:rPr>
                  <w:noProof/>
                  <w:u w:val="single"/>
                </w:rPr>
                <w:t>https://www.sciencedirect.com/science/article/abs/pii/S0167404823005679?via%3Dihub</w:t>
              </w:r>
            </w:p>
            <w:p w14:paraId="049F497F" w14:textId="77777777" w:rsidR="006075A3" w:rsidRDefault="006075A3" w:rsidP="006075A3">
              <w:pPr>
                <w:pStyle w:val="Bibliography"/>
                <w:rPr>
                  <w:noProof/>
                </w:rPr>
              </w:pPr>
              <w:r>
                <w:rPr>
                  <w:noProof/>
                </w:rPr>
                <w:t xml:space="preserve">Webster, J. &amp;. W. R., 2002. </w:t>
              </w:r>
              <w:r>
                <w:rPr>
                  <w:i/>
                  <w:iCs/>
                  <w:noProof/>
                </w:rPr>
                <w:t xml:space="preserve">Analyzing the past to prepare for the future: Writing a literature review. MIS Quarterly. </w:t>
              </w:r>
              <w:r>
                <w:rPr>
                  <w:noProof/>
                </w:rPr>
                <w:t xml:space="preserve">[Online] </w:t>
              </w:r>
              <w:r>
                <w:rPr>
                  <w:noProof/>
                </w:rPr>
                <w:br/>
                <w:t xml:space="preserve">Available at: </w:t>
              </w:r>
              <w:r>
                <w:rPr>
                  <w:noProof/>
                  <w:u w:val="single"/>
                </w:rPr>
                <w:t>https://www.jstor.org/stable/4132319</w:t>
              </w:r>
            </w:p>
            <w:p w14:paraId="79072A2B" w14:textId="5DE20868" w:rsidR="00382026" w:rsidRDefault="00382026" w:rsidP="006075A3">
              <w:r>
                <w:rPr>
                  <w:b/>
                  <w:bCs/>
                  <w:noProof/>
                </w:rPr>
                <w:fldChar w:fldCharType="end"/>
              </w:r>
            </w:p>
          </w:sdtContent>
        </w:sdt>
      </w:sdtContent>
    </w:sdt>
    <w:p w14:paraId="4EE0B5C1" w14:textId="012F5B52" w:rsidR="00E751FD" w:rsidRPr="00DB329A" w:rsidRDefault="05437AA6" w:rsidP="00BB5FF0">
      <w:pPr>
        <w:pStyle w:val="Heading1"/>
        <w:spacing w:line="276" w:lineRule="auto"/>
        <w:rPr>
          <w:rFonts w:ascii="Calibri" w:hAnsi="Calibri" w:cs="Calibri"/>
        </w:rPr>
      </w:pPr>
      <w:bookmarkStart w:id="6" w:name="_Toc234740552"/>
      <w:r w:rsidRPr="00DB329A">
        <w:rPr>
          <w:rFonts w:ascii="Calibri" w:hAnsi="Calibri" w:cs="Calibri"/>
        </w:rPr>
        <w:t>Appendix A – Project Charter</w:t>
      </w:r>
      <w:bookmarkEnd w:id="6"/>
    </w:p>
    <w:p w14:paraId="0CA804EF" w14:textId="57DFB05A" w:rsidR="00E751FD" w:rsidRPr="00DB329A" w:rsidRDefault="00E751FD" w:rsidP="00BB5FF0">
      <w:pPr>
        <w:spacing w:line="276" w:lineRule="auto"/>
        <w:rPr>
          <w:rFonts w:ascii="Calibri" w:hAnsi="Calibri" w:cs="Calibri"/>
          <w:lang w:val="en-AU"/>
        </w:rPr>
      </w:pPr>
      <w:r w:rsidRPr="00DB329A">
        <w:rPr>
          <w:rFonts w:ascii="Calibri" w:hAnsi="Calibri" w:cs="Calibri"/>
          <w:lang w:val="en-AU"/>
        </w:rPr>
        <w:br/>
      </w:r>
      <w:r w:rsidRPr="00DB329A">
        <w:rPr>
          <w:rFonts w:ascii="Calibri" w:hAnsi="Calibri" w:cs="Calibri"/>
          <w:b/>
          <w:bCs/>
          <w:lang w:val="en-AU"/>
        </w:rPr>
        <w:t>QuantumShield: A Post-Quantum Cryptography Readiness Assessment Platform for Australian Healthcare SMEs</w:t>
      </w:r>
      <w:r w:rsidRPr="00DB329A">
        <w:rPr>
          <w:rFonts w:ascii="Calibri" w:hAnsi="Calibri" w:cs="Calibri"/>
          <w:lang w:val="en-AU"/>
        </w:rPr>
        <w:br/>
        <w:t>PROF909 — IT Project Part A | Master of Information Technology (Advanced)</w:t>
      </w:r>
    </w:p>
    <w:p w14:paraId="24D20CD5" w14:textId="77777777"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Problem Statement</w:t>
      </w:r>
    </w:p>
    <w:p w14:paraId="0CD1B060" w14:textId="106F2432" w:rsidR="00E751FD" w:rsidRPr="00DB329A" w:rsidRDefault="000050B4" w:rsidP="00BB5FF0">
      <w:pPr>
        <w:spacing w:line="276" w:lineRule="auto"/>
        <w:jc w:val="both"/>
        <w:rPr>
          <w:rFonts w:ascii="Calibri" w:hAnsi="Calibri" w:cs="Calibri"/>
          <w:lang w:val="en-AU"/>
        </w:rPr>
      </w:pPr>
      <w:r w:rsidRPr="00B302BE">
        <w:rPr>
          <w:rFonts w:ascii="Calibri" w:hAnsi="Calibri" w:cs="Calibri"/>
          <w:sz w:val="22"/>
          <w:szCs w:val="22"/>
        </w:rPr>
        <w:t>Australian healthcare SMEs dealing with sensitive patient information under the Privacy Act 1988 and My Health Records Act 2012 are exposed to a poorly understood threat: popular encryption algorithms such as ECC and RSA will be removed by 2030 under the NIST and ASD's plans, and bad guys are already able to steal health data even if it is encrypted today as part of a Harvest Now, Decrypt Later strategy. There is currently no affordable, accessible, healthcare-specific solution available that can assist these organisations in evaluating what quantum threats they face and can help them map out a path to comply with quantum threats</w:t>
      </w:r>
      <w:r w:rsidR="00E751FD" w:rsidRPr="00DB329A">
        <w:rPr>
          <w:rFonts w:ascii="Calibri" w:hAnsi="Calibri" w:cs="Calibri"/>
          <w:lang w:val="en-AU"/>
        </w:rPr>
        <w:t>.</w:t>
      </w:r>
    </w:p>
    <w:p w14:paraId="636814A9" w14:textId="77777777"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Value Proposition</w:t>
      </w:r>
    </w:p>
    <w:p w14:paraId="74E0FCA7" w14:textId="1BF876FC" w:rsidR="00E751FD" w:rsidRPr="00DB329A" w:rsidRDefault="00EC22B0" w:rsidP="00BB5FF0">
      <w:pPr>
        <w:spacing w:line="276" w:lineRule="auto"/>
        <w:jc w:val="both"/>
        <w:rPr>
          <w:rFonts w:ascii="Calibri" w:hAnsi="Calibri" w:cs="Calibri"/>
          <w:lang w:val="en-AU"/>
        </w:rPr>
      </w:pPr>
      <w:r w:rsidRPr="00B302BE">
        <w:rPr>
          <w:rFonts w:ascii="Calibri" w:hAnsi="Calibri" w:cs="Calibri"/>
          <w:sz w:val="22"/>
          <w:szCs w:val="22"/>
        </w:rPr>
        <w:lastRenderedPageBreak/>
        <w:t>Unlike existing assessment tools, QuantumShield provides automated, plain-English quantum readiness assessment for Australian healthcare SMEs, resulting in a prioritised compliance pathway that maps to NIST FIPS 203/204/205 and ASD Essential Eight and Australian privacy legislation with a cost and complexity level within reach without cybersecurity expertise</w:t>
      </w:r>
      <w:r w:rsidRPr="00DB329A">
        <w:rPr>
          <w:rFonts w:ascii="Calibri" w:hAnsi="Calibri" w:cs="Calibri"/>
        </w:rPr>
        <w:t>.</w:t>
      </w:r>
    </w:p>
    <w:p w14:paraId="76498215" w14:textId="1761BF66"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Scop</w:t>
      </w:r>
      <w:r w:rsidR="00EC22B0" w:rsidRPr="00DB329A">
        <w:rPr>
          <w:rFonts w:ascii="Calibri" w:hAnsi="Calibri" w:cs="Calibri"/>
          <w:b/>
          <w:bCs/>
          <w:lang w:val="en-AU"/>
        </w:rPr>
        <w:t>e</w:t>
      </w:r>
    </w:p>
    <w:tbl>
      <w:tblPr>
        <w:tblStyle w:val="TableGrid"/>
        <w:tblW w:w="0" w:type="auto"/>
        <w:tblLook w:val="04A0" w:firstRow="1" w:lastRow="0" w:firstColumn="1" w:lastColumn="0" w:noHBand="0" w:noVBand="1"/>
      </w:tblPr>
      <w:tblGrid>
        <w:gridCol w:w="5318"/>
        <w:gridCol w:w="4032"/>
      </w:tblGrid>
      <w:tr w:rsidR="00E751FD" w:rsidRPr="00B302BE" w14:paraId="2DAB6E60" w14:textId="77777777" w:rsidTr="00B302BE">
        <w:tc>
          <w:tcPr>
            <w:tcW w:w="0" w:type="auto"/>
            <w:vAlign w:val="center"/>
            <w:hideMark/>
          </w:tcPr>
          <w:p w14:paraId="7D1063B9" w14:textId="77777777" w:rsidR="00E751FD" w:rsidRPr="00B302BE" w:rsidRDefault="00E751FD" w:rsidP="00BB5FF0">
            <w:pPr>
              <w:spacing w:after="160" w:line="276" w:lineRule="auto"/>
              <w:jc w:val="center"/>
              <w:rPr>
                <w:rFonts w:ascii="Calibri" w:hAnsi="Calibri" w:cs="Calibri"/>
                <w:b/>
                <w:bCs/>
                <w:sz w:val="22"/>
                <w:szCs w:val="22"/>
                <w:lang w:val="en-AU"/>
              </w:rPr>
            </w:pPr>
            <w:r w:rsidRPr="00B302BE">
              <w:rPr>
                <w:rFonts w:ascii="Calibri" w:hAnsi="Calibri" w:cs="Calibri"/>
                <w:b/>
                <w:bCs/>
                <w:sz w:val="22"/>
                <w:szCs w:val="22"/>
                <w:lang w:val="en-AU"/>
              </w:rPr>
              <w:t>In Scope</w:t>
            </w:r>
          </w:p>
        </w:tc>
        <w:tc>
          <w:tcPr>
            <w:tcW w:w="0" w:type="auto"/>
            <w:vAlign w:val="center"/>
            <w:hideMark/>
          </w:tcPr>
          <w:p w14:paraId="78CEB966" w14:textId="77777777" w:rsidR="00E751FD" w:rsidRPr="00B302BE" w:rsidRDefault="00E751FD" w:rsidP="00BB5FF0">
            <w:pPr>
              <w:spacing w:after="160" w:line="276" w:lineRule="auto"/>
              <w:jc w:val="center"/>
              <w:rPr>
                <w:rFonts w:ascii="Calibri" w:hAnsi="Calibri" w:cs="Calibri"/>
                <w:b/>
                <w:bCs/>
                <w:sz w:val="22"/>
                <w:szCs w:val="22"/>
                <w:lang w:val="en-AU"/>
              </w:rPr>
            </w:pPr>
            <w:r w:rsidRPr="00B302BE">
              <w:rPr>
                <w:rFonts w:ascii="Calibri" w:hAnsi="Calibri" w:cs="Calibri"/>
                <w:b/>
                <w:bCs/>
                <w:sz w:val="22"/>
                <w:szCs w:val="22"/>
                <w:lang w:val="en-AU"/>
              </w:rPr>
              <w:t>Out of Scope</w:t>
            </w:r>
          </w:p>
        </w:tc>
      </w:tr>
      <w:tr w:rsidR="00E751FD" w:rsidRPr="00B302BE" w14:paraId="10A441CC" w14:textId="77777777" w:rsidTr="00B302BE">
        <w:tc>
          <w:tcPr>
            <w:tcW w:w="0" w:type="auto"/>
            <w:vAlign w:val="center"/>
            <w:hideMark/>
          </w:tcPr>
          <w:p w14:paraId="24B61724"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Design and market validation of a web-based PQC readiness assessment questionnaire</w:t>
            </w:r>
          </w:p>
        </w:tc>
        <w:tc>
          <w:tcPr>
            <w:tcW w:w="0" w:type="auto"/>
            <w:vAlign w:val="center"/>
            <w:hideMark/>
          </w:tcPr>
          <w:p w14:paraId="78A297BE"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Full software development or production deployment</w:t>
            </w:r>
          </w:p>
        </w:tc>
      </w:tr>
      <w:tr w:rsidR="00E751FD" w:rsidRPr="00B302BE" w14:paraId="71EF88BE" w14:textId="77777777" w:rsidTr="00B302BE">
        <w:tc>
          <w:tcPr>
            <w:tcW w:w="0" w:type="auto"/>
            <w:vAlign w:val="center"/>
            <w:hideMark/>
          </w:tcPr>
          <w:p w14:paraId="087CE6A3"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Development of a Figma prototype of the assessment and report output</w:t>
            </w:r>
          </w:p>
        </w:tc>
        <w:tc>
          <w:tcPr>
            <w:tcW w:w="0" w:type="auto"/>
            <w:vAlign w:val="center"/>
            <w:hideMark/>
          </w:tcPr>
          <w:p w14:paraId="3AA89F2E"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Penetration testing or real vulnerability scanning</w:t>
            </w:r>
          </w:p>
        </w:tc>
      </w:tr>
      <w:tr w:rsidR="00E751FD" w:rsidRPr="00B302BE" w14:paraId="4CE5FED2" w14:textId="77777777" w:rsidTr="00B302BE">
        <w:tc>
          <w:tcPr>
            <w:tcW w:w="0" w:type="auto"/>
            <w:vAlign w:val="center"/>
            <w:hideMark/>
          </w:tcPr>
          <w:p w14:paraId="0D5DC37C"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User interviews with 10–15 healthcare SME IT managers and owners</w:t>
            </w:r>
          </w:p>
        </w:tc>
        <w:tc>
          <w:tcPr>
            <w:tcW w:w="0" w:type="auto"/>
            <w:vAlign w:val="center"/>
            <w:hideMark/>
          </w:tcPr>
          <w:p w14:paraId="61211315"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Collection of real patient or clinical data</w:t>
            </w:r>
          </w:p>
        </w:tc>
      </w:tr>
      <w:tr w:rsidR="00E751FD" w:rsidRPr="00B302BE" w14:paraId="37824DD8" w14:textId="77777777" w:rsidTr="00B302BE">
        <w:tc>
          <w:tcPr>
            <w:tcW w:w="0" w:type="auto"/>
            <w:vAlign w:val="center"/>
            <w:hideMark/>
          </w:tcPr>
          <w:p w14:paraId="2E6D913C"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Survey of 50+ SME contacts to validate market demand</w:t>
            </w:r>
          </w:p>
        </w:tc>
        <w:tc>
          <w:tcPr>
            <w:tcW w:w="0" w:type="auto"/>
            <w:vAlign w:val="center"/>
            <w:hideMark/>
          </w:tcPr>
          <w:p w14:paraId="3C69878F"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Enterprise or government sector assessment</w:t>
            </w:r>
          </w:p>
        </w:tc>
      </w:tr>
      <w:tr w:rsidR="00E751FD" w:rsidRPr="00B302BE" w14:paraId="1737FC2A" w14:textId="77777777" w:rsidTr="00B302BE">
        <w:tc>
          <w:tcPr>
            <w:tcW w:w="0" w:type="auto"/>
            <w:vAlign w:val="center"/>
            <w:hideMark/>
          </w:tcPr>
          <w:p w14:paraId="1CF12998"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Expert validation interviews with 2–3 cybersecurity professionals</w:t>
            </w:r>
          </w:p>
        </w:tc>
        <w:tc>
          <w:tcPr>
            <w:tcW w:w="0" w:type="auto"/>
            <w:vAlign w:val="center"/>
            <w:hideMark/>
          </w:tcPr>
          <w:p w14:paraId="6AD562B0"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Legal or clinical compliance advice</w:t>
            </w:r>
          </w:p>
        </w:tc>
      </w:tr>
      <w:tr w:rsidR="00E751FD" w:rsidRPr="00B302BE" w14:paraId="3A69B3C7" w14:textId="77777777" w:rsidTr="00B302BE">
        <w:tc>
          <w:tcPr>
            <w:tcW w:w="0" w:type="auto"/>
            <w:vAlign w:val="center"/>
            <w:hideMark/>
          </w:tcPr>
          <w:p w14:paraId="59D1A542"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Business model canvas and freemium pricing validation</w:t>
            </w:r>
          </w:p>
        </w:tc>
        <w:tc>
          <w:tcPr>
            <w:tcW w:w="0" w:type="auto"/>
            <w:vAlign w:val="center"/>
            <w:hideMark/>
          </w:tcPr>
          <w:p w14:paraId="5ABDB230"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Integration with existing EHR or practice management systems</w:t>
            </w:r>
          </w:p>
        </w:tc>
      </w:tr>
    </w:tbl>
    <w:p w14:paraId="0422B90E" w14:textId="738F31A9" w:rsidR="00E751FD" w:rsidRPr="00DB329A" w:rsidRDefault="00E751FD" w:rsidP="00BB5FF0">
      <w:pPr>
        <w:spacing w:line="276" w:lineRule="auto"/>
        <w:rPr>
          <w:rFonts w:ascii="Calibri" w:hAnsi="Calibri" w:cs="Calibri"/>
          <w:lang w:val="en-AU"/>
        </w:rPr>
      </w:pPr>
    </w:p>
    <w:p w14:paraId="432206CF" w14:textId="77777777"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Stakeholders</w:t>
      </w:r>
    </w:p>
    <w:tbl>
      <w:tblPr>
        <w:tblStyle w:val="TableGrid"/>
        <w:tblW w:w="0" w:type="auto"/>
        <w:tblLook w:val="04A0" w:firstRow="1" w:lastRow="0" w:firstColumn="1" w:lastColumn="0" w:noHBand="0" w:noVBand="1"/>
      </w:tblPr>
      <w:tblGrid>
        <w:gridCol w:w="3198"/>
        <w:gridCol w:w="5765"/>
      </w:tblGrid>
      <w:tr w:rsidR="00E751FD" w:rsidRPr="00B302BE" w14:paraId="279DB19C" w14:textId="77777777" w:rsidTr="00B302BE">
        <w:tc>
          <w:tcPr>
            <w:tcW w:w="0" w:type="auto"/>
            <w:vAlign w:val="center"/>
            <w:hideMark/>
          </w:tcPr>
          <w:p w14:paraId="0B6BF9EF" w14:textId="77777777" w:rsidR="00E751FD" w:rsidRPr="00B302BE" w:rsidRDefault="00E751FD" w:rsidP="00BB5FF0">
            <w:pPr>
              <w:spacing w:after="160" w:line="276" w:lineRule="auto"/>
              <w:jc w:val="center"/>
              <w:rPr>
                <w:rFonts w:ascii="Calibri" w:hAnsi="Calibri" w:cs="Calibri"/>
                <w:b/>
                <w:bCs/>
                <w:sz w:val="22"/>
                <w:szCs w:val="22"/>
                <w:lang w:val="en-AU"/>
              </w:rPr>
            </w:pPr>
            <w:r w:rsidRPr="00B302BE">
              <w:rPr>
                <w:rFonts w:ascii="Calibri" w:hAnsi="Calibri" w:cs="Calibri"/>
                <w:b/>
                <w:bCs/>
                <w:sz w:val="22"/>
                <w:szCs w:val="22"/>
                <w:lang w:val="en-AU"/>
              </w:rPr>
              <w:t>Role</w:t>
            </w:r>
          </w:p>
        </w:tc>
        <w:tc>
          <w:tcPr>
            <w:tcW w:w="0" w:type="auto"/>
            <w:vAlign w:val="center"/>
            <w:hideMark/>
          </w:tcPr>
          <w:p w14:paraId="48600B48" w14:textId="77777777" w:rsidR="00E751FD" w:rsidRPr="00B302BE" w:rsidRDefault="00E751FD" w:rsidP="00BB5FF0">
            <w:pPr>
              <w:spacing w:after="160" w:line="276" w:lineRule="auto"/>
              <w:jc w:val="center"/>
              <w:rPr>
                <w:rFonts w:ascii="Calibri" w:hAnsi="Calibri" w:cs="Calibri"/>
                <w:b/>
                <w:bCs/>
                <w:sz w:val="22"/>
                <w:szCs w:val="22"/>
                <w:lang w:val="en-AU"/>
              </w:rPr>
            </w:pPr>
            <w:r w:rsidRPr="00B302BE">
              <w:rPr>
                <w:rFonts w:ascii="Calibri" w:hAnsi="Calibri" w:cs="Calibri"/>
                <w:b/>
                <w:bCs/>
                <w:sz w:val="22"/>
                <w:szCs w:val="22"/>
                <w:lang w:val="en-AU"/>
              </w:rPr>
              <w:t>Responsibility</w:t>
            </w:r>
          </w:p>
        </w:tc>
      </w:tr>
      <w:tr w:rsidR="00E751FD" w:rsidRPr="00B302BE" w14:paraId="12E6BA20" w14:textId="77777777" w:rsidTr="00B302BE">
        <w:tc>
          <w:tcPr>
            <w:tcW w:w="0" w:type="auto"/>
            <w:vAlign w:val="center"/>
            <w:hideMark/>
          </w:tcPr>
          <w:p w14:paraId="67B36917"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Student / Project Lead</w:t>
            </w:r>
          </w:p>
        </w:tc>
        <w:tc>
          <w:tcPr>
            <w:tcW w:w="0" w:type="auto"/>
            <w:vAlign w:val="center"/>
            <w:hideMark/>
          </w:tcPr>
          <w:p w14:paraId="68D372C4"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Research, design, validation, and all deliverable production</w:t>
            </w:r>
          </w:p>
        </w:tc>
      </w:tr>
      <w:tr w:rsidR="00E751FD" w:rsidRPr="00B302BE" w14:paraId="41F08144" w14:textId="77777777" w:rsidTr="00B302BE">
        <w:tc>
          <w:tcPr>
            <w:tcW w:w="0" w:type="auto"/>
            <w:vAlign w:val="center"/>
            <w:hideMark/>
          </w:tcPr>
          <w:p w14:paraId="387F06D6"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Academic Supervisor</w:t>
            </w:r>
          </w:p>
        </w:tc>
        <w:tc>
          <w:tcPr>
            <w:tcW w:w="0" w:type="auto"/>
            <w:vAlign w:val="center"/>
            <w:hideMark/>
          </w:tcPr>
          <w:p w14:paraId="7C3615D5"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Milestone oversight, feedback, and academic guidance</w:t>
            </w:r>
          </w:p>
        </w:tc>
      </w:tr>
      <w:tr w:rsidR="00E751FD" w:rsidRPr="00B302BE" w14:paraId="768013E4" w14:textId="77777777" w:rsidTr="00B302BE">
        <w:tc>
          <w:tcPr>
            <w:tcW w:w="0" w:type="auto"/>
            <w:vAlign w:val="center"/>
            <w:hideMark/>
          </w:tcPr>
          <w:p w14:paraId="429BF554"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Healthcare SME IT Managers</w:t>
            </w:r>
          </w:p>
        </w:tc>
        <w:tc>
          <w:tcPr>
            <w:tcW w:w="0" w:type="auto"/>
            <w:vAlign w:val="center"/>
            <w:hideMark/>
          </w:tcPr>
          <w:p w14:paraId="741F795E"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Primary interview and prototype testing participants</w:t>
            </w:r>
          </w:p>
        </w:tc>
      </w:tr>
      <w:tr w:rsidR="00E751FD" w:rsidRPr="00B302BE" w14:paraId="28FEC53D" w14:textId="77777777" w:rsidTr="00B302BE">
        <w:tc>
          <w:tcPr>
            <w:tcW w:w="0" w:type="auto"/>
            <w:vAlign w:val="center"/>
            <w:hideMark/>
          </w:tcPr>
          <w:p w14:paraId="2A87FEB3"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Healthcare SME Business Owners</w:t>
            </w:r>
          </w:p>
        </w:tc>
        <w:tc>
          <w:tcPr>
            <w:tcW w:w="0" w:type="auto"/>
            <w:vAlign w:val="center"/>
            <w:hideMark/>
          </w:tcPr>
          <w:p w14:paraId="3E42F005"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Secondary interview participants; end users of the platform</w:t>
            </w:r>
          </w:p>
        </w:tc>
      </w:tr>
      <w:tr w:rsidR="00E751FD" w:rsidRPr="00B302BE" w14:paraId="0393EFEC" w14:textId="77777777" w:rsidTr="00B302BE">
        <w:tc>
          <w:tcPr>
            <w:tcW w:w="0" w:type="auto"/>
            <w:vAlign w:val="center"/>
            <w:hideMark/>
          </w:tcPr>
          <w:p w14:paraId="50E16B55"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Cybersecurity Domain Experts</w:t>
            </w:r>
          </w:p>
        </w:tc>
        <w:tc>
          <w:tcPr>
            <w:tcW w:w="0" w:type="auto"/>
            <w:vAlign w:val="center"/>
            <w:hideMark/>
          </w:tcPr>
          <w:p w14:paraId="72DF823A"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Expert validation of assessment framework technical accuracy</w:t>
            </w:r>
          </w:p>
        </w:tc>
      </w:tr>
    </w:tbl>
    <w:p w14:paraId="5D67E628" w14:textId="052EE837" w:rsidR="00E751FD" w:rsidRPr="00DB329A" w:rsidRDefault="00E751FD" w:rsidP="00BB5FF0">
      <w:pPr>
        <w:spacing w:line="276" w:lineRule="auto"/>
        <w:rPr>
          <w:rFonts w:ascii="Calibri" w:hAnsi="Calibri" w:cs="Calibri"/>
          <w:lang w:val="en-AU"/>
        </w:rPr>
      </w:pPr>
    </w:p>
    <w:p w14:paraId="75F579EC" w14:textId="77777777"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Success Metrics</w:t>
      </w:r>
    </w:p>
    <w:p w14:paraId="02F6008B" w14:textId="77777777" w:rsidR="00B17999" w:rsidRPr="00B302BE" w:rsidRDefault="00B17999" w:rsidP="00BB5FF0">
      <w:pPr>
        <w:numPr>
          <w:ilvl w:val="0"/>
          <w:numId w:val="2"/>
        </w:numPr>
        <w:spacing w:line="276" w:lineRule="auto"/>
        <w:jc w:val="both"/>
        <w:rPr>
          <w:rFonts w:ascii="Calibri" w:hAnsi="Calibri" w:cs="Calibri"/>
          <w:sz w:val="22"/>
          <w:szCs w:val="22"/>
          <w:lang w:val="en-AU"/>
        </w:rPr>
      </w:pPr>
      <w:r w:rsidRPr="00B302BE">
        <w:rPr>
          <w:rFonts w:ascii="Calibri" w:hAnsi="Calibri" w:cs="Calibri"/>
          <w:sz w:val="22"/>
          <w:szCs w:val="22"/>
          <w:lang w:val="en-AU"/>
        </w:rPr>
        <w:t>At least 20 credible sources (at least 10 peer-reviewed) (A1 Industry and Evidence Review Week 5)</w:t>
      </w:r>
    </w:p>
    <w:p w14:paraId="327F7C36" w14:textId="20B02010" w:rsidR="00B17999" w:rsidRPr="00B302BE" w:rsidRDefault="00B17999" w:rsidP="00BB5FF0">
      <w:pPr>
        <w:numPr>
          <w:ilvl w:val="0"/>
          <w:numId w:val="2"/>
        </w:numPr>
        <w:spacing w:line="276" w:lineRule="auto"/>
        <w:jc w:val="both"/>
        <w:rPr>
          <w:rFonts w:ascii="Calibri" w:hAnsi="Calibri" w:cs="Calibri"/>
          <w:sz w:val="22"/>
          <w:szCs w:val="22"/>
          <w:lang w:val="en-AU"/>
        </w:rPr>
      </w:pPr>
      <w:r w:rsidRPr="00B302BE">
        <w:rPr>
          <w:rFonts w:ascii="Calibri" w:hAnsi="Calibri" w:cs="Calibri"/>
          <w:sz w:val="22"/>
          <w:szCs w:val="22"/>
          <w:lang w:val="en-AU"/>
        </w:rPr>
        <w:t>Willingness to engage in 10 or more user interviews in Part B (documented findings)</w:t>
      </w:r>
    </w:p>
    <w:p w14:paraId="5FCCE16F" w14:textId="498D869B" w:rsidR="00B17999" w:rsidRPr="00B302BE" w:rsidRDefault="00B17999" w:rsidP="00BB5FF0">
      <w:pPr>
        <w:numPr>
          <w:ilvl w:val="0"/>
          <w:numId w:val="2"/>
        </w:numPr>
        <w:spacing w:line="276" w:lineRule="auto"/>
        <w:jc w:val="both"/>
        <w:rPr>
          <w:rFonts w:ascii="Calibri" w:hAnsi="Calibri" w:cs="Calibri"/>
          <w:sz w:val="22"/>
          <w:szCs w:val="22"/>
          <w:lang w:val="en-AU"/>
        </w:rPr>
      </w:pPr>
      <w:r w:rsidRPr="00B302BE">
        <w:rPr>
          <w:rFonts w:ascii="Calibri" w:hAnsi="Calibri" w:cs="Calibri"/>
          <w:sz w:val="22"/>
          <w:szCs w:val="22"/>
          <w:lang w:val="en-AU"/>
        </w:rPr>
        <w:lastRenderedPageBreak/>
        <w:t xml:space="preserve">The prototype usability testing was conducted and confirmed that it can be completed by </w:t>
      </w:r>
      <w:r w:rsidR="00F91AFC" w:rsidRPr="00B302BE">
        <w:rPr>
          <w:rFonts w:ascii="Calibri" w:hAnsi="Calibri" w:cs="Calibri"/>
          <w:sz w:val="22"/>
          <w:szCs w:val="22"/>
          <w:lang w:val="en-AU"/>
        </w:rPr>
        <w:t>&gt;</w:t>
      </w:r>
      <w:r w:rsidRPr="00B302BE">
        <w:rPr>
          <w:rFonts w:ascii="Calibri" w:hAnsi="Calibri" w:cs="Calibri"/>
          <w:sz w:val="22"/>
          <w:szCs w:val="22"/>
          <w:lang w:val="en-AU"/>
        </w:rPr>
        <w:t>70% of the participants without assistance.</w:t>
      </w:r>
    </w:p>
    <w:p w14:paraId="4FDA05BD" w14:textId="55F329FA" w:rsidR="00E751FD" w:rsidRPr="00B302BE" w:rsidRDefault="00B17999" w:rsidP="00BB5FF0">
      <w:pPr>
        <w:numPr>
          <w:ilvl w:val="0"/>
          <w:numId w:val="2"/>
        </w:numPr>
        <w:spacing w:line="276" w:lineRule="auto"/>
        <w:jc w:val="both"/>
        <w:rPr>
          <w:rFonts w:ascii="Calibri" w:hAnsi="Calibri" w:cs="Calibri"/>
          <w:sz w:val="22"/>
          <w:szCs w:val="22"/>
          <w:lang w:val="en-AU"/>
        </w:rPr>
      </w:pPr>
      <w:r w:rsidRPr="00B302BE">
        <w:rPr>
          <w:rFonts w:ascii="Calibri" w:hAnsi="Calibri" w:cs="Calibri"/>
          <w:sz w:val="22"/>
          <w:szCs w:val="22"/>
          <w:lang w:val="en-AU"/>
        </w:rPr>
        <w:t>Survey of &lt;50 respondents give</w:t>
      </w:r>
      <w:r w:rsidR="00F91AFC" w:rsidRPr="00B302BE">
        <w:rPr>
          <w:rFonts w:ascii="Calibri" w:hAnsi="Calibri" w:cs="Calibri"/>
          <w:sz w:val="22"/>
          <w:szCs w:val="22"/>
          <w:lang w:val="en-AU"/>
        </w:rPr>
        <w:t>s</w:t>
      </w:r>
      <w:r w:rsidRPr="00B302BE">
        <w:rPr>
          <w:rFonts w:ascii="Calibri" w:hAnsi="Calibri" w:cs="Calibri"/>
          <w:sz w:val="22"/>
          <w:szCs w:val="22"/>
          <w:lang w:val="en-AU"/>
        </w:rPr>
        <w:t xml:space="preserve"> qualitative evidence of market demand and willingness to pay</w:t>
      </w:r>
    </w:p>
    <w:p w14:paraId="7A1AF734" w14:textId="77777777" w:rsidR="00E751FD" w:rsidRPr="00DB329A" w:rsidRDefault="00E751FD" w:rsidP="00BB5FF0">
      <w:pPr>
        <w:spacing w:line="276" w:lineRule="auto"/>
        <w:rPr>
          <w:rFonts w:ascii="Calibri" w:hAnsi="Calibri" w:cs="Calibri"/>
          <w:lang w:val="en-AU"/>
        </w:rPr>
      </w:pPr>
      <w:r w:rsidRPr="00DB329A">
        <w:rPr>
          <w:rFonts w:ascii="Calibri" w:hAnsi="Calibri" w:cs="Calibri"/>
          <w:b/>
          <w:bCs/>
          <w:lang w:val="en-AU"/>
        </w:rPr>
        <w:t>Top 3 Risks</w:t>
      </w:r>
    </w:p>
    <w:tbl>
      <w:tblPr>
        <w:tblStyle w:val="TableGrid"/>
        <w:tblW w:w="0" w:type="auto"/>
        <w:tblLook w:val="04A0" w:firstRow="1" w:lastRow="0" w:firstColumn="1" w:lastColumn="0" w:noHBand="0" w:noVBand="1"/>
      </w:tblPr>
      <w:tblGrid>
        <w:gridCol w:w="3534"/>
        <w:gridCol w:w="1161"/>
        <w:gridCol w:w="4655"/>
      </w:tblGrid>
      <w:tr w:rsidR="00E751FD" w:rsidRPr="00B302BE" w14:paraId="6F97F912" w14:textId="77777777" w:rsidTr="00E751FD">
        <w:tc>
          <w:tcPr>
            <w:tcW w:w="0" w:type="auto"/>
            <w:hideMark/>
          </w:tcPr>
          <w:p w14:paraId="778A7408" w14:textId="77777777" w:rsidR="00E751FD" w:rsidRPr="00B302BE" w:rsidRDefault="00E751FD" w:rsidP="00BB5FF0">
            <w:pPr>
              <w:spacing w:after="160" w:line="276" w:lineRule="auto"/>
              <w:rPr>
                <w:rFonts w:ascii="Calibri" w:hAnsi="Calibri" w:cs="Calibri"/>
                <w:b/>
                <w:bCs/>
                <w:sz w:val="22"/>
                <w:szCs w:val="22"/>
                <w:lang w:val="en-AU"/>
              </w:rPr>
            </w:pPr>
            <w:r w:rsidRPr="00B302BE">
              <w:rPr>
                <w:rFonts w:ascii="Calibri" w:hAnsi="Calibri" w:cs="Calibri"/>
                <w:b/>
                <w:bCs/>
                <w:sz w:val="22"/>
                <w:szCs w:val="22"/>
                <w:lang w:val="en-AU"/>
              </w:rPr>
              <w:t>Risk</w:t>
            </w:r>
          </w:p>
        </w:tc>
        <w:tc>
          <w:tcPr>
            <w:tcW w:w="0" w:type="auto"/>
            <w:hideMark/>
          </w:tcPr>
          <w:p w14:paraId="15925790" w14:textId="77777777" w:rsidR="00E751FD" w:rsidRPr="00B302BE" w:rsidRDefault="00E751FD" w:rsidP="00BB5FF0">
            <w:pPr>
              <w:spacing w:after="160" w:line="276" w:lineRule="auto"/>
              <w:rPr>
                <w:rFonts w:ascii="Calibri" w:hAnsi="Calibri" w:cs="Calibri"/>
                <w:b/>
                <w:bCs/>
                <w:sz w:val="22"/>
                <w:szCs w:val="22"/>
                <w:lang w:val="en-AU"/>
              </w:rPr>
            </w:pPr>
            <w:r w:rsidRPr="00B302BE">
              <w:rPr>
                <w:rFonts w:ascii="Calibri" w:hAnsi="Calibri" w:cs="Calibri"/>
                <w:b/>
                <w:bCs/>
                <w:sz w:val="22"/>
                <w:szCs w:val="22"/>
                <w:lang w:val="en-AU"/>
              </w:rPr>
              <w:t>Likelihood</w:t>
            </w:r>
          </w:p>
        </w:tc>
        <w:tc>
          <w:tcPr>
            <w:tcW w:w="0" w:type="auto"/>
            <w:hideMark/>
          </w:tcPr>
          <w:p w14:paraId="2A35DE25" w14:textId="77777777" w:rsidR="00E751FD" w:rsidRPr="00B302BE" w:rsidRDefault="00E751FD" w:rsidP="00BB5FF0">
            <w:pPr>
              <w:spacing w:after="160" w:line="276" w:lineRule="auto"/>
              <w:rPr>
                <w:rFonts w:ascii="Calibri" w:hAnsi="Calibri" w:cs="Calibri"/>
                <w:b/>
                <w:bCs/>
                <w:sz w:val="22"/>
                <w:szCs w:val="22"/>
                <w:lang w:val="en-AU"/>
              </w:rPr>
            </w:pPr>
            <w:r w:rsidRPr="00B302BE">
              <w:rPr>
                <w:rFonts w:ascii="Calibri" w:hAnsi="Calibri" w:cs="Calibri"/>
                <w:b/>
                <w:bCs/>
                <w:sz w:val="22"/>
                <w:szCs w:val="22"/>
                <w:lang w:val="en-AU"/>
              </w:rPr>
              <w:t>Mitigation</w:t>
            </w:r>
          </w:p>
        </w:tc>
      </w:tr>
      <w:tr w:rsidR="00E751FD" w:rsidRPr="00B302BE" w14:paraId="589977B4" w14:textId="77777777" w:rsidTr="00E751FD">
        <w:tc>
          <w:tcPr>
            <w:tcW w:w="0" w:type="auto"/>
            <w:hideMark/>
          </w:tcPr>
          <w:p w14:paraId="343B1A41"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Low SME engagement in user interviews due to time constraints</w:t>
            </w:r>
          </w:p>
        </w:tc>
        <w:tc>
          <w:tcPr>
            <w:tcW w:w="0" w:type="auto"/>
            <w:hideMark/>
          </w:tcPr>
          <w:p w14:paraId="5A6B0D0C"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Medium</w:t>
            </w:r>
          </w:p>
        </w:tc>
        <w:tc>
          <w:tcPr>
            <w:tcW w:w="0" w:type="auto"/>
            <w:hideMark/>
          </w:tcPr>
          <w:p w14:paraId="57E0729B"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Recruit via LinkedIn and professional networks from Week 1 of Part B; offer 20-minute format</w:t>
            </w:r>
          </w:p>
        </w:tc>
      </w:tr>
      <w:tr w:rsidR="00E751FD" w:rsidRPr="00B302BE" w14:paraId="651D3BFC" w14:textId="77777777" w:rsidTr="00E751FD">
        <w:tc>
          <w:tcPr>
            <w:tcW w:w="0" w:type="auto"/>
            <w:hideMark/>
          </w:tcPr>
          <w:p w14:paraId="1292149A"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Technical inaccuracy in assessment framework reduces expert credibility</w:t>
            </w:r>
          </w:p>
        </w:tc>
        <w:tc>
          <w:tcPr>
            <w:tcW w:w="0" w:type="auto"/>
            <w:hideMark/>
          </w:tcPr>
          <w:p w14:paraId="092D141E"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Medium</w:t>
            </w:r>
          </w:p>
        </w:tc>
        <w:tc>
          <w:tcPr>
            <w:tcW w:w="0" w:type="auto"/>
            <w:hideMark/>
          </w:tcPr>
          <w:p w14:paraId="216970E8"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Conduct expert validation interviews with 2–3 cybersecurity professionals before finalising framework</w:t>
            </w:r>
          </w:p>
        </w:tc>
      </w:tr>
      <w:tr w:rsidR="00E751FD" w:rsidRPr="00B302BE" w14:paraId="6F03F7B6" w14:textId="77777777" w:rsidTr="00E751FD">
        <w:tc>
          <w:tcPr>
            <w:tcW w:w="0" w:type="auto"/>
            <w:hideMark/>
          </w:tcPr>
          <w:p w14:paraId="2D932C3B"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Regulatory landscape changes before Part B completion</w:t>
            </w:r>
          </w:p>
        </w:tc>
        <w:tc>
          <w:tcPr>
            <w:tcW w:w="0" w:type="auto"/>
            <w:hideMark/>
          </w:tcPr>
          <w:p w14:paraId="0214ACAD"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Low</w:t>
            </w:r>
          </w:p>
        </w:tc>
        <w:tc>
          <w:tcPr>
            <w:tcW w:w="0" w:type="auto"/>
            <w:hideMark/>
          </w:tcPr>
          <w:p w14:paraId="6E312922" w14:textId="77777777" w:rsidR="00E751FD" w:rsidRPr="00B302BE" w:rsidRDefault="00E751FD"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Monitor ASD and NIST publications monthly; build regulatory update mechanism into platform design</w:t>
            </w:r>
          </w:p>
        </w:tc>
      </w:tr>
    </w:tbl>
    <w:p w14:paraId="7E6F601A" w14:textId="77777777" w:rsidR="00F95D15" w:rsidRPr="00DB329A" w:rsidRDefault="00F95D15" w:rsidP="00BB5FF0">
      <w:pPr>
        <w:spacing w:line="276" w:lineRule="auto"/>
        <w:rPr>
          <w:rFonts w:ascii="Calibri" w:hAnsi="Calibri" w:cs="Calibri"/>
        </w:rPr>
      </w:pPr>
    </w:p>
    <w:p w14:paraId="4E9120DC" w14:textId="77777777" w:rsidR="00F95D15" w:rsidRPr="00DB329A" w:rsidRDefault="00F95D15" w:rsidP="00BB5FF0">
      <w:pPr>
        <w:pStyle w:val="Heading1"/>
        <w:spacing w:line="276" w:lineRule="auto"/>
        <w:rPr>
          <w:rFonts w:ascii="Calibri" w:hAnsi="Calibri" w:cs="Calibri"/>
        </w:rPr>
      </w:pPr>
    </w:p>
    <w:p w14:paraId="28D7CC5C" w14:textId="77777777" w:rsidR="00816C58" w:rsidRPr="00DB329A" w:rsidRDefault="00816C58" w:rsidP="00BB5FF0">
      <w:pPr>
        <w:spacing w:line="276" w:lineRule="auto"/>
        <w:rPr>
          <w:rFonts w:ascii="Calibri" w:hAnsi="Calibri" w:cs="Calibri"/>
        </w:rPr>
      </w:pPr>
    </w:p>
    <w:p w14:paraId="7B46E9F2" w14:textId="77777777" w:rsidR="00816C58" w:rsidRPr="00DB329A" w:rsidRDefault="00816C58" w:rsidP="00BB5FF0">
      <w:pPr>
        <w:spacing w:line="276" w:lineRule="auto"/>
        <w:rPr>
          <w:rFonts w:ascii="Calibri" w:hAnsi="Calibri" w:cs="Calibri"/>
        </w:rPr>
      </w:pPr>
    </w:p>
    <w:p w14:paraId="45C14CAA" w14:textId="77777777" w:rsidR="00816C58" w:rsidRPr="00DB329A" w:rsidRDefault="00816C58" w:rsidP="00BB5FF0">
      <w:pPr>
        <w:spacing w:line="276" w:lineRule="auto"/>
        <w:rPr>
          <w:rFonts w:ascii="Calibri" w:hAnsi="Calibri" w:cs="Calibri"/>
        </w:rPr>
      </w:pPr>
    </w:p>
    <w:p w14:paraId="57EEDEFC" w14:textId="77777777" w:rsidR="00816C58" w:rsidRPr="00DB329A" w:rsidRDefault="00816C58" w:rsidP="00BB5FF0">
      <w:pPr>
        <w:spacing w:line="276" w:lineRule="auto"/>
        <w:rPr>
          <w:rFonts w:ascii="Calibri" w:hAnsi="Calibri" w:cs="Calibri"/>
        </w:rPr>
      </w:pPr>
    </w:p>
    <w:p w14:paraId="2796A2EB" w14:textId="77777777" w:rsidR="00B6132B" w:rsidRPr="00DB329A" w:rsidRDefault="00B6132B" w:rsidP="00BB5FF0">
      <w:pPr>
        <w:spacing w:line="276" w:lineRule="auto"/>
        <w:rPr>
          <w:rFonts w:ascii="Calibri" w:hAnsi="Calibri" w:cs="Calibri"/>
        </w:rPr>
      </w:pPr>
    </w:p>
    <w:p w14:paraId="46D0A9B6" w14:textId="77777777" w:rsidR="00B6132B" w:rsidRPr="00DB329A" w:rsidRDefault="00B6132B" w:rsidP="00BB5FF0">
      <w:pPr>
        <w:spacing w:line="276" w:lineRule="auto"/>
        <w:rPr>
          <w:rFonts w:ascii="Calibri" w:hAnsi="Calibri" w:cs="Calibri"/>
        </w:rPr>
      </w:pPr>
    </w:p>
    <w:p w14:paraId="2BF2916D" w14:textId="77777777" w:rsidR="00B6132B" w:rsidRPr="00DB329A" w:rsidRDefault="00B6132B" w:rsidP="00BB5FF0">
      <w:pPr>
        <w:spacing w:line="276" w:lineRule="auto"/>
        <w:rPr>
          <w:rFonts w:ascii="Calibri" w:hAnsi="Calibri" w:cs="Calibri"/>
        </w:rPr>
      </w:pPr>
    </w:p>
    <w:p w14:paraId="06251FCE" w14:textId="77777777" w:rsidR="00816C58" w:rsidRPr="00DB329A" w:rsidRDefault="00816C58" w:rsidP="00BB5FF0">
      <w:pPr>
        <w:spacing w:line="276" w:lineRule="auto"/>
        <w:rPr>
          <w:rFonts w:ascii="Calibri" w:hAnsi="Calibri" w:cs="Calibri"/>
        </w:rPr>
      </w:pPr>
    </w:p>
    <w:p w14:paraId="071C94A3" w14:textId="4531838D" w:rsidR="006C0141" w:rsidRPr="00DB329A" w:rsidRDefault="05437AA6" w:rsidP="00BB5FF0">
      <w:pPr>
        <w:pStyle w:val="Heading1"/>
        <w:spacing w:line="276" w:lineRule="auto"/>
        <w:rPr>
          <w:rFonts w:ascii="Calibri" w:hAnsi="Calibri" w:cs="Calibri"/>
        </w:rPr>
      </w:pPr>
      <w:bookmarkStart w:id="7" w:name="_Toc234740553"/>
      <w:r w:rsidRPr="00DB329A">
        <w:rPr>
          <w:rFonts w:ascii="Calibri" w:hAnsi="Calibri" w:cs="Calibri"/>
        </w:rPr>
        <w:t>Appendix B — Executive Brief</w:t>
      </w:r>
      <w:bookmarkEnd w:id="7"/>
    </w:p>
    <w:p w14:paraId="1454B4C5" w14:textId="179090DE" w:rsidR="006C0141" w:rsidRPr="00DB329A" w:rsidRDefault="006C0141" w:rsidP="00BB5FF0">
      <w:pPr>
        <w:spacing w:line="276" w:lineRule="auto"/>
        <w:rPr>
          <w:rFonts w:ascii="Calibri" w:hAnsi="Calibri" w:cs="Calibri"/>
          <w:lang w:val="en-AU"/>
        </w:rPr>
      </w:pPr>
      <w:r w:rsidRPr="00DB329A">
        <w:rPr>
          <w:rFonts w:ascii="Calibri" w:hAnsi="Calibri" w:cs="Calibri"/>
          <w:lang w:val="en-AU"/>
        </w:rPr>
        <w:br/>
      </w:r>
      <w:r w:rsidRPr="00DB329A">
        <w:rPr>
          <w:rFonts w:ascii="Calibri" w:hAnsi="Calibri" w:cs="Calibri"/>
          <w:b/>
          <w:bCs/>
          <w:lang w:val="en-AU"/>
        </w:rPr>
        <w:t>QuantumShield: A Post-Quantum Cryptography Readiness Assessment Platform for Australian Healthcare SMEs</w:t>
      </w:r>
      <w:r w:rsidRPr="00DB329A">
        <w:rPr>
          <w:rFonts w:ascii="Calibri" w:hAnsi="Calibri" w:cs="Calibri"/>
          <w:lang w:val="en-AU"/>
        </w:rPr>
        <w:br/>
        <w:t>PROF909 — IT Project Part A | Master of Information Technology (Advanced)</w:t>
      </w:r>
    </w:p>
    <w:p w14:paraId="10A7A849" w14:textId="77777777" w:rsidR="006C0141" w:rsidRPr="00DB329A" w:rsidRDefault="006C0141" w:rsidP="00BB5FF0">
      <w:pPr>
        <w:spacing w:line="276" w:lineRule="auto"/>
        <w:rPr>
          <w:rFonts w:ascii="Calibri" w:hAnsi="Calibri" w:cs="Calibri"/>
          <w:lang w:val="en-AU"/>
        </w:rPr>
      </w:pPr>
      <w:r w:rsidRPr="00DB329A">
        <w:rPr>
          <w:rFonts w:ascii="Calibri" w:hAnsi="Calibri" w:cs="Calibri"/>
          <w:b/>
          <w:bCs/>
          <w:lang w:val="en-AU"/>
        </w:rPr>
        <w:t>Situation</w:t>
      </w:r>
    </w:p>
    <w:p w14:paraId="27D7051D" w14:textId="28247888" w:rsidR="006C0141" w:rsidRPr="00DB329A" w:rsidRDefault="00F91AFC" w:rsidP="00BB5FF0">
      <w:pPr>
        <w:spacing w:line="276" w:lineRule="auto"/>
        <w:jc w:val="both"/>
        <w:rPr>
          <w:rFonts w:ascii="Calibri" w:hAnsi="Calibri" w:cs="Calibri"/>
          <w:lang w:val="en-AU"/>
        </w:rPr>
      </w:pPr>
      <w:r w:rsidRPr="00B302BE">
        <w:rPr>
          <w:rFonts w:ascii="Calibri" w:hAnsi="Calibri" w:cs="Calibri"/>
          <w:sz w:val="22"/>
          <w:szCs w:val="22"/>
        </w:rPr>
        <w:lastRenderedPageBreak/>
        <w:t>The technology of encryption that secures Australia's healthcare data today is going to be compromised in the next ten years at least, and quantum computing is developing at a fast pace. The US National Institute of Standards and Technology (NIST) unveiled the world's first quantum-resistant encryption standards in August 2024, while Australia's signals directorate has mandated all organisations to develop a transition plan for quantum encryption by the end of 2026. Less than five per cent of organisations in the world have any quantum transition plan, while Australian healthcare SMEs such as general practices, allied health providers, specialist clinics and health technology vendors are tasked with handling sensitive patient information whilst also having strict privacy obligations. They are unable to determine their risk level and have no affordable, accessible tool to determine where to begin</w:t>
      </w:r>
      <w:r w:rsidR="006C0141" w:rsidRPr="00B302BE">
        <w:rPr>
          <w:rFonts w:ascii="Calibri" w:hAnsi="Calibri" w:cs="Calibri"/>
          <w:sz w:val="22"/>
          <w:szCs w:val="22"/>
          <w:lang w:val="en-AU"/>
        </w:rPr>
        <w:t>.</w:t>
      </w:r>
    </w:p>
    <w:p w14:paraId="7EEBE33A" w14:textId="77777777" w:rsidR="006C0141" w:rsidRPr="00B302BE" w:rsidRDefault="006C0141" w:rsidP="00BB5FF0">
      <w:pPr>
        <w:spacing w:line="276" w:lineRule="auto"/>
        <w:jc w:val="both"/>
        <w:rPr>
          <w:rFonts w:ascii="Calibri" w:hAnsi="Calibri" w:cs="Calibri"/>
          <w:sz w:val="22"/>
          <w:szCs w:val="22"/>
          <w:lang w:val="en-AU"/>
        </w:rPr>
      </w:pPr>
      <w:r w:rsidRPr="00DB329A">
        <w:rPr>
          <w:rFonts w:ascii="Calibri" w:hAnsi="Calibri" w:cs="Calibri"/>
          <w:b/>
          <w:bCs/>
          <w:lang w:val="en-AU"/>
        </w:rPr>
        <w:t xml:space="preserve">Key </w:t>
      </w:r>
      <w:r w:rsidRPr="00B302BE">
        <w:rPr>
          <w:rFonts w:ascii="Calibri" w:hAnsi="Calibri" w:cs="Calibri"/>
          <w:b/>
          <w:bCs/>
          <w:sz w:val="22"/>
          <w:szCs w:val="22"/>
          <w:lang w:val="en-AU"/>
        </w:rPr>
        <w:t>Findings</w:t>
      </w:r>
    </w:p>
    <w:p w14:paraId="16A0AAA7" w14:textId="77777777" w:rsidR="00016048" w:rsidRPr="00B302BE" w:rsidRDefault="00016048" w:rsidP="00BB5FF0">
      <w:pPr>
        <w:numPr>
          <w:ilvl w:val="0"/>
          <w:numId w:val="3"/>
        </w:numPr>
        <w:spacing w:line="276" w:lineRule="auto"/>
        <w:jc w:val="both"/>
        <w:rPr>
          <w:rFonts w:ascii="Calibri" w:hAnsi="Calibri" w:cs="Calibri"/>
          <w:sz w:val="22"/>
          <w:szCs w:val="22"/>
          <w:lang w:val="en-AU"/>
        </w:rPr>
      </w:pPr>
      <w:r w:rsidRPr="00B302BE">
        <w:rPr>
          <w:rFonts w:ascii="Calibri" w:hAnsi="Calibri" w:cs="Calibri"/>
          <w:sz w:val="22"/>
          <w:szCs w:val="22"/>
          <w:lang w:val="en-AU"/>
        </w:rPr>
        <w:t>Harvest Now, Decrypt Later threat – today, attackers are already collecting your health data in encrypted form that they will aim to decrypt when quantum computers are ready – this is a current threat, not a future threat.</w:t>
      </w:r>
    </w:p>
    <w:p w14:paraId="2CBF7D1F" w14:textId="48C2E3BF" w:rsidR="00016048" w:rsidRPr="00B302BE" w:rsidRDefault="00016048" w:rsidP="00BB5FF0">
      <w:pPr>
        <w:numPr>
          <w:ilvl w:val="0"/>
          <w:numId w:val="3"/>
        </w:numPr>
        <w:spacing w:line="276" w:lineRule="auto"/>
        <w:jc w:val="both"/>
        <w:rPr>
          <w:rFonts w:ascii="Calibri" w:hAnsi="Calibri" w:cs="Calibri"/>
          <w:sz w:val="22"/>
          <w:szCs w:val="22"/>
          <w:lang w:val="en-AU"/>
        </w:rPr>
      </w:pPr>
      <w:r w:rsidRPr="00B302BE">
        <w:rPr>
          <w:rFonts w:ascii="Calibri" w:hAnsi="Calibri" w:cs="Calibri"/>
          <w:sz w:val="22"/>
          <w:szCs w:val="22"/>
          <w:lang w:val="en-AU"/>
        </w:rPr>
        <w:t>The ASD Information Security Manual has binding compliance deadlines for Australian healthcare SMEs to implement: a documented transition plan is required by 2026, the shift to implementation by 2028, and full migration by 2030.</w:t>
      </w:r>
    </w:p>
    <w:p w14:paraId="492FC76F" w14:textId="4A2D592D" w:rsidR="00016048" w:rsidRPr="00B302BE" w:rsidRDefault="00016048" w:rsidP="00BB5FF0">
      <w:pPr>
        <w:numPr>
          <w:ilvl w:val="0"/>
          <w:numId w:val="3"/>
        </w:numPr>
        <w:spacing w:line="276" w:lineRule="auto"/>
        <w:jc w:val="both"/>
        <w:rPr>
          <w:rFonts w:ascii="Calibri" w:hAnsi="Calibri" w:cs="Calibri"/>
          <w:sz w:val="22"/>
          <w:szCs w:val="22"/>
          <w:lang w:val="en-AU"/>
        </w:rPr>
      </w:pPr>
      <w:r w:rsidRPr="00B302BE">
        <w:rPr>
          <w:rFonts w:ascii="Calibri" w:hAnsi="Calibri" w:cs="Calibri"/>
          <w:sz w:val="22"/>
          <w:szCs w:val="22"/>
          <w:lang w:val="en-AU"/>
        </w:rPr>
        <w:t>Current solutions — IBM Quantum Safe, CISA frameworks, and PQC consulting experts — are available only for larger enterprises and frequently have price tags of $5,000 to $50,000 per engagement, making them too expensive for SMEs.</w:t>
      </w:r>
    </w:p>
    <w:p w14:paraId="4902B781" w14:textId="77777777" w:rsidR="00016048" w:rsidRPr="00B302BE" w:rsidRDefault="00016048" w:rsidP="00BB5FF0">
      <w:pPr>
        <w:numPr>
          <w:ilvl w:val="0"/>
          <w:numId w:val="3"/>
        </w:numPr>
        <w:spacing w:line="276" w:lineRule="auto"/>
        <w:jc w:val="both"/>
        <w:rPr>
          <w:rFonts w:ascii="Calibri" w:hAnsi="Calibri" w:cs="Calibri"/>
          <w:sz w:val="22"/>
          <w:szCs w:val="22"/>
          <w:lang w:val="en-AU"/>
        </w:rPr>
      </w:pPr>
      <w:r w:rsidRPr="00B302BE">
        <w:rPr>
          <w:rFonts w:ascii="Calibri" w:hAnsi="Calibri" w:cs="Calibri"/>
          <w:sz w:val="22"/>
          <w:szCs w:val="22"/>
          <w:lang w:val="en-AU"/>
        </w:rPr>
        <w:t>Patient records in the healthcare sector are a quantum attack dream come true, with the highest value privacy records in decades under the Privacy Act 1988 and My Health Records Act 2012.</w:t>
      </w:r>
    </w:p>
    <w:p w14:paraId="595B1199" w14:textId="0846A2F6" w:rsidR="006C0141" w:rsidRPr="00DB329A" w:rsidRDefault="00016048" w:rsidP="00BB5FF0">
      <w:pPr>
        <w:numPr>
          <w:ilvl w:val="0"/>
          <w:numId w:val="3"/>
        </w:numPr>
        <w:spacing w:line="276" w:lineRule="auto"/>
        <w:jc w:val="both"/>
        <w:rPr>
          <w:rFonts w:ascii="Calibri" w:hAnsi="Calibri" w:cs="Calibri"/>
          <w:lang w:val="en-AU"/>
        </w:rPr>
      </w:pPr>
      <w:r w:rsidRPr="00B302BE">
        <w:rPr>
          <w:rFonts w:ascii="Calibri" w:hAnsi="Calibri" w:cs="Calibri"/>
          <w:sz w:val="22"/>
          <w:szCs w:val="22"/>
          <w:lang w:val="en-AU"/>
        </w:rPr>
        <w:t>There is no market-ready, affordable, and easily accessible quantum readiness tool available to SMEs in the healthcare sector</w:t>
      </w:r>
      <w:r w:rsidRPr="00DB329A">
        <w:rPr>
          <w:rFonts w:ascii="Calibri" w:hAnsi="Calibri" w:cs="Calibri"/>
          <w:lang w:val="en-AU"/>
        </w:rPr>
        <w:t>.</w:t>
      </w:r>
    </w:p>
    <w:p w14:paraId="15BEF912" w14:textId="77777777" w:rsidR="006C0141" w:rsidRPr="00DB329A" w:rsidRDefault="006C0141" w:rsidP="00BB5FF0">
      <w:pPr>
        <w:spacing w:line="276" w:lineRule="auto"/>
        <w:rPr>
          <w:rFonts w:ascii="Calibri" w:hAnsi="Calibri" w:cs="Calibri"/>
          <w:lang w:val="en-AU"/>
        </w:rPr>
      </w:pPr>
      <w:r w:rsidRPr="00DB329A">
        <w:rPr>
          <w:rFonts w:ascii="Calibri" w:hAnsi="Calibri" w:cs="Calibri"/>
          <w:b/>
          <w:bCs/>
          <w:lang w:val="en-AU"/>
        </w:rPr>
        <w:t>Recommendation</w:t>
      </w:r>
    </w:p>
    <w:p w14:paraId="10D7D6E5" w14:textId="6393CB2B" w:rsidR="006C0141" w:rsidRPr="00DB329A" w:rsidRDefault="003042CD" w:rsidP="00BB5FF0">
      <w:pPr>
        <w:spacing w:line="276" w:lineRule="auto"/>
        <w:jc w:val="both"/>
        <w:rPr>
          <w:rFonts w:ascii="Calibri" w:hAnsi="Calibri" w:cs="Calibri"/>
          <w:lang w:val="en-AU"/>
        </w:rPr>
      </w:pPr>
      <w:r w:rsidRPr="00B302BE">
        <w:rPr>
          <w:rStyle w:val="cursor-pointer"/>
          <w:rFonts w:ascii="Calibri" w:hAnsi="Calibri" w:cs="Calibri"/>
          <w:sz w:val="22"/>
          <w:szCs w:val="22"/>
        </w:rPr>
        <w:t>The company should move forward with Part B market validation of QuantumShield.</w:t>
      </w:r>
      <w:r w:rsidRPr="00B302BE">
        <w:rPr>
          <w:rFonts w:ascii="Calibri" w:hAnsi="Calibri" w:cs="Calibri"/>
          <w:sz w:val="22"/>
          <w:szCs w:val="22"/>
        </w:rPr>
        <w:t xml:space="preserve"> </w:t>
      </w:r>
      <w:r w:rsidRPr="00B302BE">
        <w:rPr>
          <w:rStyle w:val="cursor-pointer"/>
          <w:rFonts w:ascii="Calibri" w:hAnsi="Calibri" w:cs="Calibri"/>
          <w:sz w:val="22"/>
          <w:szCs w:val="22"/>
        </w:rPr>
        <w:t>The evidence base indicates that there is a true, pressing and unmet market need for Australian healthcare SMEs: they are subject to real quantum risk under binding regulatory timelines, and there is no current solution available that is accessible, affordable and tailored to their needs.</w:t>
      </w:r>
      <w:r w:rsidRPr="00B302BE">
        <w:rPr>
          <w:rFonts w:ascii="Calibri" w:hAnsi="Calibri" w:cs="Calibri"/>
          <w:sz w:val="22"/>
          <w:szCs w:val="22"/>
        </w:rPr>
        <w:t xml:space="preserve"> </w:t>
      </w:r>
      <w:r w:rsidRPr="00B302BE">
        <w:rPr>
          <w:rStyle w:val="cursor-pointer"/>
          <w:rFonts w:ascii="Calibri" w:hAnsi="Calibri" w:cs="Calibri"/>
          <w:sz w:val="22"/>
          <w:szCs w:val="22"/>
        </w:rPr>
        <w:t>A web-based assessment platform that provides simple-to-understand reports of quantum readiness and prioriti</w:t>
      </w:r>
      <w:r w:rsidR="00B302BE">
        <w:rPr>
          <w:rStyle w:val="cursor-pointer"/>
          <w:rFonts w:ascii="Calibri" w:hAnsi="Calibri" w:cs="Calibri"/>
          <w:sz w:val="22"/>
          <w:szCs w:val="22"/>
        </w:rPr>
        <w:t>s</w:t>
      </w:r>
      <w:r w:rsidRPr="00B302BE">
        <w:rPr>
          <w:rStyle w:val="cursor-pointer"/>
          <w:rFonts w:ascii="Calibri" w:hAnsi="Calibri" w:cs="Calibri"/>
          <w:sz w:val="22"/>
          <w:szCs w:val="22"/>
        </w:rPr>
        <w:t>ed compliance action plans is a viable and needed solution to this challenge</w:t>
      </w:r>
      <w:r w:rsidR="006C0141" w:rsidRPr="00DB329A">
        <w:rPr>
          <w:rFonts w:ascii="Calibri" w:hAnsi="Calibri" w:cs="Calibri"/>
          <w:lang w:val="en-AU"/>
        </w:rPr>
        <w:t>.</w:t>
      </w:r>
    </w:p>
    <w:p w14:paraId="435BCE48" w14:textId="77777777" w:rsidR="006C0141" w:rsidRPr="00DB329A" w:rsidRDefault="006C0141" w:rsidP="00BB5FF0">
      <w:pPr>
        <w:spacing w:line="276" w:lineRule="auto"/>
        <w:rPr>
          <w:rFonts w:ascii="Calibri" w:hAnsi="Calibri" w:cs="Calibri"/>
          <w:lang w:val="en-AU"/>
        </w:rPr>
      </w:pPr>
      <w:r w:rsidRPr="00DB329A">
        <w:rPr>
          <w:rFonts w:ascii="Calibri" w:hAnsi="Calibri" w:cs="Calibri"/>
          <w:b/>
          <w:bCs/>
          <w:lang w:val="en-AU"/>
        </w:rPr>
        <w:t>Ask</w:t>
      </w:r>
    </w:p>
    <w:p w14:paraId="340577C0" w14:textId="204C5E54" w:rsidR="006C0141" w:rsidRPr="00B302BE" w:rsidRDefault="003042CD" w:rsidP="00BB5FF0">
      <w:pPr>
        <w:spacing w:line="276" w:lineRule="auto"/>
        <w:jc w:val="both"/>
        <w:rPr>
          <w:rFonts w:ascii="Calibri" w:hAnsi="Calibri" w:cs="Calibri"/>
          <w:sz w:val="22"/>
          <w:szCs w:val="22"/>
          <w:lang w:val="en-AU"/>
        </w:rPr>
      </w:pPr>
      <w:r w:rsidRPr="00B302BE">
        <w:rPr>
          <w:rFonts w:ascii="Calibri" w:hAnsi="Calibri" w:cs="Calibri"/>
          <w:sz w:val="22"/>
          <w:szCs w:val="22"/>
        </w:rPr>
        <w:t>Once the sponsor signs off, the Part B validation activities will proceed, such as user interviews with healthcare SME decision-makers, Figma prototype testing, and an online survey of 50+ SME contacts all of which will be done within the Part B trimester time frame without any extra cost beyond the student research time</w:t>
      </w:r>
      <w:r w:rsidR="006C0141" w:rsidRPr="00B302BE">
        <w:rPr>
          <w:rFonts w:ascii="Calibri" w:hAnsi="Calibri" w:cs="Calibri"/>
          <w:sz w:val="22"/>
          <w:szCs w:val="22"/>
          <w:lang w:val="en-AU"/>
        </w:rPr>
        <w:t>.</w:t>
      </w:r>
    </w:p>
    <w:p w14:paraId="2526B488" w14:textId="4D13EAA8" w:rsidR="05437AA6" w:rsidRPr="00DB329A" w:rsidRDefault="05437AA6" w:rsidP="00BB5FF0">
      <w:pPr>
        <w:pStyle w:val="Heading1"/>
        <w:spacing w:line="276" w:lineRule="auto"/>
        <w:rPr>
          <w:rFonts w:ascii="Calibri" w:hAnsi="Calibri" w:cs="Calibri"/>
        </w:rPr>
      </w:pPr>
      <w:bookmarkStart w:id="8" w:name="_Toc234740554"/>
      <w:r w:rsidRPr="00DB329A">
        <w:rPr>
          <w:rFonts w:ascii="Calibri" w:hAnsi="Calibri" w:cs="Calibri"/>
        </w:rPr>
        <w:lastRenderedPageBreak/>
        <w:t>Appendix C — Search Strategy (PRISMA lite)</w:t>
      </w:r>
      <w:bookmarkEnd w:id="8"/>
    </w:p>
    <w:p w14:paraId="04011D27" w14:textId="322DBA1D" w:rsidR="00687408" w:rsidRPr="00DB329A" w:rsidRDefault="00687408" w:rsidP="00BB5FF0">
      <w:pPr>
        <w:spacing w:line="276" w:lineRule="auto"/>
        <w:rPr>
          <w:rFonts w:ascii="Calibri" w:hAnsi="Calibri" w:cs="Calibri"/>
          <w:lang w:val="en-AU"/>
        </w:rPr>
      </w:pPr>
      <w:r w:rsidRPr="00DB329A">
        <w:rPr>
          <w:rFonts w:ascii="Calibri" w:hAnsi="Calibri" w:cs="Calibri"/>
          <w:b/>
          <w:bCs/>
          <w:lang w:val="en-AU"/>
        </w:rPr>
        <w:t>SEARCH STRATEGY</w:t>
      </w:r>
      <w:r w:rsidRPr="00DB329A">
        <w:rPr>
          <w:rFonts w:ascii="Calibri" w:hAnsi="Calibri" w:cs="Calibri"/>
          <w:lang w:val="en-AU"/>
        </w:rPr>
        <w:br/>
      </w:r>
      <w:r w:rsidRPr="00DB329A">
        <w:rPr>
          <w:rFonts w:ascii="Calibri" w:hAnsi="Calibri" w:cs="Calibri"/>
          <w:b/>
          <w:bCs/>
          <w:lang w:val="en-AU"/>
        </w:rPr>
        <w:t>QuantumShield: A Post-Quantum Cryptography Readiness Assessment Platform for Australian Healthcare SMEs</w:t>
      </w:r>
      <w:r w:rsidRPr="00DB329A">
        <w:rPr>
          <w:rFonts w:ascii="Calibri" w:hAnsi="Calibri" w:cs="Calibri"/>
          <w:lang w:val="en-AU"/>
        </w:rPr>
        <w:br/>
        <w:t>PROF909 — IT Project Part A | Master of Information Technology (Advanced)</w:t>
      </w:r>
    </w:p>
    <w:p w14:paraId="39C817CB" w14:textId="77777777" w:rsidR="00687408" w:rsidRPr="00DB329A" w:rsidRDefault="00687408" w:rsidP="00BB5FF0">
      <w:pPr>
        <w:spacing w:line="276" w:lineRule="auto"/>
        <w:rPr>
          <w:rFonts w:ascii="Calibri" w:hAnsi="Calibri" w:cs="Calibri"/>
          <w:lang w:val="en-AU"/>
        </w:rPr>
      </w:pPr>
      <w:r w:rsidRPr="00DB329A">
        <w:rPr>
          <w:rFonts w:ascii="Calibri" w:hAnsi="Calibri" w:cs="Calibri"/>
          <w:b/>
          <w:bCs/>
          <w:lang w:val="en-AU"/>
        </w:rPr>
        <w:t>Databases and Sources Searched</w:t>
      </w:r>
    </w:p>
    <w:tbl>
      <w:tblPr>
        <w:tblStyle w:val="GridTable1Light"/>
        <w:tblW w:w="0" w:type="auto"/>
        <w:tblLook w:val="04A0" w:firstRow="1" w:lastRow="0" w:firstColumn="1" w:lastColumn="0" w:noHBand="0" w:noVBand="1"/>
      </w:tblPr>
      <w:tblGrid>
        <w:gridCol w:w="2666"/>
        <w:gridCol w:w="6684"/>
      </w:tblGrid>
      <w:tr w:rsidR="00687408" w:rsidRPr="00B302BE" w14:paraId="11BAB358" w14:textId="77777777" w:rsidTr="00B30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58A2E"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Source Type</w:t>
            </w:r>
          </w:p>
        </w:tc>
        <w:tc>
          <w:tcPr>
            <w:tcW w:w="0" w:type="auto"/>
            <w:hideMark/>
          </w:tcPr>
          <w:p w14:paraId="22D2F2D6" w14:textId="77777777" w:rsidR="00687408" w:rsidRPr="00B302BE" w:rsidRDefault="00687408"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Database / Source</w:t>
            </w:r>
          </w:p>
        </w:tc>
      </w:tr>
      <w:tr w:rsidR="00687408" w:rsidRPr="00B302BE" w14:paraId="4843A2D9"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427EE1E7"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Academic databases</w:t>
            </w:r>
          </w:p>
        </w:tc>
        <w:tc>
          <w:tcPr>
            <w:tcW w:w="0" w:type="auto"/>
            <w:hideMark/>
          </w:tcPr>
          <w:p w14:paraId="18AD37D5"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Google Scholar, Scopus, IEEE Xplore, ACM Digital Library</w:t>
            </w:r>
          </w:p>
        </w:tc>
      </w:tr>
      <w:tr w:rsidR="00687408" w:rsidRPr="00B302BE" w14:paraId="2EF8ED36"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65CB28B6"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Government and regulatory</w:t>
            </w:r>
          </w:p>
        </w:tc>
        <w:tc>
          <w:tcPr>
            <w:tcW w:w="0" w:type="auto"/>
            <w:hideMark/>
          </w:tcPr>
          <w:p w14:paraId="3DE5ABB4"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ASD/ACSC (cyber.gov.au), NIST (nist.gov), CISA (cisa.gov), NCSC (ncsc.gov.uk)</w:t>
            </w:r>
          </w:p>
        </w:tc>
      </w:tr>
      <w:tr w:rsidR="00687408" w:rsidRPr="00B302BE" w14:paraId="4BF0112B"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1EB0FBC6"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Industry and practitioner</w:t>
            </w:r>
          </w:p>
        </w:tc>
        <w:tc>
          <w:tcPr>
            <w:tcW w:w="0" w:type="auto"/>
            <w:hideMark/>
          </w:tcPr>
          <w:p w14:paraId="06B79587"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QNu Labs, CrowdStrike, IDC, Precedence Research, Quantum Australia</w:t>
            </w:r>
          </w:p>
        </w:tc>
      </w:tr>
      <w:tr w:rsidR="00687408" w:rsidRPr="00B302BE" w14:paraId="2D2B55A9"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53CF7024"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Australian legislation</w:t>
            </w:r>
          </w:p>
        </w:tc>
        <w:tc>
          <w:tcPr>
            <w:tcW w:w="0" w:type="auto"/>
            <w:hideMark/>
          </w:tcPr>
          <w:p w14:paraId="580E06E5"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Federal Register of Legislation (legislation.gov.au)</w:t>
            </w:r>
          </w:p>
        </w:tc>
      </w:tr>
      <w:tr w:rsidR="00687408" w:rsidRPr="00B302BE" w14:paraId="42C21FA2"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7281FF65"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Professional standards</w:t>
            </w:r>
          </w:p>
        </w:tc>
        <w:tc>
          <w:tcPr>
            <w:tcW w:w="0" w:type="auto"/>
            <w:hideMark/>
          </w:tcPr>
          <w:p w14:paraId="002FBF14"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ACS (acs.org.au), DISR AI Ethics (industry.gov.au)</w:t>
            </w:r>
          </w:p>
        </w:tc>
      </w:tr>
    </w:tbl>
    <w:p w14:paraId="2C445AA1" w14:textId="77777777" w:rsidR="00687408" w:rsidRPr="00DB329A" w:rsidRDefault="00D72441" w:rsidP="00BB5FF0">
      <w:pPr>
        <w:spacing w:line="276" w:lineRule="auto"/>
        <w:rPr>
          <w:rFonts w:ascii="Calibri" w:hAnsi="Calibri" w:cs="Calibri"/>
          <w:lang w:val="en-AU"/>
        </w:rPr>
      </w:pPr>
      <w:r>
        <w:rPr>
          <w:noProof/>
        </w:rPr>
      </w:r>
      <w:r>
        <w:pict w14:anchorId="1ADF931F">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558D02" w14:textId="77777777" w:rsidR="00687408" w:rsidRPr="00DB329A" w:rsidRDefault="00687408" w:rsidP="00BB5FF0">
      <w:pPr>
        <w:spacing w:line="276" w:lineRule="auto"/>
        <w:rPr>
          <w:rFonts w:ascii="Calibri" w:hAnsi="Calibri" w:cs="Calibri"/>
          <w:lang w:val="en-AU"/>
        </w:rPr>
      </w:pPr>
      <w:r w:rsidRPr="00DB329A">
        <w:rPr>
          <w:rFonts w:ascii="Calibri" w:hAnsi="Calibri" w:cs="Calibri"/>
          <w:b/>
          <w:bCs/>
          <w:lang w:val="en-AU"/>
        </w:rPr>
        <w:t>Search Terms Used</w:t>
      </w:r>
    </w:p>
    <w:tbl>
      <w:tblPr>
        <w:tblStyle w:val="GridTable1Light"/>
        <w:tblW w:w="0" w:type="auto"/>
        <w:tblLook w:val="04A0" w:firstRow="1" w:lastRow="0" w:firstColumn="1" w:lastColumn="0" w:noHBand="0" w:noVBand="1"/>
      </w:tblPr>
      <w:tblGrid>
        <w:gridCol w:w="1630"/>
        <w:gridCol w:w="3726"/>
        <w:gridCol w:w="3994"/>
      </w:tblGrid>
      <w:tr w:rsidR="00687408" w:rsidRPr="00B302BE" w14:paraId="057C230A" w14:textId="77777777" w:rsidTr="00B30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F5A3F"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Theme</w:t>
            </w:r>
          </w:p>
        </w:tc>
        <w:tc>
          <w:tcPr>
            <w:tcW w:w="0" w:type="auto"/>
            <w:hideMark/>
          </w:tcPr>
          <w:p w14:paraId="3E05F888" w14:textId="77777777" w:rsidR="00687408" w:rsidRPr="00B302BE" w:rsidRDefault="00687408"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Primary Keywords</w:t>
            </w:r>
          </w:p>
        </w:tc>
        <w:tc>
          <w:tcPr>
            <w:tcW w:w="0" w:type="auto"/>
            <w:hideMark/>
          </w:tcPr>
          <w:p w14:paraId="061C447D" w14:textId="77777777" w:rsidR="00687408" w:rsidRPr="00B302BE" w:rsidRDefault="00687408"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Boolean String</w:t>
            </w:r>
          </w:p>
        </w:tc>
      </w:tr>
      <w:tr w:rsidR="00687408" w:rsidRPr="00B302BE" w14:paraId="2FD7CDC3"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0658EFE2"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Quantum threat</w:t>
            </w:r>
          </w:p>
        </w:tc>
        <w:tc>
          <w:tcPr>
            <w:tcW w:w="0" w:type="auto"/>
            <w:hideMark/>
          </w:tcPr>
          <w:p w14:paraId="1CF75BE3"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Post-quantum cryptography, quantum computing, CRQC</w:t>
            </w:r>
          </w:p>
        </w:tc>
        <w:tc>
          <w:tcPr>
            <w:tcW w:w="0" w:type="auto"/>
            <w:hideMark/>
          </w:tcPr>
          <w:p w14:paraId="588CE270"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"post-quantum cryptography" AND ("healthcare" OR "SME")</w:t>
            </w:r>
          </w:p>
        </w:tc>
      </w:tr>
      <w:tr w:rsidR="00687408" w:rsidRPr="00B302BE" w14:paraId="6D3108C7"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04FD7AF9"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HNDL</w:t>
            </w:r>
          </w:p>
        </w:tc>
        <w:tc>
          <w:tcPr>
            <w:tcW w:w="0" w:type="auto"/>
            <w:hideMark/>
          </w:tcPr>
          <w:p w14:paraId="0B6360BA" w14:textId="3C341603"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 xml:space="preserve">Harvest now </w:t>
            </w:r>
            <w:r w:rsidR="009C0B26" w:rsidRPr="00B302BE">
              <w:rPr>
                <w:rFonts w:ascii="Calibri" w:hAnsi="Calibri" w:cs="Calibri"/>
                <w:sz w:val="22"/>
                <w:szCs w:val="22"/>
                <w:lang w:val="en-AU"/>
              </w:rPr>
              <w:t xml:space="preserve">decrypt </w:t>
            </w:r>
            <w:r w:rsidRPr="00B302BE">
              <w:rPr>
                <w:rFonts w:ascii="Calibri" w:hAnsi="Calibri" w:cs="Calibri"/>
                <w:sz w:val="22"/>
                <w:szCs w:val="22"/>
                <w:lang w:val="en-AU"/>
              </w:rPr>
              <w:t>later, quantum threat timeline</w:t>
            </w:r>
          </w:p>
        </w:tc>
        <w:tc>
          <w:tcPr>
            <w:tcW w:w="0" w:type="auto"/>
            <w:hideMark/>
          </w:tcPr>
          <w:p w14:paraId="7E8270DF" w14:textId="7C6ED0BF"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"Harvest now decrypt later" AND "encryption"</w:t>
            </w:r>
          </w:p>
        </w:tc>
      </w:tr>
      <w:tr w:rsidR="00687408" w:rsidRPr="00B302BE" w14:paraId="44C26CEC"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0D2ABE8B"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SME vulnerability</w:t>
            </w:r>
          </w:p>
        </w:tc>
        <w:tc>
          <w:tcPr>
            <w:tcW w:w="0" w:type="auto"/>
            <w:hideMark/>
          </w:tcPr>
          <w:p w14:paraId="3BDCA4E7"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SME cybersecurity, awareness gap, adoption barriers</w:t>
            </w:r>
          </w:p>
        </w:tc>
        <w:tc>
          <w:tcPr>
            <w:tcW w:w="0" w:type="auto"/>
            <w:hideMark/>
          </w:tcPr>
          <w:p w14:paraId="1AAEF38F"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"SME" AND "cybersecurity" AND ("barriers" OR "adoption")</w:t>
            </w:r>
          </w:p>
        </w:tc>
      </w:tr>
      <w:tr w:rsidR="00687408" w:rsidRPr="00B302BE" w14:paraId="04E4C4B3"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71D96782"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Existing solutions</w:t>
            </w:r>
          </w:p>
        </w:tc>
        <w:tc>
          <w:tcPr>
            <w:tcW w:w="0" w:type="auto"/>
            <w:hideMark/>
          </w:tcPr>
          <w:p w14:paraId="3C64D4E5"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PQC tools, quantum readiness assessment, migration framework</w:t>
            </w:r>
          </w:p>
        </w:tc>
        <w:tc>
          <w:tcPr>
            <w:tcW w:w="0" w:type="auto"/>
            <w:hideMark/>
          </w:tcPr>
          <w:p w14:paraId="034839F9" w14:textId="5987645D"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"Quantum readiness" AND ("assessment" OR "framework" OR "tool")</w:t>
            </w:r>
          </w:p>
        </w:tc>
      </w:tr>
      <w:tr w:rsidR="00687408" w:rsidRPr="00B302BE" w14:paraId="6B079397" w14:textId="77777777" w:rsidTr="00B302BE">
        <w:tc>
          <w:tcPr>
            <w:cnfStyle w:val="001000000000" w:firstRow="0" w:lastRow="0" w:firstColumn="1" w:lastColumn="0" w:oddVBand="0" w:evenVBand="0" w:oddHBand="0" w:evenHBand="0" w:firstRowFirstColumn="0" w:firstRowLastColumn="0" w:lastRowFirstColumn="0" w:lastRowLastColumn="0"/>
            <w:tcW w:w="0" w:type="auto"/>
            <w:hideMark/>
          </w:tcPr>
          <w:p w14:paraId="575AC631"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Regulatory drivers</w:t>
            </w:r>
          </w:p>
        </w:tc>
        <w:tc>
          <w:tcPr>
            <w:tcW w:w="0" w:type="auto"/>
            <w:hideMark/>
          </w:tcPr>
          <w:p w14:paraId="50723B5C"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NIST FIPS, ASD Essential Eight, Privacy Act, SOCI Act</w:t>
            </w:r>
          </w:p>
        </w:tc>
        <w:tc>
          <w:tcPr>
            <w:tcW w:w="0" w:type="auto"/>
            <w:hideMark/>
          </w:tcPr>
          <w:p w14:paraId="495C0A65"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"post-quantum" AND ("compliance" OR "regulation" OR "Australia")</w:t>
            </w:r>
          </w:p>
        </w:tc>
      </w:tr>
    </w:tbl>
    <w:p w14:paraId="4FC5F3EC" w14:textId="77777777" w:rsidR="003511F7" w:rsidRPr="00DB329A" w:rsidRDefault="003511F7" w:rsidP="00BB5FF0">
      <w:pPr>
        <w:spacing w:line="276" w:lineRule="auto"/>
        <w:rPr>
          <w:rFonts w:ascii="Calibri" w:hAnsi="Calibri" w:cs="Calibri"/>
          <w:b/>
          <w:bCs/>
          <w:lang w:val="en-AU"/>
        </w:rPr>
      </w:pPr>
    </w:p>
    <w:p w14:paraId="0A2A099F" w14:textId="7A66AB48" w:rsidR="00687408" w:rsidRPr="00DB329A" w:rsidRDefault="00687408" w:rsidP="00BB5FF0">
      <w:pPr>
        <w:spacing w:line="276" w:lineRule="auto"/>
        <w:rPr>
          <w:rFonts w:ascii="Calibri" w:hAnsi="Calibri" w:cs="Calibri"/>
          <w:lang w:val="en-AU"/>
        </w:rPr>
      </w:pPr>
      <w:r w:rsidRPr="00DB329A">
        <w:rPr>
          <w:rFonts w:ascii="Calibri" w:hAnsi="Calibri" w:cs="Calibri"/>
          <w:b/>
          <w:bCs/>
          <w:lang w:val="en-AU"/>
        </w:rPr>
        <w:t>Inclusion and Exclusion Criteria</w:t>
      </w:r>
    </w:p>
    <w:tbl>
      <w:tblPr>
        <w:tblStyle w:val="GridTable1Light"/>
        <w:tblW w:w="0" w:type="auto"/>
        <w:tblLook w:val="04A0" w:firstRow="1" w:lastRow="0" w:firstColumn="1" w:lastColumn="0" w:noHBand="0" w:noVBand="1"/>
      </w:tblPr>
      <w:tblGrid>
        <w:gridCol w:w="1335"/>
        <w:gridCol w:w="5025"/>
        <w:gridCol w:w="2990"/>
      </w:tblGrid>
      <w:tr w:rsidR="00687408" w:rsidRPr="00B302BE" w14:paraId="5B326CFA" w14:textId="77777777" w:rsidTr="006874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D6A8"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Criteria</w:t>
            </w:r>
          </w:p>
        </w:tc>
        <w:tc>
          <w:tcPr>
            <w:tcW w:w="0" w:type="auto"/>
            <w:hideMark/>
          </w:tcPr>
          <w:p w14:paraId="1F9A9FDC" w14:textId="77777777" w:rsidR="00687408" w:rsidRPr="00B302BE" w:rsidRDefault="00687408"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Inclusion</w:t>
            </w:r>
          </w:p>
        </w:tc>
        <w:tc>
          <w:tcPr>
            <w:tcW w:w="0" w:type="auto"/>
            <w:hideMark/>
          </w:tcPr>
          <w:p w14:paraId="09F37093" w14:textId="77777777" w:rsidR="00687408" w:rsidRPr="00B302BE" w:rsidRDefault="00687408"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Exclusion</w:t>
            </w:r>
          </w:p>
        </w:tc>
      </w:tr>
      <w:tr w:rsidR="00687408" w:rsidRPr="00B302BE" w14:paraId="7BB5A5B8" w14:textId="77777777" w:rsidTr="00687408">
        <w:tc>
          <w:tcPr>
            <w:cnfStyle w:val="001000000000" w:firstRow="0" w:lastRow="0" w:firstColumn="1" w:lastColumn="0" w:oddVBand="0" w:evenVBand="0" w:oddHBand="0" w:evenHBand="0" w:firstRowFirstColumn="0" w:firstRowLastColumn="0" w:lastRowFirstColumn="0" w:lastRowLastColumn="0"/>
            <w:tcW w:w="0" w:type="auto"/>
            <w:hideMark/>
          </w:tcPr>
          <w:p w14:paraId="388B87CA"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lastRenderedPageBreak/>
              <w:t>Date</w:t>
            </w:r>
          </w:p>
        </w:tc>
        <w:tc>
          <w:tcPr>
            <w:tcW w:w="0" w:type="auto"/>
            <w:hideMark/>
          </w:tcPr>
          <w:p w14:paraId="5BE52979"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Published 2017–2026</w:t>
            </w:r>
          </w:p>
        </w:tc>
        <w:tc>
          <w:tcPr>
            <w:tcW w:w="0" w:type="auto"/>
            <w:hideMark/>
          </w:tcPr>
          <w:p w14:paraId="0174DFAD"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Pre-2017 except foundational PQC papers</w:t>
            </w:r>
          </w:p>
        </w:tc>
      </w:tr>
      <w:tr w:rsidR="00687408" w:rsidRPr="00B302BE" w14:paraId="3AABC06F" w14:textId="77777777" w:rsidTr="00687408">
        <w:tc>
          <w:tcPr>
            <w:cnfStyle w:val="001000000000" w:firstRow="0" w:lastRow="0" w:firstColumn="1" w:lastColumn="0" w:oddVBand="0" w:evenVBand="0" w:oddHBand="0" w:evenHBand="0" w:firstRowFirstColumn="0" w:firstRowLastColumn="0" w:lastRowFirstColumn="0" w:lastRowLastColumn="0"/>
            <w:tcW w:w="0" w:type="auto"/>
            <w:hideMark/>
          </w:tcPr>
          <w:p w14:paraId="02A374B1"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Source type</w:t>
            </w:r>
          </w:p>
        </w:tc>
        <w:tc>
          <w:tcPr>
            <w:tcW w:w="0" w:type="auto"/>
            <w:hideMark/>
          </w:tcPr>
          <w:p w14:paraId="53C05815"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Peer-reviewed journals, conference papers, government reports, reputable industry reports</w:t>
            </w:r>
          </w:p>
        </w:tc>
        <w:tc>
          <w:tcPr>
            <w:tcW w:w="0" w:type="auto"/>
            <w:hideMark/>
          </w:tcPr>
          <w:p w14:paraId="14FFF6CD"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Wikipedia, blog opinion pieces, anonymous sources</w:t>
            </w:r>
          </w:p>
        </w:tc>
      </w:tr>
      <w:tr w:rsidR="00687408" w:rsidRPr="00B302BE" w14:paraId="5AEA1B4C" w14:textId="77777777" w:rsidTr="00687408">
        <w:tc>
          <w:tcPr>
            <w:cnfStyle w:val="001000000000" w:firstRow="0" w:lastRow="0" w:firstColumn="1" w:lastColumn="0" w:oddVBand="0" w:evenVBand="0" w:oddHBand="0" w:evenHBand="0" w:firstRowFirstColumn="0" w:firstRowLastColumn="0" w:lastRowFirstColumn="0" w:lastRowLastColumn="0"/>
            <w:tcW w:w="0" w:type="auto"/>
            <w:hideMark/>
          </w:tcPr>
          <w:p w14:paraId="6A02315F"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Relevance</w:t>
            </w:r>
          </w:p>
        </w:tc>
        <w:tc>
          <w:tcPr>
            <w:tcW w:w="0" w:type="auto"/>
            <w:hideMark/>
          </w:tcPr>
          <w:p w14:paraId="712CFB8D"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Directly addresses PQC, SME cybersecurity, healthcare data security, or Australian regulatory context</w:t>
            </w:r>
          </w:p>
        </w:tc>
        <w:tc>
          <w:tcPr>
            <w:tcW w:w="0" w:type="auto"/>
            <w:hideMark/>
          </w:tcPr>
          <w:p w14:paraId="65BB3B98"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General IT topics with no quantum or SME relevance</w:t>
            </w:r>
          </w:p>
        </w:tc>
      </w:tr>
      <w:tr w:rsidR="00687408" w:rsidRPr="00B302BE" w14:paraId="597FA54B" w14:textId="77777777" w:rsidTr="00687408">
        <w:tc>
          <w:tcPr>
            <w:cnfStyle w:val="001000000000" w:firstRow="0" w:lastRow="0" w:firstColumn="1" w:lastColumn="0" w:oddVBand="0" w:evenVBand="0" w:oddHBand="0" w:evenHBand="0" w:firstRowFirstColumn="0" w:firstRowLastColumn="0" w:lastRowFirstColumn="0" w:lastRowLastColumn="0"/>
            <w:tcW w:w="0" w:type="auto"/>
            <w:hideMark/>
          </w:tcPr>
          <w:p w14:paraId="62260DB8"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Language</w:t>
            </w:r>
          </w:p>
        </w:tc>
        <w:tc>
          <w:tcPr>
            <w:tcW w:w="0" w:type="auto"/>
            <w:hideMark/>
          </w:tcPr>
          <w:p w14:paraId="68E94740"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English only</w:t>
            </w:r>
          </w:p>
        </w:tc>
        <w:tc>
          <w:tcPr>
            <w:tcW w:w="0" w:type="auto"/>
            <w:hideMark/>
          </w:tcPr>
          <w:p w14:paraId="585F424F"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Non-English publications</w:t>
            </w:r>
          </w:p>
        </w:tc>
      </w:tr>
      <w:tr w:rsidR="00687408" w:rsidRPr="00B302BE" w14:paraId="45712B88" w14:textId="77777777" w:rsidTr="00687408">
        <w:tc>
          <w:tcPr>
            <w:cnfStyle w:val="001000000000" w:firstRow="0" w:lastRow="0" w:firstColumn="1" w:lastColumn="0" w:oddVBand="0" w:evenVBand="0" w:oddHBand="0" w:evenHBand="0" w:firstRowFirstColumn="0" w:firstRowLastColumn="0" w:lastRowFirstColumn="0" w:lastRowLastColumn="0"/>
            <w:tcW w:w="0" w:type="auto"/>
            <w:hideMark/>
          </w:tcPr>
          <w:p w14:paraId="10F50ADC" w14:textId="77777777" w:rsidR="00687408" w:rsidRPr="00B302BE" w:rsidRDefault="00687408"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Accessibility</w:t>
            </w:r>
          </w:p>
        </w:tc>
        <w:tc>
          <w:tcPr>
            <w:tcW w:w="0" w:type="auto"/>
            <w:hideMark/>
          </w:tcPr>
          <w:p w14:paraId="23AE60E2"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Full text available</w:t>
            </w:r>
          </w:p>
        </w:tc>
        <w:tc>
          <w:tcPr>
            <w:tcW w:w="0" w:type="auto"/>
            <w:hideMark/>
          </w:tcPr>
          <w:p w14:paraId="73C77219" w14:textId="77777777" w:rsidR="00687408" w:rsidRPr="00B302BE" w:rsidRDefault="00687408" w:rsidP="00BB5FF0">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Abstract-only sources with no full text access</w:t>
            </w:r>
          </w:p>
        </w:tc>
      </w:tr>
    </w:tbl>
    <w:p w14:paraId="6D59171C" w14:textId="77777777" w:rsidR="00B302BE" w:rsidRDefault="00B302BE" w:rsidP="00BB5FF0">
      <w:pPr>
        <w:spacing w:line="276" w:lineRule="auto"/>
        <w:rPr>
          <w:rFonts w:ascii="Calibri" w:hAnsi="Calibri" w:cs="Calibri"/>
          <w:b/>
          <w:bCs/>
          <w:lang w:val="en-AU"/>
        </w:rPr>
      </w:pPr>
    </w:p>
    <w:p w14:paraId="0DE324C9" w14:textId="55CE7B32" w:rsidR="00687408" w:rsidRPr="00DB329A" w:rsidRDefault="00687408" w:rsidP="00BB5FF0">
      <w:pPr>
        <w:spacing w:line="276" w:lineRule="auto"/>
        <w:rPr>
          <w:rFonts w:ascii="Calibri" w:hAnsi="Calibri" w:cs="Calibri"/>
          <w:b/>
          <w:bCs/>
          <w:lang w:val="en-AU"/>
        </w:rPr>
      </w:pPr>
      <w:r w:rsidRPr="00DB329A">
        <w:rPr>
          <w:rFonts w:ascii="Calibri" w:hAnsi="Calibri" w:cs="Calibri"/>
          <w:b/>
          <w:bCs/>
          <w:lang w:val="en-AU"/>
        </w:rPr>
        <w:t>PRISMA-lite Flow Diagram</w:t>
      </w:r>
    </w:p>
    <w:p w14:paraId="01E275D7" w14:textId="7B532C68" w:rsidR="003511F7" w:rsidRPr="00DB329A" w:rsidRDefault="003511F7" w:rsidP="00BB5FF0">
      <w:pPr>
        <w:spacing w:line="276" w:lineRule="auto"/>
        <w:rPr>
          <w:rFonts w:ascii="Calibri" w:hAnsi="Calibri" w:cs="Calibri"/>
          <w:b/>
          <w:bCs/>
          <w:lang w:val="en-AU"/>
        </w:rPr>
      </w:pPr>
      <w:r w:rsidRPr="00DB329A">
        <w:rPr>
          <w:rFonts w:ascii="Calibri" w:hAnsi="Calibri" w:cs="Calibri"/>
          <w:b/>
          <w:bCs/>
          <w:lang w:val="en-AU"/>
        </w:rPr>
        <w:t xml:space="preserve">                                                  </w:t>
      </w:r>
      <w:r w:rsidR="00587ECC" w:rsidRPr="00DB329A">
        <w:rPr>
          <w:rFonts w:ascii="Calibri" w:hAnsi="Calibri" w:cs="Calibri"/>
          <w:b/>
          <w:bCs/>
          <w:noProof/>
          <w:lang w:val="en-AU"/>
        </w:rPr>
        <w:drawing>
          <wp:inline distT="0" distB="0" distL="0" distR="0" wp14:anchorId="40DB9D5F" wp14:editId="15B2777C">
            <wp:extent cx="3451434" cy="4531179"/>
            <wp:effectExtent l="0" t="0" r="3175" b="3175"/>
            <wp:docPr id="219760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0366" name="Picture 219760366"/>
                    <pic:cNvPicPr/>
                  </pic:nvPicPr>
                  <pic:blipFill rotWithShape="1">
                    <a:blip r:embed="rId7">
                      <a:extLst>
                        <a:ext uri="{28A0092B-C50C-407E-A947-70E740481C1C}">
                          <a14:useLocalDpi xmlns:a14="http://schemas.microsoft.com/office/drawing/2010/main" val="0"/>
                        </a:ext>
                      </a:extLst>
                    </a:blip>
                    <a:srcRect l="10896" t="330" r="23249" b="41001"/>
                    <a:stretch>
                      <a:fillRect/>
                    </a:stretch>
                  </pic:blipFill>
                  <pic:spPr bwMode="auto">
                    <a:xfrm>
                      <a:off x="0" y="0"/>
                      <a:ext cx="3479219" cy="4567656"/>
                    </a:xfrm>
                    <a:prstGeom prst="rect">
                      <a:avLst/>
                    </a:prstGeom>
                    <a:ln>
                      <a:noFill/>
                    </a:ln>
                    <a:extLst>
                      <a:ext uri="{53640926-AAD7-44D8-BBD7-CCE9431645EC}">
                        <a14:shadowObscured xmlns:a14="http://schemas.microsoft.com/office/drawing/2010/main"/>
                      </a:ext>
                    </a:extLst>
                  </pic:spPr>
                </pic:pic>
              </a:graphicData>
            </a:graphic>
          </wp:inline>
        </w:drawing>
      </w:r>
    </w:p>
    <w:p w14:paraId="6BF0D69D" w14:textId="27FB7B1D" w:rsidR="007979C1" w:rsidRPr="00DB329A" w:rsidRDefault="007979C1" w:rsidP="00BB5FF0">
      <w:pPr>
        <w:spacing w:line="276" w:lineRule="auto"/>
        <w:rPr>
          <w:rFonts w:ascii="Calibri" w:hAnsi="Calibri" w:cs="Calibri"/>
          <w:lang w:val="en-AU"/>
        </w:rPr>
      </w:pPr>
    </w:p>
    <w:p w14:paraId="3F3DE2EE" w14:textId="77777777" w:rsidR="00646F7B" w:rsidRPr="00DB329A" w:rsidRDefault="00646F7B" w:rsidP="00BB5FF0">
      <w:pPr>
        <w:spacing w:line="276" w:lineRule="auto"/>
        <w:rPr>
          <w:rFonts w:ascii="Calibri" w:hAnsi="Calibri" w:cs="Calibri"/>
        </w:rPr>
      </w:pPr>
    </w:p>
    <w:p w14:paraId="6EAB046A" w14:textId="77777777" w:rsidR="00931BAD" w:rsidRPr="00DB329A" w:rsidRDefault="00931BAD" w:rsidP="00BB5FF0">
      <w:pPr>
        <w:pStyle w:val="Heading1"/>
        <w:spacing w:line="276" w:lineRule="auto"/>
        <w:rPr>
          <w:rFonts w:ascii="Calibri" w:hAnsi="Calibri" w:cs="Calibri"/>
        </w:rPr>
      </w:pPr>
    </w:p>
    <w:p w14:paraId="61B0AF7C" w14:textId="77777777" w:rsidR="00931BAD" w:rsidRPr="00DB329A" w:rsidRDefault="00931BAD" w:rsidP="00BB5FF0">
      <w:pPr>
        <w:pStyle w:val="Heading1"/>
        <w:spacing w:line="276" w:lineRule="auto"/>
        <w:rPr>
          <w:rFonts w:ascii="Calibri" w:hAnsi="Calibri" w:cs="Calibri"/>
        </w:rPr>
      </w:pPr>
    </w:p>
    <w:p w14:paraId="26D2332B" w14:textId="77777777" w:rsidR="00971E48" w:rsidRPr="00DB329A" w:rsidRDefault="00971E48" w:rsidP="00BB5FF0">
      <w:pPr>
        <w:pStyle w:val="Heading1"/>
        <w:spacing w:line="276" w:lineRule="auto"/>
        <w:rPr>
          <w:rFonts w:ascii="Calibri" w:hAnsi="Calibri" w:cs="Calibri"/>
        </w:rPr>
      </w:pPr>
    </w:p>
    <w:p w14:paraId="70D92A99" w14:textId="5CA7A783" w:rsidR="05437AA6" w:rsidRPr="00DB329A" w:rsidRDefault="05437AA6" w:rsidP="00BB5FF0">
      <w:pPr>
        <w:pStyle w:val="Heading1"/>
        <w:spacing w:line="276" w:lineRule="auto"/>
        <w:rPr>
          <w:rFonts w:ascii="Calibri" w:hAnsi="Calibri" w:cs="Calibri"/>
        </w:rPr>
      </w:pPr>
      <w:bookmarkStart w:id="9" w:name="_Toc234740555"/>
      <w:r w:rsidRPr="00DB329A">
        <w:rPr>
          <w:rFonts w:ascii="Calibri" w:hAnsi="Calibri" w:cs="Calibri"/>
        </w:rPr>
        <w:t>Appendix D — Concept Matrix</w:t>
      </w:r>
      <w:bookmarkEnd w:id="9"/>
    </w:p>
    <w:p w14:paraId="745600A6" w14:textId="77777777" w:rsidR="00AA039A" w:rsidRPr="00DB329A" w:rsidRDefault="00AA039A" w:rsidP="00BB5FF0">
      <w:pPr>
        <w:spacing w:line="276" w:lineRule="auto"/>
        <w:rPr>
          <w:rFonts w:ascii="Calibri" w:hAnsi="Calibri" w:cs="Calibri"/>
          <w:lang w:val="en-AU"/>
        </w:rPr>
      </w:pPr>
      <w:r w:rsidRPr="00DB329A">
        <w:rPr>
          <w:rFonts w:ascii="Calibri" w:hAnsi="Calibri" w:cs="Calibri"/>
          <w:b/>
          <w:bCs/>
          <w:lang w:val="en-AU"/>
        </w:rPr>
        <w:t>QuantumShield: A Post-Quantum Cryptography Readiness Assessment Platform for Australian Healthcare SMEs</w:t>
      </w:r>
      <w:r w:rsidRPr="00DB329A">
        <w:rPr>
          <w:rFonts w:ascii="Calibri" w:hAnsi="Calibri" w:cs="Calibri"/>
          <w:lang w:val="en-AU"/>
        </w:rPr>
        <w:br/>
        <w:t>PROF909 — IT Project Part A | Master of Information Technology (Advanced)</w:t>
      </w:r>
    </w:p>
    <w:p w14:paraId="2263C5FC" w14:textId="77777777" w:rsidR="00AA039A" w:rsidRPr="00DB329A" w:rsidRDefault="00AA039A" w:rsidP="00BB5FF0">
      <w:pPr>
        <w:spacing w:line="276" w:lineRule="auto"/>
        <w:rPr>
          <w:rFonts w:ascii="Calibri" w:hAnsi="Calibri" w:cs="Calibri"/>
          <w:lang w:val="en-AU"/>
        </w:rPr>
      </w:pPr>
      <w:r w:rsidRPr="00DB329A">
        <w:rPr>
          <w:rFonts w:ascii="Calibri" w:hAnsi="Calibri" w:cs="Calibri"/>
          <w:i/>
          <w:iCs/>
          <w:lang w:val="en-AU"/>
        </w:rPr>
        <w:t xml:space="preserve">Adapted from Webster &amp; Watson (2002). Rows = sources, Columns = themes. </w:t>
      </w:r>
      <w:r w:rsidRPr="00DB329A">
        <w:rPr>
          <w:rFonts w:ascii="Segoe UI Symbol" w:hAnsi="Segoe UI Symbol" w:cs="Segoe UI Symbol"/>
          <w:i/>
          <w:iCs/>
          <w:lang w:val="en-AU"/>
        </w:rPr>
        <w:t>✓</w:t>
      </w:r>
      <w:r w:rsidRPr="00DB329A">
        <w:rPr>
          <w:rFonts w:ascii="Calibri" w:hAnsi="Calibri" w:cs="Calibri"/>
          <w:i/>
          <w:iCs/>
          <w:lang w:val="en-AU"/>
        </w:rPr>
        <w:t xml:space="preserve"> = source directly addresses theme.</w:t>
      </w:r>
    </w:p>
    <w:p w14:paraId="68AF1AC1" w14:textId="72118729" w:rsidR="00AA039A" w:rsidRPr="00DB329A" w:rsidRDefault="00AA039A" w:rsidP="00BB5FF0">
      <w:pPr>
        <w:spacing w:line="276" w:lineRule="auto"/>
        <w:rPr>
          <w:rFonts w:ascii="Calibri" w:hAnsi="Calibri" w:cs="Calibri"/>
          <w:lang w:val="en-AU"/>
        </w:rPr>
      </w:pPr>
    </w:p>
    <w:tbl>
      <w:tblPr>
        <w:tblStyle w:val="GridTable1Light"/>
        <w:tblW w:w="0" w:type="auto"/>
        <w:tblLook w:val="04A0" w:firstRow="1" w:lastRow="0" w:firstColumn="1" w:lastColumn="0" w:noHBand="0" w:noVBand="1"/>
      </w:tblPr>
      <w:tblGrid>
        <w:gridCol w:w="1909"/>
        <w:gridCol w:w="2055"/>
        <w:gridCol w:w="1843"/>
        <w:gridCol w:w="1843"/>
        <w:gridCol w:w="1700"/>
      </w:tblGrid>
      <w:tr w:rsidR="00AA039A" w:rsidRPr="00B302BE" w14:paraId="40D15772" w14:textId="77777777" w:rsidTr="00ED2C85">
        <w:trPr>
          <w:cnfStyle w:val="100000000000" w:firstRow="1" w:lastRow="0" w:firstColumn="0" w:lastColumn="0" w:oddVBand="0" w:evenVBand="0" w:oddHBand="0" w:evenHBand="0" w:firstRowFirstColumn="0" w:firstRowLastColumn="0" w:lastRowFirstColumn="0" w:lastRowLastColumn="0"/>
          <w:trHeight w:val="1172"/>
        </w:trPr>
        <w:tc>
          <w:tcPr>
            <w:cnfStyle w:val="001000000000" w:firstRow="0" w:lastRow="0" w:firstColumn="1" w:lastColumn="0" w:oddVBand="0" w:evenVBand="0" w:oddHBand="0" w:evenHBand="0" w:firstRowFirstColumn="0" w:firstRowLastColumn="0" w:lastRowFirstColumn="0" w:lastRowLastColumn="0"/>
            <w:tcW w:w="0" w:type="auto"/>
            <w:hideMark/>
          </w:tcPr>
          <w:p w14:paraId="20A23F86" w14:textId="77777777" w:rsidR="00AA039A" w:rsidRPr="00B302BE" w:rsidRDefault="00AA039A" w:rsidP="00BB5FF0">
            <w:pPr>
              <w:spacing w:after="160" w:line="276" w:lineRule="auto"/>
              <w:rPr>
                <w:rFonts w:ascii="Calibri" w:hAnsi="Calibri" w:cs="Calibri"/>
                <w:sz w:val="22"/>
                <w:szCs w:val="22"/>
                <w:lang w:val="en-AU"/>
              </w:rPr>
            </w:pPr>
            <w:r w:rsidRPr="00B302BE">
              <w:rPr>
                <w:rFonts w:ascii="Calibri" w:hAnsi="Calibri" w:cs="Calibri"/>
                <w:sz w:val="22"/>
                <w:szCs w:val="22"/>
                <w:lang w:val="en-AU"/>
              </w:rPr>
              <w:t>Source</w:t>
            </w:r>
          </w:p>
        </w:tc>
        <w:tc>
          <w:tcPr>
            <w:tcW w:w="2055" w:type="dxa"/>
            <w:hideMark/>
          </w:tcPr>
          <w:p w14:paraId="0B6BB041" w14:textId="77777777" w:rsidR="00AA039A" w:rsidRPr="00B302BE" w:rsidRDefault="00AA039A"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Theme 1: Quantum Threat Landscape &amp; HNDL</w:t>
            </w:r>
          </w:p>
        </w:tc>
        <w:tc>
          <w:tcPr>
            <w:tcW w:w="1843" w:type="dxa"/>
            <w:hideMark/>
          </w:tcPr>
          <w:p w14:paraId="3D556669" w14:textId="77777777" w:rsidR="00AA039A" w:rsidRPr="00B302BE" w:rsidRDefault="00AA039A"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Theme 2: SME Vulnerability &amp; Awareness Gap</w:t>
            </w:r>
          </w:p>
        </w:tc>
        <w:tc>
          <w:tcPr>
            <w:tcW w:w="1843" w:type="dxa"/>
            <w:hideMark/>
          </w:tcPr>
          <w:p w14:paraId="104697D9" w14:textId="77777777" w:rsidR="00AA039A" w:rsidRPr="00B302BE" w:rsidRDefault="00AA039A"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Theme 3: Existing Solutions &amp; Limitations</w:t>
            </w:r>
          </w:p>
        </w:tc>
        <w:tc>
          <w:tcPr>
            <w:tcW w:w="1700" w:type="dxa"/>
            <w:hideMark/>
          </w:tcPr>
          <w:p w14:paraId="7F3C212A" w14:textId="77777777" w:rsidR="00AA039A" w:rsidRPr="00B302BE" w:rsidRDefault="00AA039A" w:rsidP="00BB5FF0">
            <w:pPr>
              <w:spacing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Calibri" w:hAnsi="Calibri" w:cs="Calibri"/>
                <w:sz w:val="22"/>
                <w:szCs w:val="22"/>
                <w:lang w:val="en-AU"/>
              </w:rPr>
              <w:t>Theme 4: Regulatory &amp; Compliance Drivers</w:t>
            </w:r>
          </w:p>
        </w:tc>
      </w:tr>
      <w:tr w:rsidR="00AA039A" w:rsidRPr="00B302BE" w14:paraId="290D5D92" w14:textId="77777777" w:rsidTr="00ED2C85">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3A148EC0"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Bernstein &amp; Lange (2017)</w:t>
            </w:r>
          </w:p>
        </w:tc>
        <w:tc>
          <w:tcPr>
            <w:tcW w:w="2055" w:type="dxa"/>
            <w:vAlign w:val="center"/>
            <w:hideMark/>
          </w:tcPr>
          <w:p w14:paraId="41B5298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5E06E85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4A0C830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5D0BCEE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0C6B8EF0"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00CB61DD"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Mosca (2018)</w:t>
            </w:r>
          </w:p>
        </w:tc>
        <w:tc>
          <w:tcPr>
            <w:tcW w:w="2055" w:type="dxa"/>
            <w:vAlign w:val="center"/>
            <w:hideMark/>
          </w:tcPr>
          <w:p w14:paraId="15761B2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6EFB6B2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3E4B667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6DA5CB0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282E7056"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15573F2B"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Blanco-Romero et al. (2026)</w:t>
            </w:r>
          </w:p>
        </w:tc>
        <w:tc>
          <w:tcPr>
            <w:tcW w:w="2055" w:type="dxa"/>
            <w:vAlign w:val="center"/>
            <w:hideMark/>
          </w:tcPr>
          <w:p w14:paraId="4F1F0E04"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75698E8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6D8E0AD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7D43AC1B"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4F38D2A3"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189855B5"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Malina et al. (2023)</w:t>
            </w:r>
          </w:p>
        </w:tc>
        <w:tc>
          <w:tcPr>
            <w:tcW w:w="2055" w:type="dxa"/>
            <w:vAlign w:val="center"/>
            <w:hideMark/>
          </w:tcPr>
          <w:p w14:paraId="271CB8A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13E4A57A"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45AD05B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19C254B8"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5F5ABB66"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51F58F1B"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Weber et al. (2024)</w:t>
            </w:r>
          </w:p>
        </w:tc>
        <w:tc>
          <w:tcPr>
            <w:tcW w:w="2055" w:type="dxa"/>
            <w:vAlign w:val="center"/>
            <w:hideMark/>
          </w:tcPr>
          <w:p w14:paraId="547FDB1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480605B5"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2A15DB9A"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23967D8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3C0F194C"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36D40E99"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QNu Labs (2025)</w:t>
            </w:r>
          </w:p>
        </w:tc>
        <w:tc>
          <w:tcPr>
            <w:tcW w:w="2055" w:type="dxa"/>
            <w:vAlign w:val="center"/>
            <w:hideMark/>
          </w:tcPr>
          <w:p w14:paraId="0040D58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524D777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00EDB428"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3A2517CE"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325EAC48"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A4A4749"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CrowdStrike (2025)</w:t>
            </w:r>
          </w:p>
        </w:tc>
        <w:tc>
          <w:tcPr>
            <w:tcW w:w="2055" w:type="dxa"/>
            <w:vAlign w:val="center"/>
            <w:hideMark/>
          </w:tcPr>
          <w:p w14:paraId="7E9D8AB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7CDF8E74"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276901A3"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027089A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556EC61B"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7504185A"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OECD (2024)</w:t>
            </w:r>
          </w:p>
        </w:tc>
        <w:tc>
          <w:tcPr>
            <w:tcW w:w="2055" w:type="dxa"/>
            <w:vAlign w:val="center"/>
            <w:hideMark/>
          </w:tcPr>
          <w:p w14:paraId="39272F8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2F56369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1979FB35"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77A6CF6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74E91334"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15B2DC0B"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lastRenderedPageBreak/>
              <w:t>Bindel et al. (2023)</w:t>
            </w:r>
          </w:p>
        </w:tc>
        <w:tc>
          <w:tcPr>
            <w:tcW w:w="2055" w:type="dxa"/>
            <w:vAlign w:val="center"/>
            <w:hideMark/>
          </w:tcPr>
          <w:p w14:paraId="09B04A7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4B269BF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233A248E"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08991C8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2FCAC73F"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C92A4C2"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Fernandez-Carames &amp; Fraga-Lamas (2020)</w:t>
            </w:r>
          </w:p>
        </w:tc>
        <w:tc>
          <w:tcPr>
            <w:tcW w:w="2055" w:type="dxa"/>
            <w:vAlign w:val="center"/>
            <w:hideMark/>
          </w:tcPr>
          <w:p w14:paraId="10C76B7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4D73590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5D2C1BDE"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0035ECD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1B3D8E26"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114A9402"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Perlner &amp; Cooper (2009)</w:t>
            </w:r>
          </w:p>
        </w:tc>
        <w:tc>
          <w:tcPr>
            <w:tcW w:w="2055" w:type="dxa"/>
            <w:vAlign w:val="center"/>
            <w:hideMark/>
          </w:tcPr>
          <w:p w14:paraId="751CC39A"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6B88D198"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7ADDAE93"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257F2F12"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r>
      <w:tr w:rsidR="00AA039A" w:rsidRPr="00B302BE" w14:paraId="6B19A510"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382FBA8"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NIST (2024) FIPS 203/204/205</w:t>
            </w:r>
          </w:p>
        </w:tc>
        <w:tc>
          <w:tcPr>
            <w:tcW w:w="2055" w:type="dxa"/>
            <w:vAlign w:val="center"/>
            <w:hideMark/>
          </w:tcPr>
          <w:p w14:paraId="72FD2A2E"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754811DB"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68E1F505"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3F81A166"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346F57A3"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51DE3CF0"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ASD (2024) ISM &amp; PQC Guidance</w:t>
            </w:r>
          </w:p>
        </w:tc>
        <w:tc>
          <w:tcPr>
            <w:tcW w:w="2055" w:type="dxa"/>
            <w:vAlign w:val="center"/>
            <w:hideMark/>
          </w:tcPr>
          <w:p w14:paraId="55D4B334"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5BEBC0E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7E55720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2F0380C2"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726F2165"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E81D4CB"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ASD (2024) Essential Eight</w:t>
            </w:r>
          </w:p>
        </w:tc>
        <w:tc>
          <w:tcPr>
            <w:tcW w:w="2055" w:type="dxa"/>
            <w:vAlign w:val="center"/>
            <w:hideMark/>
          </w:tcPr>
          <w:p w14:paraId="45CD3BA6"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6D76293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691821FB"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5DDC95E4"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1C21B483"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C610A2B"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ACSC (2025) Cyber Threat Report</w:t>
            </w:r>
          </w:p>
        </w:tc>
        <w:tc>
          <w:tcPr>
            <w:tcW w:w="2055" w:type="dxa"/>
            <w:vAlign w:val="center"/>
            <w:hideMark/>
          </w:tcPr>
          <w:p w14:paraId="21CFCB72"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3BBC9441"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4C90522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57ACD2D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6C52D972"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5416CBB9"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NCSC (2025) Migration Timelines</w:t>
            </w:r>
          </w:p>
        </w:tc>
        <w:tc>
          <w:tcPr>
            <w:tcW w:w="2055" w:type="dxa"/>
            <w:vAlign w:val="center"/>
            <w:hideMark/>
          </w:tcPr>
          <w:p w14:paraId="099252A6"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4D7966F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4571236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2068B775"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32431DCF"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416CD15E"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CISA (2024) PQC Initiative</w:t>
            </w:r>
          </w:p>
        </w:tc>
        <w:tc>
          <w:tcPr>
            <w:tcW w:w="2055" w:type="dxa"/>
            <w:vAlign w:val="center"/>
            <w:hideMark/>
          </w:tcPr>
          <w:p w14:paraId="06A8CCA8"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14C003C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255DAC5B"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700" w:type="dxa"/>
            <w:vAlign w:val="center"/>
            <w:hideMark/>
          </w:tcPr>
          <w:p w14:paraId="15A9E85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11284A45"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53DB5D9F"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ACS (2023) Code of Ethics</w:t>
            </w:r>
          </w:p>
        </w:tc>
        <w:tc>
          <w:tcPr>
            <w:tcW w:w="2055" w:type="dxa"/>
            <w:vAlign w:val="center"/>
            <w:hideMark/>
          </w:tcPr>
          <w:p w14:paraId="21A38B48"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1A231FED"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508C879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3A3B5492"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1711F392"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51B5FBC0"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DISR (2023) AI Ethics Principles</w:t>
            </w:r>
          </w:p>
        </w:tc>
        <w:tc>
          <w:tcPr>
            <w:tcW w:w="2055" w:type="dxa"/>
            <w:vAlign w:val="center"/>
            <w:hideMark/>
          </w:tcPr>
          <w:p w14:paraId="4D87E7EA"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71D8DCD0"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279C0B7A"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28712129"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r w:rsidR="00AA039A" w:rsidRPr="00B302BE" w14:paraId="39F38CC5" w14:textId="77777777" w:rsidTr="00ED2C85">
        <w:tc>
          <w:tcPr>
            <w:cnfStyle w:val="001000000000" w:firstRow="0" w:lastRow="0" w:firstColumn="1" w:lastColumn="0" w:oddVBand="0" w:evenVBand="0" w:oddHBand="0" w:evenHBand="0" w:firstRowFirstColumn="0" w:firstRowLastColumn="0" w:lastRowFirstColumn="0" w:lastRowLastColumn="0"/>
            <w:tcW w:w="0" w:type="auto"/>
            <w:hideMark/>
          </w:tcPr>
          <w:p w14:paraId="26B9DB11" w14:textId="77777777" w:rsidR="00AA039A" w:rsidRPr="00B302BE" w:rsidRDefault="00AA039A" w:rsidP="00BB5FF0">
            <w:pPr>
              <w:spacing w:after="160" w:line="276" w:lineRule="auto"/>
              <w:rPr>
                <w:rFonts w:ascii="Calibri" w:hAnsi="Calibri" w:cs="Calibri"/>
                <w:b w:val="0"/>
                <w:bCs w:val="0"/>
                <w:sz w:val="22"/>
                <w:szCs w:val="22"/>
                <w:lang w:val="en-AU"/>
              </w:rPr>
            </w:pPr>
            <w:r w:rsidRPr="00B302BE">
              <w:rPr>
                <w:rFonts w:ascii="Calibri" w:hAnsi="Calibri" w:cs="Calibri"/>
                <w:b w:val="0"/>
                <w:bCs w:val="0"/>
                <w:sz w:val="22"/>
                <w:szCs w:val="22"/>
                <w:lang w:val="en-AU"/>
              </w:rPr>
              <w:t>Tuptuk &amp; Hailes (2018)</w:t>
            </w:r>
          </w:p>
        </w:tc>
        <w:tc>
          <w:tcPr>
            <w:tcW w:w="2055" w:type="dxa"/>
            <w:vAlign w:val="center"/>
            <w:hideMark/>
          </w:tcPr>
          <w:p w14:paraId="4315E967"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843" w:type="dxa"/>
            <w:vAlign w:val="center"/>
            <w:hideMark/>
          </w:tcPr>
          <w:p w14:paraId="3AA7E02C"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c>
          <w:tcPr>
            <w:tcW w:w="1843" w:type="dxa"/>
            <w:vAlign w:val="center"/>
            <w:hideMark/>
          </w:tcPr>
          <w:p w14:paraId="554FC3F6"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p>
        </w:tc>
        <w:tc>
          <w:tcPr>
            <w:tcW w:w="1700" w:type="dxa"/>
            <w:vAlign w:val="center"/>
            <w:hideMark/>
          </w:tcPr>
          <w:p w14:paraId="701D953F" w14:textId="77777777" w:rsidR="00AA039A" w:rsidRPr="00B302BE"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AU"/>
              </w:rPr>
            </w:pPr>
            <w:r w:rsidRPr="00B302BE">
              <w:rPr>
                <w:rFonts w:ascii="Segoe UI Symbol" w:hAnsi="Segoe UI Symbol" w:cs="Segoe UI Symbol"/>
                <w:sz w:val="22"/>
                <w:szCs w:val="22"/>
                <w:lang w:val="en-AU"/>
              </w:rPr>
              <w:t>✓</w:t>
            </w:r>
          </w:p>
        </w:tc>
      </w:tr>
    </w:tbl>
    <w:p w14:paraId="4F6C3735" w14:textId="5B575AD9" w:rsidR="00AA039A" w:rsidRPr="00DB329A" w:rsidRDefault="00AA039A" w:rsidP="00BB5FF0">
      <w:pPr>
        <w:spacing w:line="276" w:lineRule="auto"/>
        <w:rPr>
          <w:rFonts w:ascii="Calibri" w:hAnsi="Calibri" w:cs="Calibri"/>
          <w:lang w:val="en-AU"/>
        </w:rPr>
      </w:pPr>
    </w:p>
    <w:p w14:paraId="058EDDB3" w14:textId="77777777" w:rsidR="00AA039A" w:rsidRPr="00DB329A" w:rsidRDefault="00AA039A" w:rsidP="00BB5FF0">
      <w:pPr>
        <w:spacing w:line="276" w:lineRule="auto"/>
        <w:rPr>
          <w:rFonts w:ascii="Calibri" w:hAnsi="Calibri" w:cs="Calibri"/>
          <w:lang w:val="en-AU"/>
        </w:rPr>
      </w:pPr>
      <w:r w:rsidRPr="00DB329A">
        <w:rPr>
          <w:rFonts w:ascii="Calibri" w:hAnsi="Calibri" w:cs="Calibri"/>
          <w:b/>
          <w:bCs/>
          <w:lang w:val="en-AU"/>
        </w:rPr>
        <w:t>Theme coverage summary:</w:t>
      </w:r>
    </w:p>
    <w:tbl>
      <w:tblPr>
        <w:tblStyle w:val="GridTable1Light"/>
        <w:tblW w:w="0" w:type="auto"/>
        <w:tblLook w:val="04A0" w:firstRow="1" w:lastRow="0" w:firstColumn="1" w:lastColumn="0" w:noHBand="0" w:noVBand="1"/>
      </w:tblPr>
      <w:tblGrid>
        <w:gridCol w:w="6091"/>
        <w:gridCol w:w="3118"/>
      </w:tblGrid>
      <w:tr w:rsidR="00AA039A" w:rsidRPr="00DB329A" w14:paraId="716889F0" w14:textId="77777777" w:rsidTr="009165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54DBCFA7" w14:textId="77777777" w:rsidR="00AA039A" w:rsidRPr="00DB329A" w:rsidRDefault="00AA039A" w:rsidP="00BB5FF0">
            <w:pPr>
              <w:spacing w:after="160" w:line="276" w:lineRule="auto"/>
              <w:jc w:val="center"/>
              <w:rPr>
                <w:rFonts w:ascii="Calibri" w:hAnsi="Calibri" w:cs="Calibri"/>
                <w:lang w:val="en-AU"/>
              </w:rPr>
            </w:pPr>
            <w:r w:rsidRPr="00DB329A">
              <w:rPr>
                <w:rFonts w:ascii="Calibri" w:hAnsi="Calibri" w:cs="Calibri"/>
                <w:lang w:val="en-AU"/>
              </w:rPr>
              <w:t>Theme</w:t>
            </w:r>
          </w:p>
        </w:tc>
        <w:tc>
          <w:tcPr>
            <w:tcW w:w="3118" w:type="dxa"/>
            <w:vAlign w:val="center"/>
            <w:hideMark/>
          </w:tcPr>
          <w:p w14:paraId="0FBA1948" w14:textId="77777777" w:rsidR="00AA039A" w:rsidRPr="00DB329A" w:rsidRDefault="00AA039A" w:rsidP="00BB5FF0">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AU"/>
              </w:rPr>
            </w:pPr>
            <w:r w:rsidRPr="00DB329A">
              <w:rPr>
                <w:rFonts w:ascii="Calibri" w:hAnsi="Calibri" w:cs="Calibri"/>
                <w:lang w:val="en-AU"/>
              </w:rPr>
              <w:t>Number of sources</w:t>
            </w:r>
          </w:p>
        </w:tc>
      </w:tr>
      <w:tr w:rsidR="00AA039A" w:rsidRPr="00DB329A" w14:paraId="34B8513F" w14:textId="77777777" w:rsidTr="009165D5">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5280B186" w14:textId="77777777" w:rsidR="00AA039A" w:rsidRPr="00ED2C85" w:rsidRDefault="00AA039A" w:rsidP="00BB5FF0">
            <w:pPr>
              <w:spacing w:after="160" w:line="276" w:lineRule="auto"/>
              <w:rPr>
                <w:rFonts w:ascii="Calibri" w:hAnsi="Calibri" w:cs="Calibri"/>
                <w:sz w:val="22"/>
                <w:szCs w:val="22"/>
                <w:lang w:val="en-AU"/>
              </w:rPr>
            </w:pPr>
            <w:r w:rsidRPr="00ED2C85">
              <w:rPr>
                <w:rFonts w:ascii="Calibri" w:hAnsi="Calibri" w:cs="Calibri"/>
                <w:sz w:val="22"/>
                <w:szCs w:val="22"/>
                <w:lang w:val="en-AU"/>
              </w:rPr>
              <w:t>Theme 1: Quantum Threat Landscape &amp; HNDL</w:t>
            </w:r>
          </w:p>
        </w:tc>
        <w:tc>
          <w:tcPr>
            <w:tcW w:w="3118" w:type="dxa"/>
            <w:vAlign w:val="center"/>
            <w:hideMark/>
          </w:tcPr>
          <w:p w14:paraId="2E274CC1" w14:textId="77777777" w:rsidR="00AA039A" w:rsidRPr="00DB329A"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AU"/>
              </w:rPr>
            </w:pPr>
            <w:r w:rsidRPr="00DB329A">
              <w:rPr>
                <w:rFonts w:ascii="Calibri" w:hAnsi="Calibri" w:cs="Calibri"/>
                <w:lang w:val="en-AU"/>
              </w:rPr>
              <w:t>10</w:t>
            </w:r>
          </w:p>
        </w:tc>
      </w:tr>
      <w:tr w:rsidR="00AA039A" w:rsidRPr="00DB329A" w14:paraId="36EFE826" w14:textId="77777777" w:rsidTr="009165D5">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1E119C28" w14:textId="77777777" w:rsidR="00AA039A" w:rsidRPr="00ED2C85" w:rsidRDefault="00AA039A" w:rsidP="00BB5FF0">
            <w:pPr>
              <w:spacing w:after="160" w:line="276" w:lineRule="auto"/>
              <w:rPr>
                <w:rFonts w:ascii="Calibri" w:hAnsi="Calibri" w:cs="Calibri"/>
                <w:sz w:val="22"/>
                <w:szCs w:val="22"/>
                <w:lang w:val="en-AU"/>
              </w:rPr>
            </w:pPr>
            <w:r w:rsidRPr="00ED2C85">
              <w:rPr>
                <w:rFonts w:ascii="Calibri" w:hAnsi="Calibri" w:cs="Calibri"/>
                <w:sz w:val="22"/>
                <w:szCs w:val="22"/>
                <w:lang w:val="en-AU"/>
              </w:rPr>
              <w:t>Theme 2: SME Vulnerability &amp; Awareness Gap</w:t>
            </w:r>
          </w:p>
        </w:tc>
        <w:tc>
          <w:tcPr>
            <w:tcW w:w="3118" w:type="dxa"/>
            <w:vAlign w:val="center"/>
            <w:hideMark/>
          </w:tcPr>
          <w:p w14:paraId="24A05BD6" w14:textId="77777777" w:rsidR="00AA039A" w:rsidRPr="00DB329A"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AU"/>
              </w:rPr>
            </w:pPr>
            <w:r w:rsidRPr="00DB329A">
              <w:rPr>
                <w:rFonts w:ascii="Calibri" w:hAnsi="Calibri" w:cs="Calibri"/>
                <w:lang w:val="en-AU"/>
              </w:rPr>
              <w:t>8</w:t>
            </w:r>
          </w:p>
        </w:tc>
      </w:tr>
      <w:tr w:rsidR="00AA039A" w:rsidRPr="00DB329A" w14:paraId="3E1B76A1" w14:textId="77777777" w:rsidTr="009165D5">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2CA9D79E" w14:textId="77777777" w:rsidR="00AA039A" w:rsidRPr="00ED2C85" w:rsidRDefault="00AA039A" w:rsidP="00BB5FF0">
            <w:pPr>
              <w:spacing w:after="160" w:line="276" w:lineRule="auto"/>
              <w:rPr>
                <w:rFonts w:ascii="Calibri" w:hAnsi="Calibri" w:cs="Calibri"/>
                <w:sz w:val="22"/>
                <w:szCs w:val="22"/>
                <w:lang w:val="en-AU"/>
              </w:rPr>
            </w:pPr>
            <w:r w:rsidRPr="00ED2C85">
              <w:rPr>
                <w:rFonts w:ascii="Calibri" w:hAnsi="Calibri" w:cs="Calibri"/>
                <w:sz w:val="22"/>
                <w:szCs w:val="22"/>
                <w:lang w:val="en-AU"/>
              </w:rPr>
              <w:t>Theme 3: Existing Solutions &amp; Limitations</w:t>
            </w:r>
          </w:p>
        </w:tc>
        <w:tc>
          <w:tcPr>
            <w:tcW w:w="3118" w:type="dxa"/>
            <w:vAlign w:val="center"/>
            <w:hideMark/>
          </w:tcPr>
          <w:p w14:paraId="0AC18BC3" w14:textId="77777777" w:rsidR="00AA039A" w:rsidRPr="00DB329A"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AU"/>
              </w:rPr>
            </w:pPr>
            <w:r w:rsidRPr="00DB329A">
              <w:rPr>
                <w:rFonts w:ascii="Calibri" w:hAnsi="Calibri" w:cs="Calibri"/>
                <w:lang w:val="en-AU"/>
              </w:rPr>
              <w:t>6</w:t>
            </w:r>
          </w:p>
        </w:tc>
      </w:tr>
      <w:tr w:rsidR="00AA039A" w:rsidRPr="00DB329A" w14:paraId="2A53EACD" w14:textId="77777777" w:rsidTr="009165D5">
        <w:tc>
          <w:tcPr>
            <w:cnfStyle w:val="001000000000" w:firstRow="0" w:lastRow="0" w:firstColumn="1" w:lastColumn="0" w:oddVBand="0" w:evenVBand="0" w:oddHBand="0" w:evenHBand="0" w:firstRowFirstColumn="0" w:firstRowLastColumn="0" w:lastRowFirstColumn="0" w:lastRowLastColumn="0"/>
            <w:tcW w:w="6091" w:type="dxa"/>
            <w:vAlign w:val="center"/>
            <w:hideMark/>
          </w:tcPr>
          <w:p w14:paraId="3EA2E092" w14:textId="77777777" w:rsidR="00AA039A" w:rsidRPr="00ED2C85" w:rsidRDefault="00AA039A" w:rsidP="00BB5FF0">
            <w:pPr>
              <w:spacing w:after="160" w:line="276" w:lineRule="auto"/>
              <w:rPr>
                <w:rFonts w:ascii="Calibri" w:hAnsi="Calibri" w:cs="Calibri"/>
                <w:sz w:val="22"/>
                <w:szCs w:val="22"/>
                <w:lang w:val="en-AU"/>
              </w:rPr>
            </w:pPr>
            <w:r w:rsidRPr="00ED2C85">
              <w:rPr>
                <w:rFonts w:ascii="Calibri" w:hAnsi="Calibri" w:cs="Calibri"/>
                <w:sz w:val="22"/>
                <w:szCs w:val="22"/>
                <w:lang w:val="en-AU"/>
              </w:rPr>
              <w:lastRenderedPageBreak/>
              <w:t>Theme 4: Regulatory &amp; Compliance Drivers</w:t>
            </w:r>
          </w:p>
        </w:tc>
        <w:tc>
          <w:tcPr>
            <w:tcW w:w="3118" w:type="dxa"/>
            <w:vAlign w:val="center"/>
            <w:hideMark/>
          </w:tcPr>
          <w:p w14:paraId="098E11F7" w14:textId="77777777" w:rsidR="00AA039A" w:rsidRPr="00DB329A" w:rsidRDefault="00AA039A" w:rsidP="00BB5FF0">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AU"/>
              </w:rPr>
            </w:pPr>
            <w:r w:rsidRPr="00DB329A">
              <w:rPr>
                <w:rFonts w:ascii="Calibri" w:hAnsi="Calibri" w:cs="Calibri"/>
                <w:lang w:val="en-AU"/>
              </w:rPr>
              <w:t>9</w:t>
            </w:r>
          </w:p>
        </w:tc>
      </w:tr>
    </w:tbl>
    <w:p w14:paraId="677DA025" w14:textId="77777777" w:rsidR="00931BAD" w:rsidRPr="00DB329A" w:rsidRDefault="00931BAD" w:rsidP="00BB5FF0">
      <w:pPr>
        <w:spacing w:line="276" w:lineRule="auto"/>
        <w:rPr>
          <w:rFonts w:ascii="Calibri" w:hAnsi="Calibri" w:cs="Calibri"/>
        </w:rPr>
      </w:pPr>
    </w:p>
    <w:p w14:paraId="623EC45C" w14:textId="6939CF64" w:rsidR="05437AA6" w:rsidRPr="00DB329A" w:rsidRDefault="05437AA6" w:rsidP="00BB5FF0">
      <w:pPr>
        <w:pStyle w:val="Heading1"/>
        <w:spacing w:line="276" w:lineRule="auto"/>
        <w:rPr>
          <w:rFonts w:ascii="Calibri" w:hAnsi="Calibri" w:cs="Calibri"/>
        </w:rPr>
      </w:pPr>
      <w:bookmarkStart w:id="10" w:name="_Toc234740556"/>
      <w:r w:rsidRPr="00DB329A">
        <w:rPr>
          <w:rFonts w:ascii="Calibri" w:hAnsi="Calibri" w:cs="Calibri"/>
        </w:rPr>
        <w:t>Appendix E — AI Use Statement</w:t>
      </w:r>
      <w:bookmarkEnd w:id="10"/>
    </w:p>
    <w:p w14:paraId="794BC2DE" w14:textId="45F775A1" w:rsidR="008F3A21" w:rsidRPr="00DB329A" w:rsidRDefault="008F3A21"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QuantumShield: A Post-Quantum Cryptography Readiness Assessment Platform for Australian Healthcare SMEs</w:t>
      </w:r>
      <w:r w:rsidRPr="00DB329A">
        <w:rPr>
          <w:rFonts w:ascii="Calibri" w:eastAsia="Times New Roman" w:hAnsi="Calibri" w:cs="Calibri"/>
          <w:lang w:val="en-AU" w:eastAsia="en-GB"/>
        </w:rPr>
        <w:br/>
        <w:t>PROF909 — IT Project Part A | Master of Information Technology (Advanced)</w:t>
      </w:r>
    </w:p>
    <w:p w14:paraId="6A7FA7C5" w14:textId="77777777" w:rsidR="008F3A21" w:rsidRPr="00DB329A" w:rsidRDefault="008F3A21" w:rsidP="00BB5FF0">
      <w:pPr>
        <w:spacing w:before="100" w:beforeAutospacing="1" w:after="100" w:afterAutospacing="1" w:line="276" w:lineRule="auto"/>
        <w:rPr>
          <w:rFonts w:ascii="Calibri" w:eastAsia="Times New Roman" w:hAnsi="Calibri" w:cs="Calibri"/>
          <w:lang w:val="en-AU" w:eastAsia="en-GB"/>
        </w:rPr>
      </w:pPr>
      <w:r w:rsidRPr="00DB329A">
        <w:rPr>
          <w:rFonts w:ascii="Calibri" w:eastAsia="Times New Roman" w:hAnsi="Calibri" w:cs="Calibri"/>
          <w:b/>
          <w:bCs/>
          <w:lang w:val="en-AU" w:eastAsia="en-GB"/>
        </w:rPr>
        <w:t>Overview</w:t>
      </w:r>
    </w:p>
    <w:p w14:paraId="3E542AC6"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This statement transparently discloses all artificial intelligence tools used during the research, drafting, and production of this assessment, in accordance with PROF909 academic integrity requirements.</w:t>
      </w:r>
    </w:p>
    <w:p w14:paraId="3DF9D196" w14:textId="7407E24F" w:rsidR="008F3A21" w:rsidRPr="00ED2C85" w:rsidRDefault="008F3A21" w:rsidP="00BB5FF0">
      <w:pPr>
        <w:spacing w:after="0" w:line="276" w:lineRule="auto"/>
        <w:jc w:val="both"/>
        <w:rPr>
          <w:rFonts w:ascii="Calibri" w:eastAsia="Times New Roman" w:hAnsi="Calibri" w:cs="Calibri"/>
          <w:sz w:val="22"/>
          <w:szCs w:val="22"/>
          <w:lang w:val="en-AU" w:eastAsia="en-GB"/>
        </w:rPr>
      </w:pPr>
    </w:p>
    <w:p w14:paraId="33EA314C"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b/>
          <w:bCs/>
          <w:sz w:val="22"/>
          <w:szCs w:val="22"/>
          <w:lang w:val="en-AU" w:eastAsia="en-GB"/>
        </w:rPr>
        <w:t>Tools Used</w:t>
      </w:r>
    </w:p>
    <w:tbl>
      <w:tblPr>
        <w:tblStyle w:val="GridTable1Light"/>
        <w:tblW w:w="0" w:type="auto"/>
        <w:tblLook w:val="04A0" w:firstRow="1" w:lastRow="0" w:firstColumn="1" w:lastColumn="0" w:noHBand="0" w:noVBand="1"/>
      </w:tblPr>
      <w:tblGrid>
        <w:gridCol w:w="2015"/>
        <w:gridCol w:w="4410"/>
        <w:gridCol w:w="2925"/>
      </w:tblGrid>
      <w:tr w:rsidR="008F3A21" w:rsidRPr="00ED2C85" w14:paraId="0588CF22" w14:textId="77777777" w:rsidTr="008F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2073A"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Tool</w:t>
            </w:r>
          </w:p>
        </w:tc>
        <w:tc>
          <w:tcPr>
            <w:tcW w:w="0" w:type="auto"/>
            <w:hideMark/>
          </w:tcPr>
          <w:p w14:paraId="438C1503" w14:textId="77777777" w:rsidR="008F3A21" w:rsidRPr="00ED2C85" w:rsidRDefault="008F3A21" w:rsidP="00BB5FF0">
            <w:pPr>
              <w:spacing w:line="276"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Purpose</w:t>
            </w:r>
          </w:p>
        </w:tc>
        <w:tc>
          <w:tcPr>
            <w:tcW w:w="0" w:type="auto"/>
            <w:hideMark/>
          </w:tcPr>
          <w:p w14:paraId="700EDEDE" w14:textId="77777777" w:rsidR="008F3A21" w:rsidRPr="00ED2C85" w:rsidRDefault="008F3A21" w:rsidP="00BB5FF0">
            <w:pPr>
              <w:spacing w:line="276"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How it was used</w:t>
            </w:r>
          </w:p>
        </w:tc>
      </w:tr>
      <w:tr w:rsidR="008F3A21" w:rsidRPr="00ED2C85" w14:paraId="62AECA59"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6C7EEECA"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Claude (Anthropic, claude.ai)</w:t>
            </w:r>
          </w:p>
        </w:tc>
        <w:tc>
          <w:tcPr>
            <w:tcW w:w="0" w:type="auto"/>
            <w:hideMark/>
          </w:tcPr>
          <w:p w14:paraId="5C9BB85D"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Research guidance, section drafting, framework application, reference identification</w:t>
            </w:r>
          </w:p>
        </w:tc>
        <w:tc>
          <w:tcPr>
            <w:tcW w:w="0" w:type="auto"/>
            <w:hideMark/>
          </w:tcPr>
          <w:p w14:paraId="5CFCA0B9"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Primary AI assistant used throughout the project</w:t>
            </w:r>
          </w:p>
        </w:tc>
      </w:tr>
      <w:tr w:rsidR="008F3A21" w:rsidRPr="00ED2C85" w14:paraId="0FE3F341"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66959CCF"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Google Scholar</w:t>
            </w:r>
          </w:p>
        </w:tc>
        <w:tc>
          <w:tcPr>
            <w:tcW w:w="0" w:type="auto"/>
            <w:hideMark/>
          </w:tcPr>
          <w:p w14:paraId="14ADA14B"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Academic source identification and verification</w:t>
            </w:r>
          </w:p>
        </w:tc>
        <w:tc>
          <w:tcPr>
            <w:tcW w:w="0" w:type="auto"/>
            <w:hideMark/>
          </w:tcPr>
          <w:p w14:paraId="641189E5"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Used to locate and verify all peer-reviewed sources</w:t>
            </w:r>
          </w:p>
        </w:tc>
      </w:tr>
    </w:tbl>
    <w:p w14:paraId="5BCDB474"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b/>
          <w:bCs/>
          <w:sz w:val="22"/>
          <w:szCs w:val="22"/>
          <w:lang w:val="en-AU" w:eastAsia="en-GB"/>
        </w:rPr>
        <w:t>Specific Uses of Claude</w:t>
      </w:r>
    </w:p>
    <w:tbl>
      <w:tblPr>
        <w:tblStyle w:val="GridTable1Light"/>
        <w:tblW w:w="0" w:type="auto"/>
        <w:tblLook w:val="04A0" w:firstRow="1" w:lastRow="0" w:firstColumn="1" w:lastColumn="0" w:noHBand="0" w:noVBand="1"/>
      </w:tblPr>
      <w:tblGrid>
        <w:gridCol w:w="1573"/>
        <w:gridCol w:w="2820"/>
        <w:gridCol w:w="1918"/>
        <w:gridCol w:w="3039"/>
      </w:tblGrid>
      <w:tr w:rsidR="008F3A21" w:rsidRPr="00ED2C85" w14:paraId="665761C1" w14:textId="77777777" w:rsidTr="008F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0A479"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Stage</w:t>
            </w:r>
          </w:p>
        </w:tc>
        <w:tc>
          <w:tcPr>
            <w:tcW w:w="0" w:type="auto"/>
            <w:hideMark/>
          </w:tcPr>
          <w:p w14:paraId="3102AA19" w14:textId="77777777" w:rsidR="008F3A21" w:rsidRPr="00ED2C85" w:rsidRDefault="008F3A21" w:rsidP="00BB5FF0">
            <w:pPr>
              <w:spacing w:line="276"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Prompt Type Used</w:t>
            </w:r>
          </w:p>
        </w:tc>
        <w:tc>
          <w:tcPr>
            <w:tcW w:w="0" w:type="auto"/>
            <w:hideMark/>
          </w:tcPr>
          <w:p w14:paraId="4E444963" w14:textId="77777777" w:rsidR="008F3A21" w:rsidRPr="00ED2C85" w:rsidRDefault="008F3A21" w:rsidP="00BB5FF0">
            <w:pPr>
              <w:spacing w:line="276"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What Claude Produced</w:t>
            </w:r>
          </w:p>
        </w:tc>
        <w:tc>
          <w:tcPr>
            <w:tcW w:w="0" w:type="auto"/>
            <w:hideMark/>
          </w:tcPr>
          <w:p w14:paraId="2CC03FAC" w14:textId="77777777" w:rsidR="008F3A21" w:rsidRPr="00ED2C85" w:rsidRDefault="008F3A21" w:rsidP="00BB5FF0">
            <w:pPr>
              <w:spacing w:line="276" w:lineRule="auto"/>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What I Verified / Rewrote</w:t>
            </w:r>
          </w:p>
        </w:tc>
      </w:tr>
      <w:tr w:rsidR="008F3A21" w:rsidRPr="00ED2C85" w14:paraId="034666C3"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414E12C3"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Source identification</w:t>
            </w:r>
          </w:p>
        </w:tc>
        <w:tc>
          <w:tcPr>
            <w:tcW w:w="0" w:type="auto"/>
            <w:hideMark/>
          </w:tcPr>
          <w:p w14:paraId="6B32A106"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Asked Claude to identify 20+ relevant sources across academic and industry categories</w:t>
            </w:r>
          </w:p>
        </w:tc>
        <w:tc>
          <w:tcPr>
            <w:tcW w:w="0" w:type="auto"/>
            <w:hideMark/>
          </w:tcPr>
          <w:p w14:paraId="10584963"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 list of sources with author, year, title, and location</w:t>
            </w:r>
          </w:p>
        </w:tc>
        <w:tc>
          <w:tcPr>
            <w:tcW w:w="0" w:type="auto"/>
            <w:hideMark/>
          </w:tcPr>
          <w:p w14:paraId="26040527"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Personally located and opened each source to confirm it exists and is accessible</w:t>
            </w:r>
          </w:p>
        </w:tc>
      </w:tr>
      <w:tr w:rsidR="008F3A21" w:rsidRPr="00ED2C85" w14:paraId="5B0D2A8F"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3EE10628"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Section drafting</w:t>
            </w:r>
          </w:p>
        </w:tc>
        <w:tc>
          <w:tcPr>
            <w:tcW w:w="0" w:type="auto"/>
            <w:hideMark/>
          </w:tcPr>
          <w:p w14:paraId="59B5F2AA"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Asked Claude to draft each section of the evidence review based on the QuantumShield project proposal</w:t>
            </w:r>
          </w:p>
        </w:tc>
        <w:tc>
          <w:tcPr>
            <w:tcW w:w="0" w:type="auto"/>
            <w:hideMark/>
          </w:tcPr>
          <w:p w14:paraId="342B5533"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First draft of Introduction, Themes 1–4, Sections 5–7</w:t>
            </w:r>
          </w:p>
        </w:tc>
        <w:tc>
          <w:tcPr>
            <w:tcW w:w="0" w:type="auto"/>
            <w:hideMark/>
          </w:tcPr>
          <w:p w14:paraId="7D705F83"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Read each section carefully, checked factual accuracy against actual sources, modified wording to reflect my understanding</w:t>
            </w:r>
          </w:p>
        </w:tc>
      </w:tr>
      <w:tr w:rsidR="008F3A21" w:rsidRPr="00ED2C85" w14:paraId="234838BC"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2326A776"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Framework application</w:t>
            </w:r>
          </w:p>
        </w:tc>
        <w:tc>
          <w:tcPr>
            <w:tcW w:w="0" w:type="auto"/>
            <w:hideMark/>
          </w:tcPr>
          <w:p w14:paraId="1CF328D8"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 xml:space="preserve">Asked Claude to apply NIST CSF 2.0, ASD Essential Eight, </w:t>
            </w:r>
            <w:r w:rsidRPr="00ED2C85">
              <w:rPr>
                <w:rFonts w:ascii="Calibri" w:eastAsia="Times New Roman" w:hAnsi="Calibri" w:cs="Calibri"/>
                <w:sz w:val="22"/>
                <w:szCs w:val="22"/>
                <w:lang w:val="en-AU" w:eastAsia="en-GB"/>
              </w:rPr>
              <w:lastRenderedPageBreak/>
              <w:t>and competitor feature matrix to the project</w:t>
            </w:r>
          </w:p>
        </w:tc>
        <w:tc>
          <w:tcPr>
            <w:tcW w:w="0" w:type="auto"/>
            <w:hideMark/>
          </w:tcPr>
          <w:p w14:paraId="3772AB2E"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lastRenderedPageBreak/>
              <w:t>Framework tables with gap analysis and key insights</w:t>
            </w:r>
          </w:p>
        </w:tc>
        <w:tc>
          <w:tcPr>
            <w:tcW w:w="0" w:type="auto"/>
            <w:hideMark/>
          </w:tcPr>
          <w:p w14:paraId="451DCCD7"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Verified framework descriptions against original NIST and ASD documentation</w:t>
            </w:r>
          </w:p>
        </w:tc>
      </w:tr>
      <w:tr w:rsidR="008F3A21" w:rsidRPr="00ED2C85" w14:paraId="6EEDD8A5"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24B55BF7"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Appendix production</w:t>
            </w:r>
          </w:p>
        </w:tc>
        <w:tc>
          <w:tcPr>
            <w:tcW w:w="0" w:type="auto"/>
            <w:hideMark/>
          </w:tcPr>
          <w:p w14:paraId="5C95DA23"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Asked Claude to draft Project Charter, Executive Brief, PRISMA-lite, Concept Matrix, and AI Use Statement</w:t>
            </w:r>
          </w:p>
        </w:tc>
        <w:tc>
          <w:tcPr>
            <w:tcW w:w="0" w:type="auto"/>
            <w:hideMark/>
          </w:tcPr>
          <w:p w14:paraId="7BDE4E86"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First drafts of all appendices</w:t>
            </w:r>
          </w:p>
        </w:tc>
        <w:tc>
          <w:tcPr>
            <w:tcW w:w="0" w:type="auto"/>
            <w:hideMark/>
          </w:tcPr>
          <w:p w14:paraId="1A775468"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Reviewed all content for accuracy, adjusted scope and stakeholder details to reflect actual project</w:t>
            </w:r>
          </w:p>
        </w:tc>
      </w:tr>
      <w:tr w:rsidR="008F3A21" w:rsidRPr="00ED2C85" w14:paraId="73D32CE2" w14:textId="77777777" w:rsidTr="008F3A21">
        <w:tc>
          <w:tcPr>
            <w:cnfStyle w:val="001000000000" w:firstRow="0" w:lastRow="0" w:firstColumn="1" w:lastColumn="0" w:oddVBand="0" w:evenVBand="0" w:oddHBand="0" w:evenHBand="0" w:firstRowFirstColumn="0" w:firstRowLastColumn="0" w:lastRowFirstColumn="0" w:lastRowLastColumn="0"/>
            <w:tcW w:w="0" w:type="auto"/>
            <w:hideMark/>
          </w:tcPr>
          <w:p w14:paraId="359D1AFE" w14:textId="77777777" w:rsidR="008F3A21" w:rsidRPr="00ED2C85" w:rsidRDefault="008F3A21" w:rsidP="00BB5FF0">
            <w:pPr>
              <w:spacing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Reference formatting</w:t>
            </w:r>
          </w:p>
        </w:tc>
        <w:tc>
          <w:tcPr>
            <w:tcW w:w="0" w:type="auto"/>
            <w:hideMark/>
          </w:tcPr>
          <w:p w14:paraId="67214F13"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Asked Claude to produce a Harvard-formatted reference list</w:t>
            </w:r>
          </w:p>
        </w:tc>
        <w:tc>
          <w:tcPr>
            <w:tcW w:w="0" w:type="auto"/>
            <w:hideMark/>
          </w:tcPr>
          <w:p w14:paraId="03E36CB7"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Full reference list in Harvard style</w:t>
            </w:r>
          </w:p>
        </w:tc>
        <w:tc>
          <w:tcPr>
            <w:tcW w:w="0" w:type="auto"/>
            <w:hideMark/>
          </w:tcPr>
          <w:p w14:paraId="46CE4FAB" w14:textId="77777777" w:rsidR="008F3A21" w:rsidRPr="00ED2C85" w:rsidRDefault="008F3A21" w:rsidP="00BB5FF0">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Will verify each reference individually against the original source before submission</w:t>
            </w:r>
          </w:p>
        </w:tc>
      </w:tr>
    </w:tbl>
    <w:p w14:paraId="1A180E36"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b/>
          <w:bCs/>
          <w:sz w:val="22"/>
          <w:szCs w:val="22"/>
          <w:lang w:val="en-AU" w:eastAsia="en-GB"/>
        </w:rPr>
        <w:t>Sample Prompts Used</w:t>
      </w:r>
    </w:p>
    <w:p w14:paraId="27E5DC13" w14:textId="77777777" w:rsidR="008F3A21" w:rsidRPr="00ED2C85" w:rsidRDefault="008F3A21" w:rsidP="00BB5FF0">
      <w:pPr>
        <w:numPr>
          <w:ilvl w:val="0"/>
          <w:numId w:val="4"/>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i/>
          <w:iCs/>
          <w:sz w:val="22"/>
          <w:szCs w:val="22"/>
          <w:lang w:val="en-AU" w:eastAsia="en-GB"/>
        </w:rPr>
        <w:t>"Draft Theme 1 of the QuantumShield A1 — The quantum computing threat landscape (~500 words, synthesising sources, not summarising)"</w:t>
      </w:r>
    </w:p>
    <w:p w14:paraId="3838900E" w14:textId="77777777" w:rsidR="008F3A21" w:rsidRPr="00ED2C85" w:rsidRDefault="008F3A21" w:rsidP="00BB5FF0">
      <w:pPr>
        <w:numPr>
          <w:ilvl w:val="0"/>
          <w:numId w:val="4"/>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i/>
          <w:iCs/>
          <w:sz w:val="22"/>
          <w:szCs w:val="22"/>
          <w:lang w:val="en-AU" w:eastAsia="en-GB"/>
        </w:rPr>
        <w:t>"Write Section 5 gap analysis for QuantumShield A1 using competitor feature matrix, NIST CSF 2.0, and ASD Essential Eight with tables"</w:t>
      </w:r>
    </w:p>
    <w:p w14:paraId="7F54637B" w14:textId="65C69A40" w:rsidR="008F3A21" w:rsidRPr="00ED2C85" w:rsidRDefault="008F3A21" w:rsidP="00BB5FF0">
      <w:pPr>
        <w:numPr>
          <w:ilvl w:val="0"/>
          <w:numId w:val="4"/>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i/>
          <w:iCs/>
          <w:sz w:val="22"/>
          <w:szCs w:val="22"/>
          <w:lang w:val="en-AU" w:eastAsia="en-GB"/>
        </w:rPr>
        <w:t>"Write the Project Charter (Appendix A) for QuantumShield A1 — problem statement, value prop, scope in/out, stakeholders, SMART metrics, top 3 risks"</w:t>
      </w:r>
    </w:p>
    <w:p w14:paraId="63795DA4"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b/>
          <w:bCs/>
          <w:sz w:val="22"/>
          <w:szCs w:val="22"/>
          <w:lang w:val="en-AU" w:eastAsia="en-GB"/>
        </w:rPr>
        <w:t>What I Did Not Use AI For</w:t>
      </w:r>
    </w:p>
    <w:p w14:paraId="420A5570" w14:textId="77777777" w:rsidR="008F3A21" w:rsidRPr="00ED2C85" w:rsidRDefault="008F3A21" w:rsidP="00BB5FF0">
      <w:pPr>
        <w:numPr>
          <w:ilvl w:val="0"/>
          <w:numId w:val="5"/>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Final judgment on source credibility and inclusion decisions</w:t>
      </w:r>
    </w:p>
    <w:p w14:paraId="217C8301" w14:textId="77777777" w:rsidR="008F3A21" w:rsidRPr="00ED2C85" w:rsidRDefault="008F3A21" w:rsidP="00BB5FF0">
      <w:pPr>
        <w:numPr>
          <w:ilvl w:val="0"/>
          <w:numId w:val="5"/>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Verification that cited sources exist and are accurately described</w:t>
      </w:r>
    </w:p>
    <w:p w14:paraId="40BA849F" w14:textId="77777777" w:rsidR="008F3A21" w:rsidRPr="00ED2C85" w:rsidRDefault="008F3A21" w:rsidP="00BB5FF0">
      <w:pPr>
        <w:numPr>
          <w:ilvl w:val="0"/>
          <w:numId w:val="5"/>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Modifications to content to reflect my own project context and understanding</w:t>
      </w:r>
    </w:p>
    <w:p w14:paraId="4E7E97A2" w14:textId="77777777" w:rsidR="008F3A21" w:rsidRPr="00ED2C85" w:rsidRDefault="008F3A21" w:rsidP="00BB5FF0">
      <w:pPr>
        <w:numPr>
          <w:ilvl w:val="0"/>
          <w:numId w:val="5"/>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Final proofreading and formatting decisions</w:t>
      </w:r>
    </w:p>
    <w:p w14:paraId="3DE11D55" w14:textId="19BE0A6C" w:rsidR="008F3A21" w:rsidRPr="00ED2C85" w:rsidRDefault="008F3A21" w:rsidP="00BB5FF0">
      <w:pPr>
        <w:numPr>
          <w:ilvl w:val="0"/>
          <w:numId w:val="5"/>
        </w:num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Submission preparation and file naming</w:t>
      </w:r>
    </w:p>
    <w:p w14:paraId="002F08A5" w14:textId="77777777" w:rsidR="008F3A21" w:rsidRPr="00ED2C85"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b/>
          <w:bCs/>
          <w:sz w:val="22"/>
          <w:szCs w:val="22"/>
          <w:lang w:val="en-AU" w:eastAsia="en-GB"/>
        </w:rPr>
        <w:t>Academic Integrity Statement</w:t>
      </w:r>
    </w:p>
    <w:p w14:paraId="276B4F5A" w14:textId="0E1B1BB6" w:rsidR="008F3A21" w:rsidRDefault="008F3A21" w:rsidP="00BB5FF0">
      <w:pPr>
        <w:spacing w:before="100" w:beforeAutospacing="1" w:after="100" w:afterAutospacing="1" w:line="276" w:lineRule="auto"/>
        <w:jc w:val="both"/>
        <w:rPr>
          <w:rFonts w:ascii="Calibri" w:eastAsia="Times New Roman" w:hAnsi="Calibri" w:cs="Calibri"/>
          <w:sz w:val="22"/>
          <w:szCs w:val="22"/>
          <w:lang w:val="en-AU" w:eastAsia="en-GB"/>
        </w:rPr>
      </w:pPr>
      <w:r w:rsidRPr="00ED2C85">
        <w:rPr>
          <w:rFonts w:ascii="Calibri" w:eastAsia="Times New Roman" w:hAnsi="Calibri" w:cs="Calibri"/>
          <w:sz w:val="22"/>
          <w:szCs w:val="22"/>
          <w:lang w:val="en-AU" w:eastAsia="en-GB"/>
        </w:rPr>
        <w:t xml:space="preserve">All AI-generated content in this submission was reviewed, verified against primary sources, and modified by the student before inclusion. AI tools were used as </w:t>
      </w:r>
      <w:r w:rsidR="00ED2C85" w:rsidRPr="00ED2C85">
        <w:rPr>
          <w:rFonts w:ascii="Calibri" w:eastAsia="Times New Roman" w:hAnsi="Calibri" w:cs="Calibri"/>
          <w:sz w:val="22"/>
          <w:szCs w:val="22"/>
          <w:lang w:val="en-AU" w:eastAsia="en-GB"/>
        </w:rPr>
        <w:t>research</w:t>
      </w:r>
      <w:r w:rsidRPr="00ED2C85">
        <w:rPr>
          <w:rFonts w:ascii="Calibri" w:eastAsia="Times New Roman" w:hAnsi="Calibri" w:cs="Calibri"/>
          <w:sz w:val="22"/>
          <w:szCs w:val="22"/>
          <w:lang w:val="en-AU" w:eastAsia="en-GB"/>
        </w:rPr>
        <w:t xml:space="preserve"> and drafting aid, not as a substitute for independent academic judgment. The student takes full responsibility for the accuracy and integrity of all content submitted.</w:t>
      </w:r>
    </w:p>
    <w:p w14:paraId="080026BF" w14:textId="4F36419A" w:rsidR="007DB0FE" w:rsidRPr="00DB329A" w:rsidRDefault="007DB0FE" w:rsidP="00BB5FF0">
      <w:pPr>
        <w:spacing w:line="276" w:lineRule="auto"/>
        <w:rPr>
          <w:rFonts w:ascii="Calibri" w:eastAsia="Aptos" w:hAnsi="Calibri" w:cs="Calibri"/>
        </w:rPr>
      </w:pPr>
    </w:p>
    <w:sectPr w:rsidR="007DB0FE" w:rsidRPr="00DB329A" w:rsidSect="00B6132B">
      <w:pgSz w:w="12240" w:h="15840"/>
      <w:pgMar w:top="117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F959BC"/>
    <w:multiLevelType w:val="multilevel"/>
    <w:tmpl w:val="CDF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041C7"/>
    <w:multiLevelType w:val="multilevel"/>
    <w:tmpl w:val="47E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151DD"/>
    <w:multiLevelType w:val="multilevel"/>
    <w:tmpl w:val="9204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613EB"/>
    <w:multiLevelType w:val="multilevel"/>
    <w:tmpl w:val="A43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93687"/>
    <w:multiLevelType w:val="multilevel"/>
    <w:tmpl w:val="10D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7827">
    <w:abstractNumId w:val="0"/>
  </w:num>
  <w:num w:numId="2" w16cid:durableId="1697804122">
    <w:abstractNumId w:val="2"/>
  </w:num>
  <w:num w:numId="3" w16cid:durableId="2103448972">
    <w:abstractNumId w:val="3"/>
  </w:num>
  <w:num w:numId="4" w16cid:durableId="57367567">
    <w:abstractNumId w:val="1"/>
  </w:num>
  <w:num w:numId="5" w16cid:durableId="112133975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AD80B5"/>
    <w:rsid w:val="000050B4"/>
    <w:rsid w:val="00016048"/>
    <w:rsid w:val="000C6811"/>
    <w:rsid w:val="000F7AC7"/>
    <w:rsid w:val="00100123"/>
    <w:rsid w:val="00126CE9"/>
    <w:rsid w:val="00150FB7"/>
    <w:rsid w:val="00185F3E"/>
    <w:rsid w:val="00226C84"/>
    <w:rsid w:val="002401BC"/>
    <w:rsid w:val="002515F6"/>
    <w:rsid w:val="00256450"/>
    <w:rsid w:val="00265AB5"/>
    <w:rsid w:val="00271840"/>
    <w:rsid w:val="002828C8"/>
    <w:rsid w:val="002A580D"/>
    <w:rsid w:val="002E316F"/>
    <w:rsid w:val="003042CD"/>
    <w:rsid w:val="00344401"/>
    <w:rsid w:val="003511F7"/>
    <w:rsid w:val="003555BE"/>
    <w:rsid w:val="003630A5"/>
    <w:rsid w:val="00382026"/>
    <w:rsid w:val="003F4393"/>
    <w:rsid w:val="0044589A"/>
    <w:rsid w:val="00453EBC"/>
    <w:rsid w:val="00484FB1"/>
    <w:rsid w:val="0054028E"/>
    <w:rsid w:val="0054671E"/>
    <w:rsid w:val="00587ECC"/>
    <w:rsid w:val="005C1773"/>
    <w:rsid w:val="006075A3"/>
    <w:rsid w:val="00646F7B"/>
    <w:rsid w:val="00652496"/>
    <w:rsid w:val="00687408"/>
    <w:rsid w:val="006B2CC7"/>
    <w:rsid w:val="006C0141"/>
    <w:rsid w:val="0071140A"/>
    <w:rsid w:val="007979C1"/>
    <w:rsid w:val="007A5186"/>
    <w:rsid w:val="007DB0FE"/>
    <w:rsid w:val="00815BE5"/>
    <w:rsid w:val="00816C58"/>
    <w:rsid w:val="008247EC"/>
    <w:rsid w:val="0083176A"/>
    <w:rsid w:val="00837973"/>
    <w:rsid w:val="00881E10"/>
    <w:rsid w:val="0088284E"/>
    <w:rsid w:val="00886541"/>
    <w:rsid w:val="008A58E7"/>
    <w:rsid w:val="008F3A21"/>
    <w:rsid w:val="009165D5"/>
    <w:rsid w:val="00931BAD"/>
    <w:rsid w:val="00971E48"/>
    <w:rsid w:val="009C0B26"/>
    <w:rsid w:val="009C6566"/>
    <w:rsid w:val="009F01DE"/>
    <w:rsid w:val="009F24CC"/>
    <w:rsid w:val="00AA039A"/>
    <w:rsid w:val="00AC03CE"/>
    <w:rsid w:val="00AC2F98"/>
    <w:rsid w:val="00B17999"/>
    <w:rsid w:val="00B302BE"/>
    <w:rsid w:val="00B6132B"/>
    <w:rsid w:val="00B773BB"/>
    <w:rsid w:val="00B861BF"/>
    <w:rsid w:val="00BB5FF0"/>
    <w:rsid w:val="00BB77BF"/>
    <w:rsid w:val="00BD0CAF"/>
    <w:rsid w:val="00BD3E41"/>
    <w:rsid w:val="00BF6EEF"/>
    <w:rsid w:val="00C32AA4"/>
    <w:rsid w:val="00C33309"/>
    <w:rsid w:val="00C42805"/>
    <w:rsid w:val="00C91AD8"/>
    <w:rsid w:val="00CB24EF"/>
    <w:rsid w:val="00D06A8A"/>
    <w:rsid w:val="00D65BB9"/>
    <w:rsid w:val="00D72441"/>
    <w:rsid w:val="00DB329A"/>
    <w:rsid w:val="00DB6BA5"/>
    <w:rsid w:val="00DD5463"/>
    <w:rsid w:val="00E63672"/>
    <w:rsid w:val="00E751FD"/>
    <w:rsid w:val="00E77616"/>
    <w:rsid w:val="00EC22B0"/>
    <w:rsid w:val="00ED2C85"/>
    <w:rsid w:val="00EE0ECA"/>
    <w:rsid w:val="00EE7CC4"/>
    <w:rsid w:val="00F24F06"/>
    <w:rsid w:val="00F3352D"/>
    <w:rsid w:val="00F41833"/>
    <w:rsid w:val="00F575D5"/>
    <w:rsid w:val="00F63C60"/>
    <w:rsid w:val="00F91AFC"/>
    <w:rsid w:val="00F95D15"/>
    <w:rsid w:val="00FD65FD"/>
    <w:rsid w:val="0450B506"/>
    <w:rsid w:val="05437AA6"/>
    <w:rsid w:val="06592206"/>
    <w:rsid w:val="0714AD2C"/>
    <w:rsid w:val="0E98796A"/>
    <w:rsid w:val="10AD80B5"/>
    <w:rsid w:val="15259852"/>
    <w:rsid w:val="1E45D1A9"/>
    <w:rsid w:val="24375576"/>
    <w:rsid w:val="259D8D99"/>
    <w:rsid w:val="259FB27C"/>
    <w:rsid w:val="273039FA"/>
    <w:rsid w:val="2AE4148B"/>
    <w:rsid w:val="2E6C0353"/>
    <w:rsid w:val="31386130"/>
    <w:rsid w:val="3DFB2F01"/>
    <w:rsid w:val="47733539"/>
    <w:rsid w:val="5B17063D"/>
    <w:rsid w:val="6B815028"/>
    <w:rsid w:val="7B1D836A"/>
    <w:rsid w:val="7C729A58"/>
    <w:rsid w:val="7DE3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7AED17"/>
  <w15:chartTrackingRefBased/>
  <w15:docId w15:val="{AC00C5B2-A7BA-4593-BF1B-F4D98C752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3DFB2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3352D"/>
    <w:pPr>
      <w:spacing w:before="100" w:beforeAutospacing="1" w:after="100" w:afterAutospacing="1" w:line="240" w:lineRule="auto"/>
    </w:pPr>
    <w:rPr>
      <w:rFonts w:ascii="Times New Roman" w:eastAsia="Times New Roman" w:hAnsi="Times New Roman" w:cs="Times New Roman"/>
      <w:lang w:val="en-AU" w:eastAsia="en-GB"/>
    </w:rPr>
  </w:style>
  <w:style w:type="character" w:styleId="Strong">
    <w:name w:val="Strong"/>
    <w:basedOn w:val="DefaultParagraphFont"/>
    <w:uiPriority w:val="22"/>
    <w:qFormat/>
    <w:rsid w:val="00F3352D"/>
    <w:rPr>
      <w:b/>
      <w:bCs/>
    </w:rPr>
  </w:style>
  <w:style w:type="paragraph" w:customStyle="1" w:styleId="is-empty">
    <w:name w:val="is-empty"/>
    <w:basedOn w:val="Normal"/>
    <w:rsid w:val="0054671E"/>
    <w:pPr>
      <w:spacing w:before="100" w:beforeAutospacing="1" w:after="100" w:afterAutospacing="1" w:line="240" w:lineRule="auto"/>
    </w:pPr>
    <w:rPr>
      <w:rFonts w:ascii="Times New Roman" w:eastAsia="Times New Roman" w:hAnsi="Times New Roman" w:cs="Times New Roman"/>
      <w:lang w:val="en-AU" w:eastAsia="en-GB"/>
    </w:rPr>
  </w:style>
  <w:style w:type="table" w:styleId="GridTable1Light">
    <w:name w:val="Grid Table 1 Light"/>
    <w:basedOn w:val="TableNormal"/>
    <w:uiPriority w:val="46"/>
    <w:rsid w:val="00F575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57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3042CD"/>
  </w:style>
  <w:style w:type="character" w:styleId="Emphasis">
    <w:name w:val="Emphasis"/>
    <w:basedOn w:val="DefaultParagraphFont"/>
    <w:uiPriority w:val="20"/>
    <w:qFormat/>
    <w:rsid w:val="008F3A21"/>
    <w:rPr>
      <w:i/>
      <w:iCs/>
    </w:rPr>
  </w:style>
  <w:style w:type="character" w:customStyle="1" w:styleId="Heading1Char">
    <w:name w:val="Heading 1 Char"/>
    <w:basedOn w:val="DefaultParagraphFont"/>
    <w:link w:val="Heading1"/>
    <w:uiPriority w:val="9"/>
    <w:rsid w:val="00382026"/>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382026"/>
  </w:style>
  <w:style w:type="paragraph" w:styleId="TOCHeading">
    <w:name w:val="TOC Heading"/>
    <w:basedOn w:val="Heading1"/>
    <w:next w:val="Normal"/>
    <w:uiPriority w:val="39"/>
    <w:unhideWhenUsed/>
    <w:qFormat/>
    <w:rsid w:val="007A5186"/>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7A5186"/>
    <w:pPr>
      <w:spacing w:before="360" w:after="360"/>
    </w:pPr>
    <w:rPr>
      <w:b/>
      <w:bCs/>
      <w:caps/>
      <w:sz w:val="22"/>
      <w:szCs w:val="22"/>
      <w:u w:val="single"/>
    </w:rPr>
  </w:style>
  <w:style w:type="character" w:styleId="Hyperlink">
    <w:name w:val="Hyperlink"/>
    <w:basedOn w:val="DefaultParagraphFont"/>
    <w:uiPriority w:val="99"/>
    <w:unhideWhenUsed/>
    <w:rsid w:val="007A5186"/>
    <w:rPr>
      <w:color w:val="467886" w:themeColor="hyperlink"/>
      <w:u w:val="single"/>
    </w:rPr>
  </w:style>
  <w:style w:type="paragraph" w:styleId="TOC2">
    <w:name w:val="toc 2"/>
    <w:basedOn w:val="Normal"/>
    <w:next w:val="Normal"/>
    <w:autoRedefine/>
    <w:uiPriority w:val="39"/>
    <w:semiHidden/>
    <w:unhideWhenUsed/>
    <w:rsid w:val="007A5186"/>
    <w:pPr>
      <w:spacing w:after="0"/>
    </w:pPr>
    <w:rPr>
      <w:b/>
      <w:bCs/>
      <w:smallCaps/>
      <w:sz w:val="22"/>
      <w:szCs w:val="22"/>
    </w:rPr>
  </w:style>
  <w:style w:type="paragraph" w:styleId="TOC3">
    <w:name w:val="toc 3"/>
    <w:basedOn w:val="Normal"/>
    <w:next w:val="Normal"/>
    <w:autoRedefine/>
    <w:uiPriority w:val="39"/>
    <w:semiHidden/>
    <w:unhideWhenUsed/>
    <w:rsid w:val="007A5186"/>
    <w:pPr>
      <w:spacing w:after="0"/>
    </w:pPr>
    <w:rPr>
      <w:smallCaps/>
      <w:sz w:val="22"/>
      <w:szCs w:val="22"/>
    </w:rPr>
  </w:style>
  <w:style w:type="paragraph" w:styleId="TOC4">
    <w:name w:val="toc 4"/>
    <w:basedOn w:val="Normal"/>
    <w:next w:val="Normal"/>
    <w:autoRedefine/>
    <w:uiPriority w:val="39"/>
    <w:semiHidden/>
    <w:unhideWhenUsed/>
    <w:rsid w:val="007A5186"/>
    <w:pPr>
      <w:spacing w:after="0"/>
    </w:pPr>
    <w:rPr>
      <w:sz w:val="22"/>
      <w:szCs w:val="22"/>
    </w:rPr>
  </w:style>
  <w:style w:type="paragraph" w:styleId="TOC5">
    <w:name w:val="toc 5"/>
    <w:basedOn w:val="Normal"/>
    <w:next w:val="Normal"/>
    <w:autoRedefine/>
    <w:uiPriority w:val="39"/>
    <w:semiHidden/>
    <w:unhideWhenUsed/>
    <w:rsid w:val="007A5186"/>
    <w:pPr>
      <w:spacing w:after="0"/>
    </w:pPr>
    <w:rPr>
      <w:sz w:val="22"/>
      <w:szCs w:val="22"/>
    </w:rPr>
  </w:style>
  <w:style w:type="paragraph" w:styleId="TOC6">
    <w:name w:val="toc 6"/>
    <w:basedOn w:val="Normal"/>
    <w:next w:val="Normal"/>
    <w:autoRedefine/>
    <w:uiPriority w:val="39"/>
    <w:semiHidden/>
    <w:unhideWhenUsed/>
    <w:rsid w:val="007A5186"/>
    <w:pPr>
      <w:spacing w:after="0"/>
    </w:pPr>
    <w:rPr>
      <w:sz w:val="22"/>
      <w:szCs w:val="22"/>
    </w:rPr>
  </w:style>
  <w:style w:type="paragraph" w:styleId="TOC7">
    <w:name w:val="toc 7"/>
    <w:basedOn w:val="Normal"/>
    <w:next w:val="Normal"/>
    <w:autoRedefine/>
    <w:uiPriority w:val="39"/>
    <w:semiHidden/>
    <w:unhideWhenUsed/>
    <w:rsid w:val="007A5186"/>
    <w:pPr>
      <w:spacing w:after="0"/>
    </w:pPr>
    <w:rPr>
      <w:sz w:val="22"/>
      <w:szCs w:val="22"/>
    </w:rPr>
  </w:style>
  <w:style w:type="paragraph" w:styleId="TOC8">
    <w:name w:val="toc 8"/>
    <w:basedOn w:val="Normal"/>
    <w:next w:val="Normal"/>
    <w:autoRedefine/>
    <w:uiPriority w:val="39"/>
    <w:semiHidden/>
    <w:unhideWhenUsed/>
    <w:rsid w:val="007A5186"/>
    <w:pPr>
      <w:spacing w:after="0"/>
    </w:pPr>
    <w:rPr>
      <w:sz w:val="22"/>
      <w:szCs w:val="22"/>
    </w:rPr>
  </w:style>
  <w:style w:type="paragraph" w:styleId="TOC9">
    <w:name w:val="toc 9"/>
    <w:basedOn w:val="Normal"/>
    <w:next w:val="Normal"/>
    <w:autoRedefine/>
    <w:uiPriority w:val="39"/>
    <w:semiHidden/>
    <w:unhideWhenUsed/>
    <w:rsid w:val="007A5186"/>
    <w:pPr>
      <w:spacing w:after="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36334">
      <w:bodyDiv w:val="1"/>
      <w:marLeft w:val="0"/>
      <w:marRight w:val="0"/>
      <w:marTop w:val="0"/>
      <w:marBottom w:val="0"/>
      <w:divBdr>
        <w:top w:val="none" w:sz="0" w:space="0" w:color="auto"/>
        <w:left w:val="none" w:sz="0" w:space="0" w:color="auto"/>
        <w:bottom w:val="none" w:sz="0" w:space="0" w:color="auto"/>
        <w:right w:val="none" w:sz="0" w:space="0" w:color="auto"/>
      </w:divBdr>
    </w:div>
    <w:div w:id="48042699">
      <w:bodyDiv w:val="1"/>
      <w:marLeft w:val="0"/>
      <w:marRight w:val="0"/>
      <w:marTop w:val="0"/>
      <w:marBottom w:val="0"/>
      <w:divBdr>
        <w:top w:val="none" w:sz="0" w:space="0" w:color="auto"/>
        <w:left w:val="none" w:sz="0" w:space="0" w:color="auto"/>
        <w:bottom w:val="none" w:sz="0" w:space="0" w:color="auto"/>
        <w:right w:val="none" w:sz="0" w:space="0" w:color="auto"/>
      </w:divBdr>
    </w:div>
    <w:div w:id="52779906">
      <w:bodyDiv w:val="1"/>
      <w:marLeft w:val="0"/>
      <w:marRight w:val="0"/>
      <w:marTop w:val="0"/>
      <w:marBottom w:val="0"/>
      <w:divBdr>
        <w:top w:val="none" w:sz="0" w:space="0" w:color="auto"/>
        <w:left w:val="none" w:sz="0" w:space="0" w:color="auto"/>
        <w:bottom w:val="none" w:sz="0" w:space="0" w:color="auto"/>
        <w:right w:val="none" w:sz="0" w:space="0" w:color="auto"/>
      </w:divBdr>
    </w:div>
    <w:div w:id="53311418">
      <w:bodyDiv w:val="1"/>
      <w:marLeft w:val="0"/>
      <w:marRight w:val="0"/>
      <w:marTop w:val="0"/>
      <w:marBottom w:val="0"/>
      <w:divBdr>
        <w:top w:val="none" w:sz="0" w:space="0" w:color="auto"/>
        <w:left w:val="none" w:sz="0" w:space="0" w:color="auto"/>
        <w:bottom w:val="none" w:sz="0" w:space="0" w:color="auto"/>
        <w:right w:val="none" w:sz="0" w:space="0" w:color="auto"/>
      </w:divBdr>
    </w:div>
    <w:div w:id="53358899">
      <w:bodyDiv w:val="1"/>
      <w:marLeft w:val="0"/>
      <w:marRight w:val="0"/>
      <w:marTop w:val="0"/>
      <w:marBottom w:val="0"/>
      <w:divBdr>
        <w:top w:val="none" w:sz="0" w:space="0" w:color="auto"/>
        <w:left w:val="none" w:sz="0" w:space="0" w:color="auto"/>
        <w:bottom w:val="none" w:sz="0" w:space="0" w:color="auto"/>
        <w:right w:val="none" w:sz="0" w:space="0" w:color="auto"/>
      </w:divBdr>
    </w:div>
    <w:div w:id="94522225">
      <w:bodyDiv w:val="1"/>
      <w:marLeft w:val="0"/>
      <w:marRight w:val="0"/>
      <w:marTop w:val="0"/>
      <w:marBottom w:val="0"/>
      <w:divBdr>
        <w:top w:val="none" w:sz="0" w:space="0" w:color="auto"/>
        <w:left w:val="none" w:sz="0" w:space="0" w:color="auto"/>
        <w:bottom w:val="none" w:sz="0" w:space="0" w:color="auto"/>
        <w:right w:val="none" w:sz="0" w:space="0" w:color="auto"/>
      </w:divBdr>
    </w:div>
    <w:div w:id="110247492">
      <w:bodyDiv w:val="1"/>
      <w:marLeft w:val="0"/>
      <w:marRight w:val="0"/>
      <w:marTop w:val="0"/>
      <w:marBottom w:val="0"/>
      <w:divBdr>
        <w:top w:val="none" w:sz="0" w:space="0" w:color="auto"/>
        <w:left w:val="none" w:sz="0" w:space="0" w:color="auto"/>
        <w:bottom w:val="none" w:sz="0" w:space="0" w:color="auto"/>
        <w:right w:val="none" w:sz="0" w:space="0" w:color="auto"/>
      </w:divBdr>
    </w:div>
    <w:div w:id="139424178">
      <w:bodyDiv w:val="1"/>
      <w:marLeft w:val="0"/>
      <w:marRight w:val="0"/>
      <w:marTop w:val="0"/>
      <w:marBottom w:val="0"/>
      <w:divBdr>
        <w:top w:val="none" w:sz="0" w:space="0" w:color="auto"/>
        <w:left w:val="none" w:sz="0" w:space="0" w:color="auto"/>
        <w:bottom w:val="none" w:sz="0" w:space="0" w:color="auto"/>
        <w:right w:val="none" w:sz="0" w:space="0" w:color="auto"/>
      </w:divBdr>
    </w:div>
    <w:div w:id="155457354">
      <w:bodyDiv w:val="1"/>
      <w:marLeft w:val="0"/>
      <w:marRight w:val="0"/>
      <w:marTop w:val="0"/>
      <w:marBottom w:val="0"/>
      <w:divBdr>
        <w:top w:val="none" w:sz="0" w:space="0" w:color="auto"/>
        <w:left w:val="none" w:sz="0" w:space="0" w:color="auto"/>
        <w:bottom w:val="none" w:sz="0" w:space="0" w:color="auto"/>
        <w:right w:val="none" w:sz="0" w:space="0" w:color="auto"/>
      </w:divBdr>
    </w:div>
    <w:div w:id="181406011">
      <w:bodyDiv w:val="1"/>
      <w:marLeft w:val="0"/>
      <w:marRight w:val="0"/>
      <w:marTop w:val="0"/>
      <w:marBottom w:val="0"/>
      <w:divBdr>
        <w:top w:val="none" w:sz="0" w:space="0" w:color="auto"/>
        <w:left w:val="none" w:sz="0" w:space="0" w:color="auto"/>
        <w:bottom w:val="none" w:sz="0" w:space="0" w:color="auto"/>
        <w:right w:val="none" w:sz="0" w:space="0" w:color="auto"/>
      </w:divBdr>
    </w:div>
    <w:div w:id="189227598">
      <w:bodyDiv w:val="1"/>
      <w:marLeft w:val="0"/>
      <w:marRight w:val="0"/>
      <w:marTop w:val="0"/>
      <w:marBottom w:val="0"/>
      <w:divBdr>
        <w:top w:val="none" w:sz="0" w:space="0" w:color="auto"/>
        <w:left w:val="none" w:sz="0" w:space="0" w:color="auto"/>
        <w:bottom w:val="none" w:sz="0" w:space="0" w:color="auto"/>
        <w:right w:val="none" w:sz="0" w:space="0" w:color="auto"/>
      </w:divBdr>
    </w:div>
    <w:div w:id="191191181">
      <w:bodyDiv w:val="1"/>
      <w:marLeft w:val="0"/>
      <w:marRight w:val="0"/>
      <w:marTop w:val="0"/>
      <w:marBottom w:val="0"/>
      <w:divBdr>
        <w:top w:val="none" w:sz="0" w:space="0" w:color="auto"/>
        <w:left w:val="none" w:sz="0" w:space="0" w:color="auto"/>
        <w:bottom w:val="none" w:sz="0" w:space="0" w:color="auto"/>
        <w:right w:val="none" w:sz="0" w:space="0" w:color="auto"/>
      </w:divBdr>
    </w:div>
    <w:div w:id="207840242">
      <w:bodyDiv w:val="1"/>
      <w:marLeft w:val="0"/>
      <w:marRight w:val="0"/>
      <w:marTop w:val="0"/>
      <w:marBottom w:val="0"/>
      <w:divBdr>
        <w:top w:val="none" w:sz="0" w:space="0" w:color="auto"/>
        <w:left w:val="none" w:sz="0" w:space="0" w:color="auto"/>
        <w:bottom w:val="none" w:sz="0" w:space="0" w:color="auto"/>
        <w:right w:val="none" w:sz="0" w:space="0" w:color="auto"/>
      </w:divBdr>
    </w:div>
    <w:div w:id="220798337">
      <w:bodyDiv w:val="1"/>
      <w:marLeft w:val="0"/>
      <w:marRight w:val="0"/>
      <w:marTop w:val="0"/>
      <w:marBottom w:val="0"/>
      <w:divBdr>
        <w:top w:val="none" w:sz="0" w:space="0" w:color="auto"/>
        <w:left w:val="none" w:sz="0" w:space="0" w:color="auto"/>
        <w:bottom w:val="none" w:sz="0" w:space="0" w:color="auto"/>
        <w:right w:val="none" w:sz="0" w:space="0" w:color="auto"/>
      </w:divBdr>
    </w:div>
    <w:div w:id="226838781">
      <w:bodyDiv w:val="1"/>
      <w:marLeft w:val="0"/>
      <w:marRight w:val="0"/>
      <w:marTop w:val="0"/>
      <w:marBottom w:val="0"/>
      <w:divBdr>
        <w:top w:val="none" w:sz="0" w:space="0" w:color="auto"/>
        <w:left w:val="none" w:sz="0" w:space="0" w:color="auto"/>
        <w:bottom w:val="none" w:sz="0" w:space="0" w:color="auto"/>
        <w:right w:val="none" w:sz="0" w:space="0" w:color="auto"/>
      </w:divBdr>
    </w:div>
    <w:div w:id="237059331">
      <w:bodyDiv w:val="1"/>
      <w:marLeft w:val="0"/>
      <w:marRight w:val="0"/>
      <w:marTop w:val="0"/>
      <w:marBottom w:val="0"/>
      <w:divBdr>
        <w:top w:val="none" w:sz="0" w:space="0" w:color="auto"/>
        <w:left w:val="none" w:sz="0" w:space="0" w:color="auto"/>
        <w:bottom w:val="none" w:sz="0" w:space="0" w:color="auto"/>
        <w:right w:val="none" w:sz="0" w:space="0" w:color="auto"/>
      </w:divBdr>
    </w:div>
    <w:div w:id="259993038">
      <w:bodyDiv w:val="1"/>
      <w:marLeft w:val="0"/>
      <w:marRight w:val="0"/>
      <w:marTop w:val="0"/>
      <w:marBottom w:val="0"/>
      <w:divBdr>
        <w:top w:val="none" w:sz="0" w:space="0" w:color="auto"/>
        <w:left w:val="none" w:sz="0" w:space="0" w:color="auto"/>
        <w:bottom w:val="none" w:sz="0" w:space="0" w:color="auto"/>
        <w:right w:val="none" w:sz="0" w:space="0" w:color="auto"/>
      </w:divBdr>
    </w:div>
    <w:div w:id="267739729">
      <w:bodyDiv w:val="1"/>
      <w:marLeft w:val="0"/>
      <w:marRight w:val="0"/>
      <w:marTop w:val="0"/>
      <w:marBottom w:val="0"/>
      <w:divBdr>
        <w:top w:val="none" w:sz="0" w:space="0" w:color="auto"/>
        <w:left w:val="none" w:sz="0" w:space="0" w:color="auto"/>
        <w:bottom w:val="none" w:sz="0" w:space="0" w:color="auto"/>
        <w:right w:val="none" w:sz="0" w:space="0" w:color="auto"/>
      </w:divBdr>
    </w:div>
    <w:div w:id="271058786">
      <w:bodyDiv w:val="1"/>
      <w:marLeft w:val="0"/>
      <w:marRight w:val="0"/>
      <w:marTop w:val="0"/>
      <w:marBottom w:val="0"/>
      <w:divBdr>
        <w:top w:val="none" w:sz="0" w:space="0" w:color="auto"/>
        <w:left w:val="none" w:sz="0" w:space="0" w:color="auto"/>
        <w:bottom w:val="none" w:sz="0" w:space="0" w:color="auto"/>
        <w:right w:val="none" w:sz="0" w:space="0" w:color="auto"/>
      </w:divBdr>
    </w:div>
    <w:div w:id="280455654">
      <w:bodyDiv w:val="1"/>
      <w:marLeft w:val="0"/>
      <w:marRight w:val="0"/>
      <w:marTop w:val="0"/>
      <w:marBottom w:val="0"/>
      <w:divBdr>
        <w:top w:val="none" w:sz="0" w:space="0" w:color="auto"/>
        <w:left w:val="none" w:sz="0" w:space="0" w:color="auto"/>
        <w:bottom w:val="none" w:sz="0" w:space="0" w:color="auto"/>
        <w:right w:val="none" w:sz="0" w:space="0" w:color="auto"/>
      </w:divBdr>
    </w:div>
    <w:div w:id="350834849">
      <w:bodyDiv w:val="1"/>
      <w:marLeft w:val="0"/>
      <w:marRight w:val="0"/>
      <w:marTop w:val="0"/>
      <w:marBottom w:val="0"/>
      <w:divBdr>
        <w:top w:val="none" w:sz="0" w:space="0" w:color="auto"/>
        <w:left w:val="none" w:sz="0" w:space="0" w:color="auto"/>
        <w:bottom w:val="none" w:sz="0" w:space="0" w:color="auto"/>
        <w:right w:val="none" w:sz="0" w:space="0" w:color="auto"/>
      </w:divBdr>
    </w:div>
    <w:div w:id="359623319">
      <w:bodyDiv w:val="1"/>
      <w:marLeft w:val="0"/>
      <w:marRight w:val="0"/>
      <w:marTop w:val="0"/>
      <w:marBottom w:val="0"/>
      <w:divBdr>
        <w:top w:val="none" w:sz="0" w:space="0" w:color="auto"/>
        <w:left w:val="none" w:sz="0" w:space="0" w:color="auto"/>
        <w:bottom w:val="none" w:sz="0" w:space="0" w:color="auto"/>
        <w:right w:val="none" w:sz="0" w:space="0" w:color="auto"/>
      </w:divBdr>
    </w:div>
    <w:div w:id="389160568">
      <w:bodyDiv w:val="1"/>
      <w:marLeft w:val="0"/>
      <w:marRight w:val="0"/>
      <w:marTop w:val="0"/>
      <w:marBottom w:val="0"/>
      <w:divBdr>
        <w:top w:val="none" w:sz="0" w:space="0" w:color="auto"/>
        <w:left w:val="none" w:sz="0" w:space="0" w:color="auto"/>
        <w:bottom w:val="none" w:sz="0" w:space="0" w:color="auto"/>
        <w:right w:val="none" w:sz="0" w:space="0" w:color="auto"/>
      </w:divBdr>
    </w:div>
    <w:div w:id="405952890">
      <w:bodyDiv w:val="1"/>
      <w:marLeft w:val="0"/>
      <w:marRight w:val="0"/>
      <w:marTop w:val="0"/>
      <w:marBottom w:val="0"/>
      <w:divBdr>
        <w:top w:val="none" w:sz="0" w:space="0" w:color="auto"/>
        <w:left w:val="none" w:sz="0" w:space="0" w:color="auto"/>
        <w:bottom w:val="none" w:sz="0" w:space="0" w:color="auto"/>
        <w:right w:val="none" w:sz="0" w:space="0" w:color="auto"/>
      </w:divBdr>
    </w:div>
    <w:div w:id="419520426">
      <w:bodyDiv w:val="1"/>
      <w:marLeft w:val="0"/>
      <w:marRight w:val="0"/>
      <w:marTop w:val="0"/>
      <w:marBottom w:val="0"/>
      <w:divBdr>
        <w:top w:val="none" w:sz="0" w:space="0" w:color="auto"/>
        <w:left w:val="none" w:sz="0" w:space="0" w:color="auto"/>
        <w:bottom w:val="none" w:sz="0" w:space="0" w:color="auto"/>
        <w:right w:val="none" w:sz="0" w:space="0" w:color="auto"/>
      </w:divBdr>
    </w:div>
    <w:div w:id="452791788">
      <w:bodyDiv w:val="1"/>
      <w:marLeft w:val="0"/>
      <w:marRight w:val="0"/>
      <w:marTop w:val="0"/>
      <w:marBottom w:val="0"/>
      <w:divBdr>
        <w:top w:val="none" w:sz="0" w:space="0" w:color="auto"/>
        <w:left w:val="none" w:sz="0" w:space="0" w:color="auto"/>
        <w:bottom w:val="none" w:sz="0" w:space="0" w:color="auto"/>
        <w:right w:val="none" w:sz="0" w:space="0" w:color="auto"/>
      </w:divBdr>
    </w:div>
    <w:div w:id="461774978">
      <w:bodyDiv w:val="1"/>
      <w:marLeft w:val="0"/>
      <w:marRight w:val="0"/>
      <w:marTop w:val="0"/>
      <w:marBottom w:val="0"/>
      <w:divBdr>
        <w:top w:val="none" w:sz="0" w:space="0" w:color="auto"/>
        <w:left w:val="none" w:sz="0" w:space="0" w:color="auto"/>
        <w:bottom w:val="none" w:sz="0" w:space="0" w:color="auto"/>
        <w:right w:val="none" w:sz="0" w:space="0" w:color="auto"/>
      </w:divBdr>
    </w:div>
    <w:div w:id="485125277">
      <w:bodyDiv w:val="1"/>
      <w:marLeft w:val="0"/>
      <w:marRight w:val="0"/>
      <w:marTop w:val="0"/>
      <w:marBottom w:val="0"/>
      <w:divBdr>
        <w:top w:val="none" w:sz="0" w:space="0" w:color="auto"/>
        <w:left w:val="none" w:sz="0" w:space="0" w:color="auto"/>
        <w:bottom w:val="none" w:sz="0" w:space="0" w:color="auto"/>
        <w:right w:val="none" w:sz="0" w:space="0" w:color="auto"/>
      </w:divBdr>
    </w:div>
    <w:div w:id="493380970">
      <w:bodyDiv w:val="1"/>
      <w:marLeft w:val="0"/>
      <w:marRight w:val="0"/>
      <w:marTop w:val="0"/>
      <w:marBottom w:val="0"/>
      <w:divBdr>
        <w:top w:val="none" w:sz="0" w:space="0" w:color="auto"/>
        <w:left w:val="none" w:sz="0" w:space="0" w:color="auto"/>
        <w:bottom w:val="none" w:sz="0" w:space="0" w:color="auto"/>
        <w:right w:val="none" w:sz="0" w:space="0" w:color="auto"/>
      </w:divBdr>
    </w:div>
    <w:div w:id="586118427">
      <w:bodyDiv w:val="1"/>
      <w:marLeft w:val="0"/>
      <w:marRight w:val="0"/>
      <w:marTop w:val="0"/>
      <w:marBottom w:val="0"/>
      <w:divBdr>
        <w:top w:val="none" w:sz="0" w:space="0" w:color="auto"/>
        <w:left w:val="none" w:sz="0" w:space="0" w:color="auto"/>
        <w:bottom w:val="none" w:sz="0" w:space="0" w:color="auto"/>
        <w:right w:val="none" w:sz="0" w:space="0" w:color="auto"/>
      </w:divBdr>
    </w:div>
    <w:div w:id="595132874">
      <w:bodyDiv w:val="1"/>
      <w:marLeft w:val="0"/>
      <w:marRight w:val="0"/>
      <w:marTop w:val="0"/>
      <w:marBottom w:val="0"/>
      <w:divBdr>
        <w:top w:val="none" w:sz="0" w:space="0" w:color="auto"/>
        <w:left w:val="none" w:sz="0" w:space="0" w:color="auto"/>
        <w:bottom w:val="none" w:sz="0" w:space="0" w:color="auto"/>
        <w:right w:val="none" w:sz="0" w:space="0" w:color="auto"/>
      </w:divBdr>
    </w:div>
    <w:div w:id="662515743">
      <w:bodyDiv w:val="1"/>
      <w:marLeft w:val="0"/>
      <w:marRight w:val="0"/>
      <w:marTop w:val="0"/>
      <w:marBottom w:val="0"/>
      <w:divBdr>
        <w:top w:val="none" w:sz="0" w:space="0" w:color="auto"/>
        <w:left w:val="none" w:sz="0" w:space="0" w:color="auto"/>
        <w:bottom w:val="none" w:sz="0" w:space="0" w:color="auto"/>
        <w:right w:val="none" w:sz="0" w:space="0" w:color="auto"/>
      </w:divBdr>
    </w:div>
    <w:div w:id="667830198">
      <w:bodyDiv w:val="1"/>
      <w:marLeft w:val="0"/>
      <w:marRight w:val="0"/>
      <w:marTop w:val="0"/>
      <w:marBottom w:val="0"/>
      <w:divBdr>
        <w:top w:val="none" w:sz="0" w:space="0" w:color="auto"/>
        <w:left w:val="none" w:sz="0" w:space="0" w:color="auto"/>
        <w:bottom w:val="none" w:sz="0" w:space="0" w:color="auto"/>
        <w:right w:val="none" w:sz="0" w:space="0" w:color="auto"/>
      </w:divBdr>
    </w:div>
    <w:div w:id="669676049">
      <w:bodyDiv w:val="1"/>
      <w:marLeft w:val="0"/>
      <w:marRight w:val="0"/>
      <w:marTop w:val="0"/>
      <w:marBottom w:val="0"/>
      <w:divBdr>
        <w:top w:val="none" w:sz="0" w:space="0" w:color="auto"/>
        <w:left w:val="none" w:sz="0" w:space="0" w:color="auto"/>
        <w:bottom w:val="none" w:sz="0" w:space="0" w:color="auto"/>
        <w:right w:val="none" w:sz="0" w:space="0" w:color="auto"/>
      </w:divBdr>
    </w:div>
    <w:div w:id="693657462">
      <w:bodyDiv w:val="1"/>
      <w:marLeft w:val="0"/>
      <w:marRight w:val="0"/>
      <w:marTop w:val="0"/>
      <w:marBottom w:val="0"/>
      <w:divBdr>
        <w:top w:val="none" w:sz="0" w:space="0" w:color="auto"/>
        <w:left w:val="none" w:sz="0" w:space="0" w:color="auto"/>
        <w:bottom w:val="none" w:sz="0" w:space="0" w:color="auto"/>
        <w:right w:val="none" w:sz="0" w:space="0" w:color="auto"/>
      </w:divBdr>
    </w:div>
    <w:div w:id="728725676">
      <w:bodyDiv w:val="1"/>
      <w:marLeft w:val="0"/>
      <w:marRight w:val="0"/>
      <w:marTop w:val="0"/>
      <w:marBottom w:val="0"/>
      <w:divBdr>
        <w:top w:val="none" w:sz="0" w:space="0" w:color="auto"/>
        <w:left w:val="none" w:sz="0" w:space="0" w:color="auto"/>
        <w:bottom w:val="none" w:sz="0" w:space="0" w:color="auto"/>
        <w:right w:val="none" w:sz="0" w:space="0" w:color="auto"/>
      </w:divBdr>
    </w:div>
    <w:div w:id="745877334">
      <w:bodyDiv w:val="1"/>
      <w:marLeft w:val="0"/>
      <w:marRight w:val="0"/>
      <w:marTop w:val="0"/>
      <w:marBottom w:val="0"/>
      <w:divBdr>
        <w:top w:val="none" w:sz="0" w:space="0" w:color="auto"/>
        <w:left w:val="none" w:sz="0" w:space="0" w:color="auto"/>
        <w:bottom w:val="none" w:sz="0" w:space="0" w:color="auto"/>
        <w:right w:val="none" w:sz="0" w:space="0" w:color="auto"/>
      </w:divBdr>
    </w:div>
    <w:div w:id="780808446">
      <w:bodyDiv w:val="1"/>
      <w:marLeft w:val="0"/>
      <w:marRight w:val="0"/>
      <w:marTop w:val="0"/>
      <w:marBottom w:val="0"/>
      <w:divBdr>
        <w:top w:val="none" w:sz="0" w:space="0" w:color="auto"/>
        <w:left w:val="none" w:sz="0" w:space="0" w:color="auto"/>
        <w:bottom w:val="none" w:sz="0" w:space="0" w:color="auto"/>
        <w:right w:val="none" w:sz="0" w:space="0" w:color="auto"/>
      </w:divBdr>
    </w:div>
    <w:div w:id="784228478">
      <w:bodyDiv w:val="1"/>
      <w:marLeft w:val="0"/>
      <w:marRight w:val="0"/>
      <w:marTop w:val="0"/>
      <w:marBottom w:val="0"/>
      <w:divBdr>
        <w:top w:val="none" w:sz="0" w:space="0" w:color="auto"/>
        <w:left w:val="none" w:sz="0" w:space="0" w:color="auto"/>
        <w:bottom w:val="none" w:sz="0" w:space="0" w:color="auto"/>
        <w:right w:val="none" w:sz="0" w:space="0" w:color="auto"/>
      </w:divBdr>
    </w:div>
    <w:div w:id="795873551">
      <w:bodyDiv w:val="1"/>
      <w:marLeft w:val="0"/>
      <w:marRight w:val="0"/>
      <w:marTop w:val="0"/>
      <w:marBottom w:val="0"/>
      <w:divBdr>
        <w:top w:val="none" w:sz="0" w:space="0" w:color="auto"/>
        <w:left w:val="none" w:sz="0" w:space="0" w:color="auto"/>
        <w:bottom w:val="none" w:sz="0" w:space="0" w:color="auto"/>
        <w:right w:val="none" w:sz="0" w:space="0" w:color="auto"/>
      </w:divBdr>
    </w:div>
    <w:div w:id="806433553">
      <w:bodyDiv w:val="1"/>
      <w:marLeft w:val="0"/>
      <w:marRight w:val="0"/>
      <w:marTop w:val="0"/>
      <w:marBottom w:val="0"/>
      <w:divBdr>
        <w:top w:val="none" w:sz="0" w:space="0" w:color="auto"/>
        <w:left w:val="none" w:sz="0" w:space="0" w:color="auto"/>
        <w:bottom w:val="none" w:sz="0" w:space="0" w:color="auto"/>
        <w:right w:val="none" w:sz="0" w:space="0" w:color="auto"/>
      </w:divBdr>
    </w:div>
    <w:div w:id="833034576">
      <w:bodyDiv w:val="1"/>
      <w:marLeft w:val="0"/>
      <w:marRight w:val="0"/>
      <w:marTop w:val="0"/>
      <w:marBottom w:val="0"/>
      <w:divBdr>
        <w:top w:val="none" w:sz="0" w:space="0" w:color="auto"/>
        <w:left w:val="none" w:sz="0" w:space="0" w:color="auto"/>
        <w:bottom w:val="none" w:sz="0" w:space="0" w:color="auto"/>
        <w:right w:val="none" w:sz="0" w:space="0" w:color="auto"/>
      </w:divBdr>
    </w:div>
    <w:div w:id="841968419">
      <w:bodyDiv w:val="1"/>
      <w:marLeft w:val="0"/>
      <w:marRight w:val="0"/>
      <w:marTop w:val="0"/>
      <w:marBottom w:val="0"/>
      <w:divBdr>
        <w:top w:val="none" w:sz="0" w:space="0" w:color="auto"/>
        <w:left w:val="none" w:sz="0" w:space="0" w:color="auto"/>
        <w:bottom w:val="none" w:sz="0" w:space="0" w:color="auto"/>
        <w:right w:val="none" w:sz="0" w:space="0" w:color="auto"/>
      </w:divBdr>
    </w:div>
    <w:div w:id="860237587">
      <w:bodyDiv w:val="1"/>
      <w:marLeft w:val="0"/>
      <w:marRight w:val="0"/>
      <w:marTop w:val="0"/>
      <w:marBottom w:val="0"/>
      <w:divBdr>
        <w:top w:val="none" w:sz="0" w:space="0" w:color="auto"/>
        <w:left w:val="none" w:sz="0" w:space="0" w:color="auto"/>
        <w:bottom w:val="none" w:sz="0" w:space="0" w:color="auto"/>
        <w:right w:val="none" w:sz="0" w:space="0" w:color="auto"/>
      </w:divBdr>
    </w:div>
    <w:div w:id="880939388">
      <w:bodyDiv w:val="1"/>
      <w:marLeft w:val="0"/>
      <w:marRight w:val="0"/>
      <w:marTop w:val="0"/>
      <w:marBottom w:val="0"/>
      <w:divBdr>
        <w:top w:val="none" w:sz="0" w:space="0" w:color="auto"/>
        <w:left w:val="none" w:sz="0" w:space="0" w:color="auto"/>
        <w:bottom w:val="none" w:sz="0" w:space="0" w:color="auto"/>
        <w:right w:val="none" w:sz="0" w:space="0" w:color="auto"/>
      </w:divBdr>
    </w:div>
    <w:div w:id="921841840">
      <w:bodyDiv w:val="1"/>
      <w:marLeft w:val="0"/>
      <w:marRight w:val="0"/>
      <w:marTop w:val="0"/>
      <w:marBottom w:val="0"/>
      <w:divBdr>
        <w:top w:val="none" w:sz="0" w:space="0" w:color="auto"/>
        <w:left w:val="none" w:sz="0" w:space="0" w:color="auto"/>
        <w:bottom w:val="none" w:sz="0" w:space="0" w:color="auto"/>
        <w:right w:val="none" w:sz="0" w:space="0" w:color="auto"/>
      </w:divBdr>
    </w:div>
    <w:div w:id="933707039">
      <w:bodyDiv w:val="1"/>
      <w:marLeft w:val="0"/>
      <w:marRight w:val="0"/>
      <w:marTop w:val="0"/>
      <w:marBottom w:val="0"/>
      <w:divBdr>
        <w:top w:val="none" w:sz="0" w:space="0" w:color="auto"/>
        <w:left w:val="none" w:sz="0" w:space="0" w:color="auto"/>
        <w:bottom w:val="none" w:sz="0" w:space="0" w:color="auto"/>
        <w:right w:val="none" w:sz="0" w:space="0" w:color="auto"/>
      </w:divBdr>
    </w:div>
    <w:div w:id="935023370">
      <w:bodyDiv w:val="1"/>
      <w:marLeft w:val="0"/>
      <w:marRight w:val="0"/>
      <w:marTop w:val="0"/>
      <w:marBottom w:val="0"/>
      <w:divBdr>
        <w:top w:val="none" w:sz="0" w:space="0" w:color="auto"/>
        <w:left w:val="none" w:sz="0" w:space="0" w:color="auto"/>
        <w:bottom w:val="none" w:sz="0" w:space="0" w:color="auto"/>
        <w:right w:val="none" w:sz="0" w:space="0" w:color="auto"/>
      </w:divBdr>
    </w:div>
    <w:div w:id="954753074">
      <w:bodyDiv w:val="1"/>
      <w:marLeft w:val="0"/>
      <w:marRight w:val="0"/>
      <w:marTop w:val="0"/>
      <w:marBottom w:val="0"/>
      <w:divBdr>
        <w:top w:val="none" w:sz="0" w:space="0" w:color="auto"/>
        <w:left w:val="none" w:sz="0" w:space="0" w:color="auto"/>
        <w:bottom w:val="none" w:sz="0" w:space="0" w:color="auto"/>
        <w:right w:val="none" w:sz="0" w:space="0" w:color="auto"/>
      </w:divBdr>
    </w:div>
    <w:div w:id="969479919">
      <w:bodyDiv w:val="1"/>
      <w:marLeft w:val="0"/>
      <w:marRight w:val="0"/>
      <w:marTop w:val="0"/>
      <w:marBottom w:val="0"/>
      <w:divBdr>
        <w:top w:val="none" w:sz="0" w:space="0" w:color="auto"/>
        <w:left w:val="none" w:sz="0" w:space="0" w:color="auto"/>
        <w:bottom w:val="none" w:sz="0" w:space="0" w:color="auto"/>
        <w:right w:val="none" w:sz="0" w:space="0" w:color="auto"/>
      </w:divBdr>
    </w:div>
    <w:div w:id="981469847">
      <w:bodyDiv w:val="1"/>
      <w:marLeft w:val="0"/>
      <w:marRight w:val="0"/>
      <w:marTop w:val="0"/>
      <w:marBottom w:val="0"/>
      <w:divBdr>
        <w:top w:val="none" w:sz="0" w:space="0" w:color="auto"/>
        <w:left w:val="none" w:sz="0" w:space="0" w:color="auto"/>
        <w:bottom w:val="none" w:sz="0" w:space="0" w:color="auto"/>
        <w:right w:val="none" w:sz="0" w:space="0" w:color="auto"/>
      </w:divBdr>
    </w:div>
    <w:div w:id="989165142">
      <w:bodyDiv w:val="1"/>
      <w:marLeft w:val="0"/>
      <w:marRight w:val="0"/>
      <w:marTop w:val="0"/>
      <w:marBottom w:val="0"/>
      <w:divBdr>
        <w:top w:val="none" w:sz="0" w:space="0" w:color="auto"/>
        <w:left w:val="none" w:sz="0" w:space="0" w:color="auto"/>
        <w:bottom w:val="none" w:sz="0" w:space="0" w:color="auto"/>
        <w:right w:val="none" w:sz="0" w:space="0" w:color="auto"/>
      </w:divBdr>
    </w:div>
    <w:div w:id="1047610009">
      <w:bodyDiv w:val="1"/>
      <w:marLeft w:val="0"/>
      <w:marRight w:val="0"/>
      <w:marTop w:val="0"/>
      <w:marBottom w:val="0"/>
      <w:divBdr>
        <w:top w:val="none" w:sz="0" w:space="0" w:color="auto"/>
        <w:left w:val="none" w:sz="0" w:space="0" w:color="auto"/>
        <w:bottom w:val="none" w:sz="0" w:space="0" w:color="auto"/>
        <w:right w:val="none" w:sz="0" w:space="0" w:color="auto"/>
      </w:divBdr>
    </w:div>
    <w:div w:id="1068844159">
      <w:bodyDiv w:val="1"/>
      <w:marLeft w:val="0"/>
      <w:marRight w:val="0"/>
      <w:marTop w:val="0"/>
      <w:marBottom w:val="0"/>
      <w:divBdr>
        <w:top w:val="none" w:sz="0" w:space="0" w:color="auto"/>
        <w:left w:val="none" w:sz="0" w:space="0" w:color="auto"/>
        <w:bottom w:val="none" w:sz="0" w:space="0" w:color="auto"/>
        <w:right w:val="none" w:sz="0" w:space="0" w:color="auto"/>
      </w:divBdr>
    </w:div>
    <w:div w:id="1117866424">
      <w:bodyDiv w:val="1"/>
      <w:marLeft w:val="0"/>
      <w:marRight w:val="0"/>
      <w:marTop w:val="0"/>
      <w:marBottom w:val="0"/>
      <w:divBdr>
        <w:top w:val="none" w:sz="0" w:space="0" w:color="auto"/>
        <w:left w:val="none" w:sz="0" w:space="0" w:color="auto"/>
        <w:bottom w:val="none" w:sz="0" w:space="0" w:color="auto"/>
        <w:right w:val="none" w:sz="0" w:space="0" w:color="auto"/>
      </w:divBdr>
    </w:div>
    <w:div w:id="1134565783">
      <w:bodyDiv w:val="1"/>
      <w:marLeft w:val="0"/>
      <w:marRight w:val="0"/>
      <w:marTop w:val="0"/>
      <w:marBottom w:val="0"/>
      <w:divBdr>
        <w:top w:val="none" w:sz="0" w:space="0" w:color="auto"/>
        <w:left w:val="none" w:sz="0" w:space="0" w:color="auto"/>
        <w:bottom w:val="none" w:sz="0" w:space="0" w:color="auto"/>
        <w:right w:val="none" w:sz="0" w:space="0" w:color="auto"/>
      </w:divBdr>
    </w:div>
    <w:div w:id="1150946532">
      <w:bodyDiv w:val="1"/>
      <w:marLeft w:val="0"/>
      <w:marRight w:val="0"/>
      <w:marTop w:val="0"/>
      <w:marBottom w:val="0"/>
      <w:divBdr>
        <w:top w:val="none" w:sz="0" w:space="0" w:color="auto"/>
        <w:left w:val="none" w:sz="0" w:space="0" w:color="auto"/>
        <w:bottom w:val="none" w:sz="0" w:space="0" w:color="auto"/>
        <w:right w:val="none" w:sz="0" w:space="0" w:color="auto"/>
      </w:divBdr>
    </w:div>
    <w:div w:id="1158420018">
      <w:bodyDiv w:val="1"/>
      <w:marLeft w:val="0"/>
      <w:marRight w:val="0"/>
      <w:marTop w:val="0"/>
      <w:marBottom w:val="0"/>
      <w:divBdr>
        <w:top w:val="none" w:sz="0" w:space="0" w:color="auto"/>
        <w:left w:val="none" w:sz="0" w:space="0" w:color="auto"/>
        <w:bottom w:val="none" w:sz="0" w:space="0" w:color="auto"/>
        <w:right w:val="none" w:sz="0" w:space="0" w:color="auto"/>
      </w:divBdr>
    </w:div>
    <w:div w:id="1195072100">
      <w:bodyDiv w:val="1"/>
      <w:marLeft w:val="0"/>
      <w:marRight w:val="0"/>
      <w:marTop w:val="0"/>
      <w:marBottom w:val="0"/>
      <w:divBdr>
        <w:top w:val="none" w:sz="0" w:space="0" w:color="auto"/>
        <w:left w:val="none" w:sz="0" w:space="0" w:color="auto"/>
        <w:bottom w:val="none" w:sz="0" w:space="0" w:color="auto"/>
        <w:right w:val="none" w:sz="0" w:space="0" w:color="auto"/>
      </w:divBdr>
    </w:div>
    <w:div w:id="1206337106">
      <w:bodyDiv w:val="1"/>
      <w:marLeft w:val="0"/>
      <w:marRight w:val="0"/>
      <w:marTop w:val="0"/>
      <w:marBottom w:val="0"/>
      <w:divBdr>
        <w:top w:val="none" w:sz="0" w:space="0" w:color="auto"/>
        <w:left w:val="none" w:sz="0" w:space="0" w:color="auto"/>
        <w:bottom w:val="none" w:sz="0" w:space="0" w:color="auto"/>
        <w:right w:val="none" w:sz="0" w:space="0" w:color="auto"/>
      </w:divBdr>
    </w:div>
    <w:div w:id="1243955266">
      <w:bodyDiv w:val="1"/>
      <w:marLeft w:val="0"/>
      <w:marRight w:val="0"/>
      <w:marTop w:val="0"/>
      <w:marBottom w:val="0"/>
      <w:divBdr>
        <w:top w:val="none" w:sz="0" w:space="0" w:color="auto"/>
        <w:left w:val="none" w:sz="0" w:space="0" w:color="auto"/>
        <w:bottom w:val="none" w:sz="0" w:space="0" w:color="auto"/>
        <w:right w:val="none" w:sz="0" w:space="0" w:color="auto"/>
      </w:divBdr>
    </w:div>
    <w:div w:id="1257636029">
      <w:bodyDiv w:val="1"/>
      <w:marLeft w:val="0"/>
      <w:marRight w:val="0"/>
      <w:marTop w:val="0"/>
      <w:marBottom w:val="0"/>
      <w:divBdr>
        <w:top w:val="none" w:sz="0" w:space="0" w:color="auto"/>
        <w:left w:val="none" w:sz="0" w:space="0" w:color="auto"/>
        <w:bottom w:val="none" w:sz="0" w:space="0" w:color="auto"/>
        <w:right w:val="none" w:sz="0" w:space="0" w:color="auto"/>
      </w:divBdr>
    </w:div>
    <w:div w:id="1276522563">
      <w:bodyDiv w:val="1"/>
      <w:marLeft w:val="0"/>
      <w:marRight w:val="0"/>
      <w:marTop w:val="0"/>
      <w:marBottom w:val="0"/>
      <w:divBdr>
        <w:top w:val="none" w:sz="0" w:space="0" w:color="auto"/>
        <w:left w:val="none" w:sz="0" w:space="0" w:color="auto"/>
        <w:bottom w:val="none" w:sz="0" w:space="0" w:color="auto"/>
        <w:right w:val="none" w:sz="0" w:space="0" w:color="auto"/>
      </w:divBdr>
    </w:div>
    <w:div w:id="1282347227">
      <w:bodyDiv w:val="1"/>
      <w:marLeft w:val="0"/>
      <w:marRight w:val="0"/>
      <w:marTop w:val="0"/>
      <w:marBottom w:val="0"/>
      <w:divBdr>
        <w:top w:val="none" w:sz="0" w:space="0" w:color="auto"/>
        <w:left w:val="none" w:sz="0" w:space="0" w:color="auto"/>
        <w:bottom w:val="none" w:sz="0" w:space="0" w:color="auto"/>
        <w:right w:val="none" w:sz="0" w:space="0" w:color="auto"/>
      </w:divBdr>
    </w:div>
    <w:div w:id="1298099824">
      <w:bodyDiv w:val="1"/>
      <w:marLeft w:val="0"/>
      <w:marRight w:val="0"/>
      <w:marTop w:val="0"/>
      <w:marBottom w:val="0"/>
      <w:divBdr>
        <w:top w:val="none" w:sz="0" w:space="0" w:color="auto"/>
        <w:left w:val="none" w:sz="0" w:space="0" w:color="auto"/>
        <w:bottom w:val="none" w:sz="0" w:space="0" w:color="auto"/>
        <w:right w:val="none" w:sz="0" w:space="0" w:color="auto"/>
      </w:divBdr>
    </w:div>
    <w:div w:id="1318069995">
      <w:bodyDiv w:val="1"/>
      <w:marLeft w:val="0"/>
      <w:marRight w:val="0"/>
      <w:marTop w:val="0"/>
      <w:marBottom w:val="0"/>
      <w:divBdr>
        <w:top w:val="none" w:sz="0" w:space="0" w:color="auto"/>
        <w:left w:val="none" w:sz="0" w:space="0" w:color="auto"/>
        <w:bottom w:val="none" w:sz="0" w:space="0" w:color="auto"/>
        <w:right w:val="none" w:sz="0" w:space="0" w:color="auto"/>
      </w:divBdr>
    </w:div>
    <w:div w:id="1336179633">
      <w:bodyDiv w:val="1"/>
      <w:marLeft w:val="0"/>
      <w:marRight w:val="0"/>
      <w:marTop w:val="0"/>
      <w:marBottom w:val="0"/>
      <w:divBdr>
        <w:top w:val="none" w:sz="0" w:space="0" w:color="auto"/>
        <w:left w:val="none" w:sz="0" w:space="0" w:color="auto"/>
        <w:bottom w:val="none" w:sz="0" w:space="0" w:color="auto"/>
        <w:right w:val="none" w:sz="0" w:space="0" w:color="auto"/>
      </w:divBdr>
    </w:div>
    <w:div w:id="1366709503">
      <w:bodyDiv w:val="1"/>
      <w:marLeft w:val="0"/>
      <w:marRight w:val="0"/>
      <w:marTop w:val="0"/>
      <w:marBottom w:val="0"/>
      <w:divBdr>
        <w:top w:val="none" w:sz="0" w:space="0" w:color="auto"/>
        <w:left w:val="none" w:sz="0" w:space="0" w:color="auto"/>
        <w:bottom w:val="none" w:sz="0" w:space="0" w:color="auto"/>
        <w:right w:val="none" w:sz="0" w:space="0" w:color="auto"/>
      </w:divBdr>
    </w:div>
    <w:div w:id="1373917652">
      <w:bodyDiv w:val="1"/>
      <w:marLeft w:val="0"/>
      <w:marRight w:val="0"/>
      <w:marTop w:val="0"/>
      <w:marBottom w:val="0"/>
      <w:divBdr>
        <w:top w:val="none" w:sz="0" w:space="0" w:color="auto"/>
        <w:left w:val="none" w:sz="0" w:space="0" w:color="auto"/>
        <w:bottom w:val="none" w:sz="0" w:space="0" w:color="auto"/>
        <w:right w:val="none" w:sz="0" w:space="0" w:color="auto"/>
      </w:divBdr>
    </w:div>
    <w:div w:id="1413350337">
      <w:bodyDiv w:val="1"/>
      <w:marLeft w:val="0"/>
      <w:marRight w:val="0"/>
      <w:marTop w:val="0"/>
      <w:marBottom w:val="0"/>
      <w:divBdr>
        <w:top w:val="none" w:sz="0" w:space="0" w:color="auto"/>
        <w:left w:val="none" w:sz="0" w:space="0" w:color="auto"/>
        <w:bottom w:val="none" w:sz="0" w:space="0" w:color="auto"/>
        <w:right w:val="none" w:sz="0" w:space="0" w:color="auto"/>
      </w:divBdr>
    </w:div>
    <w:div w:id="1420565691">
      <w:bodyDiv w:val="1"/>
      <w:marLeft w:val="0"/>
      <w:marRight w:val="0"/>
      <w:marTop w:val="0"/>
      <w:marBottom w:val="0"/>
      <w:divBdr>
        <w:top w:val="none" w:sz="0" w:space="0" w:color="auto"/>
        <w:left w:val="none" w:sz="0" w:space="0" w:color="auto"/>
        <w:bottom w:val="none" w:sz="0" w:space="0" w:color="auto"/>
        <w:right w:val="none" w:sz="0" w:space="0" w:color="auto"/>
      </w:divBdr>
    </w:div>
    <w:div w:id="1425761901">
      <w:bodyDiv w:val="1"/>
      <w:marLeft w:val="0"/>
      <w:marRight w:val="0"/>
      <w:marTop w:val="0"/>
      <w:marBottom w:val="0"/>
      <w:divBdr>
        <w:top w:val="none" w:sz="0" w:space="0" w:color="auto"/>
        <w:left w:val="none" w:sz="0" w:space="0" w:color="auto"/>
        <w:bottom w:val="none" w:sz="0" w:space="0" w:color="auto"/>
        <w:right w:val="none" w:sz="0" w:space="0" w:color="auto"/>
      </w:divBdr>
    </w:div>
    <w:div w:id="1441879566">
      <w:bodyDiv w:val="1"/>
      <w:marLeft w:val="0"/>
      <w:marRight w:val="0"/>
      <w:marTop w:val="0"/>
      <w:marBottom w:val="0"/>
      <w:divBdr>
        <w:top w:val="none" w:sz="0" w:space="0" w:color="auto"/>
        <w:left w:val="none" w:sz="0" w:space="0" w:color="auto"/>
        <w:bottom w:val="none" w:sz="0" w:space="0" w:color="auto"/>
        <w:right w:val="none" w:sz="0" w:space="0" w:color="auto"/>
      </w:divBdr>
    </w:div>
    <w:div w:id="1460684885">
      <w:bodyDiv w:val="1"/>
      <w:marLeft w:val="0"/>
      <w:marRight w:val="0"/>
      <w:marTop w:val="0"/>
      <w:marBottom w:val="0"/>
      <w:divBdr>
        <w:top w:val="none" w:sz="0" w:space="0" w:color="auto"/>
        <w:left w:val="none" w:sz="0" w:space="0" w:color="auto"/>
        <w:bottom w:val="none" w:sz="0" w:space="0" w:color="auto"/>
        <w:right w:val="none" w:sz="0" w:space="0" w:color="auto"/>
      </w:divBdr>
    </w:div>
    <w:div w:id="1479179868">
      <w:bodyDiv w:val="1"/>
      <w:marLeft w:val="0"/>
      <w:marRight w:val="0"/>
      <w:marTop w:val="0"/>
      <w:marBottom w:val="0"/>
      <w:divBdr>
        <w:top w:val="none" w:sz="0" w:space="0" w:color="auto"/>
        <w:left w:val="none" w:sz="0" w:space="0" w:color="auto"/>
        <w:bottom w:val="none" w:sz="0" w:space="0" w:color="auto"/>
        <w:right w:val="none" w:sz="0" w:space="0" w:color="auto"/>
      </w:divBdr>
    </w:div>
    <w:div w:id="1494103438">
      <w:bodyDiv w:val="1"/>
      <w:marLeft w:val="0"/>
      <w:marRight w:val="0"/>
      <w:marTop w:val="0"/>
      <w:marBottom w:val="0"/>
      <w:divBdr>
        <w:top w:val="none" w:sz="0" w:space="0" w:color="auto"/>
        <w:left w:val="none" w:sz="0" w:space="0" w:color="auto"/>
        <w:bottom w:val="none" w:sz="0" w:space="0" w:color="auto"/>
        <w:right w:val="none" w:sz="0" w:space="0" w:color="auto"/>
      </w:divBdr>
    </w:div>
    <w:div w:id="1514685181">
      <w:bodyDiv w:val="1"/>
      <w:marLeft w:val="0"/>
      <w:marRight w:val="0"/>
      <w:marTop w:val="0"/>
      <w:marBottom w:val="0"/>
      <w:divBdr>
        <w:top w:val="none" w:sz="0" w:space="0" w:color="auto"/>
        <w:left w:val="none" w:sz="0" w:space="0" w:color="auto"/>
        <w:bottom w:val="none" w:sz="0" w:space="0" w:color="auto"/>
        <w:right w:val="none" w:sz="0" w:space="0" w:color="auto"/>
      </w:divBdr>
    </w:div>
    <w:div w:id="1568565618">
      <w:bodyDiv w:val="1"/>
      <w:marLeft w:val="0"/>
      <w:marRight w:val="0"/>
      <w:marTop w:val="0"/>
      <w:marBottom w:val="0"/>
      <w:divBdr>
        <w:top w:val="none" w:sz="0" w:space="0" w:color="auto"/>
        <w:left w:val="none" w:sz="0" w:space="0" w:color="auto"/>
        <w:bottom w:val="none" w:sz="0" w:space="0" w:color="auto"/>
        <w:right w:val="none" w:sz="0" w:space="0" w:color="auto"/>
      </w:divBdr>
    </w:div>
    <w:div w:id="1569339292">
      <w:bodyDiv w:val="1"/>
      <w:marLeft w:val="0"/>
      <w:marRight w:val="0"/>
      <w:marTop w:val="0"/>
      <w:marBottom w:val="0"/>
      <w:divBdr>
        <w:top w:val="none" w:sz="0" w:space="0" w:color="auto"/>
        <w:left w:val="none" w:sz="0" w:space="0" w:color="auto"/>
        <w:bottom w:val="none" w:sz="0" w:space="0" w:color="auto"/>
        <w:right w:val="none" w:sz="0" w:space="0" w:color="auto"/>
      </w:divBdr>
    </w:div>
    <w:div w:id="1570381339">
      <w:bodyDiv w:val="1"/>
      <w:marLeft w:val="0"/>
      <w:marRight w:val="0"/>
      <w:marTop w:val="0"/>
      <w:marBottom w:val="0"/>
      <w:divBdr>
        <w:top w:val="none" w:sz="0" w:space="0" w:color="auto"/>
        <w:left w:val="none" w:sz="0" w:space="0" w:color="auto"/>
        <w:bottom w:val="none" w:sz="0" w:space="0" w:color="auto"/>
        <w:right w:val="none" w:sz="0" w:space="0" w:color="auto"/>
      </w:divBdr>
    </w:div>
    <w:div w:id="1590891666">
      <w:bodyDiv w:val="1"/>
      <w:marLeft w:val="0"/>
      <w:marRight w:val="0"/>
      <w:marTop w:val="0"/>
      <w:marBottom w:val="0"/>
      <w:divBdr>
        <w:top w:val="none" w:sz="0" w:space="0" w:color="auto"/>
        <w:left w:val="none" w:sz="0" w:space="0" w:color="auto"/>
        <w:bottom w:val="none" w:sz="0" w:space="0" w:color="auto"/>
        <w:right w:val="none" w:sz="0" w:space="0" w:color="auto"/>
      </w:divBdr>
    </w:div>
    <w:div w:id="1596085906">
      <w:bodyDiv w:val="1"/>
      <w:marLeft w:val="0"/>
      <w:marRight w:val="0"/>
      <w:marTop w:val="0"/>
      <w:marBottom w:val="0"/>
      <w:divBdr>
        <w:top w:val="none" w:sz="0" w:space="0" w:color="auto"/>
        <w:left w:val="none" w:sz="0" w:space="0" w:color="auto"/>
        <w:bottom w:val="none" w:sz="0" w:space="0" w:color="auto"/>
        <w:right w:val="none" w:sz="0" w:space="0" w:color="auto"/>
      </w:divBdr>
    </w:div>
    <w:div w:id="1614361068">
      <w:bodyDiv w:val="1"/>
      <w:marLeft w:val="0"/>
      <w:marRight w:val="0"/>
      <w:marTop w:val="0"/>
      <w:marBottom w:val="0"/>
      <w:divBdr>
        <w:top w:val="none" w:sz="0" w:space="0" w:color="auto"/>
        <w:left w:val="none" w:sz="0" w:space="0" w:color="auto"/>
        <w:bottom w:val="none" w:sz="0" w:space="0" w:color="auto"/>
        <w:right w:val="none" w:sz="0" w:space="0" w:color="auto"/>
      </w:divBdr>
    </w:div>
    <w:div w:id="1615988312">
      <w:bodyDiv w:val="1"/>
      <w:marLeft w:val="0"/>
      <w:marRight w:val="0"/>
      <w:marTop w:val="0"/>
      <w:marBottom w:val="0"/>
      <w:divBdr>
        <w:top w:val="none" w:sz="0" w:space="0" w:color="auto"/>
        <w:left w:val="none" w:sz="0" w:space="0" w:color="auto"/>
        <w:bottom w:val="none" w:sz="0" w:space="0" w:color="auto"/>
        <w:right w:val="none" w:sz="0" w:space="0" w:color="auto"/>
      </w:divBdr>
    </w:div>
    <w:div w:id="1617174156">
      <w:bodyDiv w:val="1"/>
      <w:marLeft w:val="0"/>
      <w:marRight w:val="0"/>
      <w:marTop w:val="0"/>
      <w:marBottom w:val="0"/>
      <w:divBdr>
        <w:top w:val="none" w:sz="0" w:space="0" w:color="auto"/>
        <w:left w:val="none" w:sz="0" w:space="0" w:color="auto"/>
        <w:bottom w:val="none" w:sz="0" w:space="0" w:color="auto"/>
        <w:right w:val="none" w:sz="0" w:space="0" w:color="auto"/>
      </w:divBdr>
    </w:div>
    <w:div w:id="1664040205">
      <w:bodyDiv w:val="1"/>
      <w:marLeft w:val="0"/>
      <w:marRight w:val="0"/>
      <w:marTop w:val="0"/>
      <w:marBottom w:val="0"/>
      <w:divBdr>
        <w:top w:val="none" w:sz="0" w:space="0" w:color="auto"/>
        <w:left w:val="none" w:sz="0" w:space="0" w:color="auto"/>
        <w:bottom w:val="none" w:sz="0" w:space="0" w:color="auto"/>
        <w:right w:val="none" w:sz="0" w:space="0" w:color="auto"/>
      </w:divBdr>
    </w:div>
    <w:div w:id="1674337812">
      <w:bodyDiv w:val="1"/>
      <w:marLeft w:val="0"/>
      <w:marRight w:val="0"/>
      <w:marTop w:val="0"/>
      <w:marBottom w:val="0"/>
      <w:divBdr>
        <w:top w:val="none" w:sz="0" w:space="0" w:color="auto"/>
        <w:left w:val="none" w:sz="0" w:space="0" w:color="auto"/>
        <w:bottom w:val="none" w:sz="0" w:space="0" w:color="auto"/>
        <w:right w:val="none" w:sz="0" w:space="0" w:color="auto"/>
      </w:divBdr>
    </w:div>
    <w:div w:id="1686712767">
      <w:bodyDiv w:val="1"/>
      <w:marLeft w:val="0"/>
      <w:marRight w:val="0"/>
      <w:marTop w:val="0"/>
      <w:marBottom w:val="0"/>
      <w:divBdr>
        <w:top w:val="none" w:sz="0" w:space="0" w:color="auto"/>
        <w:left w:val="none" w:sz="0" w:space="0" w:color="auto"/>
        <w:bottom w:val="none" w:sz="0" w:space="0" w:color="auto"/>
        <w:right w:val="none" w:sz="0" w:space="0" w:color="auto"/>
      </w:divBdr>
    </w:div>
    <w:div w:id="1694183412">
      <w:bodyDiv w:val="1"/>
      <w:marLeft w:val="0"/>
      <w:marRight w:val="0"/>
      <w:marTop w:val="0"/>
      <w:marBottom w:val="0"/>
      <w:divBdr>
        <w:top w:val="none" w:sz="0" w:space="0" w:color="auto"/>
        <w:left w:val="none" w:sz="0" w:space="0" w:color="auto"/>
        <w:bottom w:val="none" w:sz="0" w:space="0" w:color="auto"/>
        <w:right w:val="none" w:sz="0" w:space="0" w:color="auto"/>
      </w:divBdr>
    </w:div>
    <w:div w:id="1704018844">
      <w:bodyDiv w:val="1"/>
      <w:marLeft w:val="0"/>
      <w:marRight w:val="0"/>
      <w:marTop w:val="0"/>
      <w:marBottom w:val="0"/>
      <w:divBdr>
        <w:top w:val="none" w:sz="0" w:space="0" w:color="auto"/>
        <w:left w:val="none" w:sz="0" w:space="0" w:color="auto"/>
        <w:bottom w:val="none" w:sz="0" w:space="0" w:color="auto"/>
        <w:right w:val="none" w:sz="0" w:space="0" w:color="auto"/>
      </w:divBdr>
    </w:div>
    <w:div w:id="1704939853">
      <w:bodyDiv w:val="1"/>
      <w:marLeft w:val="0"/>
      <w:marRight w:val="0"/>
      <w:marTop w:val="0"/>
      <w:marBottom w:val="0"/>
      <w:divBdr>
        <w:top w:val="none" w:sz="0" w:space="0" w:color="auto"/>
        <w:left w:val="none" w:sz="0" w:space="0" w:color="auto"/>
        <w:bottom w:val="none" w:sz="0" w:space="0" w:color="auto"/>
        <w:right w:val="none" w:sz="0" w:space="0" w:color="auto"/>
      </w:divBdr>
    </w:div>
    <w:div w:id="1713963713">
      <w:bodyDiv w:val="1"/>
      <w:marLeft w:val="0"/>
      <w:marRight w:val="0"/>
      <w:marTop w:val="0"/>
      <w:marBottom w:val="0"/>
      <w:divBdr>
        <w:top w:val="none" w:sz="0" w:space="0" w:color="auto"/>
        <w:left w:val="none" w:sz="0" w:space="0" w:color="auto"/>
        <w:bottom w:val="none" w:sz="0" w:space="0" w:color="auto"/>
        <w:right w:val="none" w:sz="0" w:space="0" w:color="auto"/>
      </w:divBdr>
    </w:div>
    <w:div w:id="1716855909">
      <w:bodyDiv w:val="1"/>
      <w:marLeft w:val="0"/>
      <w:marRight w:val="0"/>
      <w:marTop w:val="0"/>
      <w:marBottom w:val="0"/>
      <w:divBdr>
        <w:top w:val="none" w:sz="0" w:space="0" w:color="auto"/>
        <w:left w:val="none" w:sz="0" w:space="0" w:color="auto"/>
        <w:bottom w:val="none" w:sz="0" w:space="0" w:color="auto"/>
        <w:right w:val="none" w:sz="0" w:space="0" w:color="auto"/>
      </w:divBdr>
    </w:div>
    <w:div w:id="1732385425">
      <w:bodyDiv w:val="1"/>
      <w:marLeft w:val="0"/>
      <w:marRight w:val="0"/>
      <w:marTop w:val="0"/>
      <w:marBottom w:val="0"/>
      <w:divBdr>
        <w:top w:val="none" w:sz="0" w:space="0" w:color="auto"/>
        <w:left w:val="none" w:sz="0" w:space="0" w:color="auto"/>
        <w:bottom w:val="none" w:sz="0" w:space="0" w:color="auto"/>
        <w:right w:val="none" w:sz="0" w:space="0" w:color="auto"/>
      </w:divBdr>
    </w:div>
    <w:div w:id="1796555861">
      <w:bodyDiv w:val="1"/>
      <w:marLeft w:val="0"/>
      <w:marRight w:val="0"/>
      <w:marTop w:val="0"/>
      <w:marBottom w:val="0"/>
      <w:divBdr>
        <w:top w:val="none" w:sz="0" w:space="0" w:color="auto"/>
        <w:left w:val="none" w:sz="0" w:space="0" w:color="auto"/>
        <w:bottom w:val="none" w:sz="0" w:space="0" w:color="auto"/>
        <w:right w:val="none" w:sz="0" w:space="0" w:color="auto"/>
      </w:divBdr>
    </w:div>
    <w:div w:id="1799226374">
      <w:bodyDiv w:val="1"/>
      <w:marLeft w:val="0"/>
      <w:marRight w:val="0"/>
      <w:marTop w:val="0"/>
      <w:marBottom w:val="0"/>
      <w:divBdr>
        <w:top w:val="none" w:sz="0" w:space="0" w:color="auto"/>
        <w:left w:val="none" w:sz="0" w:space="0" w:color="auto"/>
        <w:bottom w:val="none" w:sz="0" w:space="0" w:color="auto"/>
        <w:right w:val="none" w:sz="0" w:space="0" w:color="auto"/>
      </w:divBdr>
    </w:div>
    <w:div w:id="1802458306">
      <w:bodyDiv w:val="1"/>
      <w:marLeft w:val="0"/>
      <w:marRight w:val="0"/>
      <w:marTop w:val="0"/>
      <w:marBottom w:val="0"/>
      <w:divBdr>
        <w:top w:val="none" w:sz="0" w:space="0" w:color="auto"/>
        <w:left w:val="none" w:sz="0" w:space="0" w:color="auto"/>
        <w:bottom w:val="none" w:sz="0" w:space="0" w:color="auto"/>
        <w:right w:val="none" w:sz="0" w:space="0" w:color="auto"/>
      </w:divBdr>
    </w:div>
    <w:div w:id="1804038423">
      <w:bodyDiv w:val="1"/>
      <w:marLeft w:val="0"/>
      <w:marRight w:val="0"/>
      <w:marTop w:val="0"/>
      <w:marBottom w:val="0"/>
      <w:divBdr>
        <w:top w:val="none" w:sz="0" w:space="0" w:color="auto"/>
        <w:left w:val="none" w:sz="0" w:space="0" w:color="auto"/>
        <w:bottom w:val="none" w:sz="0" w:space="0" w:color="auto"/>
        <w:right w:val="none" w:sz="0" w:space="0" w:color="auto"/>
      </w:divBdr>
    </w:div>
    <w:div w:id="1876111482">
      <w:bodyDiv w:val="1"/>
      <w:marLeft w:val="0"/>
      <w:marRight w:val="0"/>
      <w:marTop w:val="0"/>
      <w:marBottom w:val="0"/>
      <w:divBdr>
        <w:top w:val="none" w:sz="0" w:space="0" w:color="auto"/>
        <w:left w:val="none" w:sz="0" w:space="0" w:color="auto"/>
        <w:bottom w:val="none" w:sz="0" w:space="0" w:color="auto"/>
        <w:right w:val="none" w:sz="0" w:space="0" w:color="auto"/>
      </w:divBdr>
    </w:div>
    <w:div w:id="1885752692">
      <w:bodyDiv w:val="1"/>
      <w:marLeft w:val="0"/>
      <w:marRight w:val="0"/>
      <w:marTop w:val="0"/>
      <w:marBottom w:val="0"/>
      <w:divBdr>
        <w:top w:val="none" w:sz="0" w:space="0" w:color="auto"/>
        <w:left w:val="none" w:sz="0" w:space="0" w:color="auto"/>
        <w:bottom w:val="none" w:sz="0" w:space="0" w:color="auto"/>
        <w:right w:val="none" w:sz="0" w:space="0" w:color="auto"/>
      </w:divBdr>
    </w:div>
    <w:div w:id="1898206042">
      <w:bodyDiv w:val="1"/>
      <w:marLeft w:val="0"/>
      <w:marRight w:val="0"/>
      <w:marTop w:val="0"/>
      <w:marBottom w:val="0"/>
      <w:divBdr>
        <w:top w:val="none" w:sz="0" w:space="0" w:color="auto"/>
        <w:left w:val="none" w:sz="0" w:space="0" w:color="auto"/>
        <w:bottom w:val="none" w:sz="0" w:space="0" w:color="auto"/>
        <w:right w:val="none" w:sz="0" w:space="0" w:color="auto"/>
      </w:divBdr>
    </w:div>
    <w:div w:id="1910461630">
      <w:bodyDiv w:val="1"/>
      <w:marLeft w:val="0"/>
      <w:marRight w:val="0"/>
      <w:marTop w:val="0"/>
      <w:marBottom w:val="0"/>
      <w:divBdr>
        <w:top w:val="none" w:sz="0" w:space="0" w:color="auto"/>
        <w:left w:val="none" w:sz="0" w:space="0" w:color="auto"/>
        <w:bottom w:val="none" w:sz="0" w:space="0" w:color="auto"/>
        <w:right w:val="none" w:sz="0" w:space="0" w:color="auto"/>
      </w:divBdr>
    </w:div>
    <w:div w:id="1929272275">
      <w:bodyDiv w:val="1"/>
      <w:marLeft w:val="0"/>
      <w:marRight w:val="0"/>
      <w:marTop w:val="0"/>
      <w:marBottom w:val="0"/>
      <w:divBdr>
        <w:top w:val="none" w:sz="0" w:space="0" w:color="auto"/>
        <w:left w:val="none" w:sz="0" w:space="0" w:color="auto"/>
        <w:bottom w:val="none" w:sz="0" w:space="0" w:color="auto"/>
        <w:right w:val="none" w:sz="0" w:space="0" w:color="auto"/>
      </w:divBdr>
    </w:div>
    <w:div w:id="1929726120">
      <w:bodyDiv w:val="1"/>
      <w:marLeft w:val="0"/>
      <w:marRight w:val="0"/>
      <w:marTop w:val="0"/>
      <w:marBottom w:val="0"/>
      <w:divBdr>
        <w:top w:val="none" w:sz="0" w:space="0" w:color="auto"/>
        <w:left w:val="none" w:sz="0" w:space="0" w:color="auto"/>
        <w:bottom w:val="none" w:sz="0" w:space="0" w:color="auto"/>
        <w:right w:val="none" w:sz="0" w:space="0" w:color="auto"/>
      </w:divBdr>
    </w:div>
    <w:div w:id="1933469171">
      <w:bodyDiv w:val="1"/>
      <w:marLeft w:val="0"/>
      <w:marRight w:val="0"/>
      <w:marTop w:val="0"/>
      <w:marBottom w:val="0"/>
      <w:divBdr>
        <w:top w:val="none" w:sz="0" w:space="0" w:color="auto"/>
        <w:left w:val="none" w:sz="0" w:space="0" w:color="auto"/>
        <w:bottom w:val="none" w:sz="0" w:space="0" w:color="auto"/>
        <w:right w:val="none" w:sz="0" w:space="0" w:color="auto"/>
      </w:divBdr>
    </w:div>
    <w:div w:id="2025127955">
      <w:bodyDiv w:val="1"/>
      <w:marLeft w:val="0"/>
      <w:marRight w:val="0"/>
      <w:marTop w:val="0"/>
      <w:marBottom w:val="0"/>
      <w:divBdr>
        <w:top w:val="none" w:sz="0" w:space="0" w:color="auto"/>
        <w:left w:val="none" w:sz="0" w:space="0" w:color="auto"/>
        <w:bottom w:val="none" w:sz="0" w:space="0" w:color="auto"/>
        <w:right w:val="none" w:sz="0" w:space="0" w:color="auto"/>
      </w:divBdr>
    </w:div>
    <w:div w:id="213328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Aus233</b:Tag>
    <b:SourceType>DocumentFromInternetSite</b:SourceType>
    <b:Guid>{182C3762-5295-F549-819F-0EDB6DA7E612}</b:Guid>
    <b:Author>
      <b:Author>
        <b:Corporate>ACS</b:Corporate>
      </b:Author>
    </b:Author>
    <b:Title>ACS code of professional ethics. Australian Computer Society</b:Title>
    <b:URL>https://www.acs.org.au/memberships/professional-ethics-conduct-and-complaints.html</b:URL>
    <b:Year>2023</b:Year>
    <b:RefOrder>19</b:RefOrder>
  </b:Source>
  <b:Source>
    <b:Tag>ASD23</b:Tag>
    <b:SourceType>DocumentFromInternetSite</b:SourceType>
    <b:Guid>{7E4EB5A5-07EE-DC49-9321-DA19456486D5}</b:Guid>
    <b:Author>
      <b:Author>
        <b:Corporate>ASD</b:Corporate>
      </b:Author>
    </b:Author>
    <b:Title>Planning for post-quantum cryptography. Australian Cyber Security Centre.</b:Title>
    <b:URL>https://www.cyber.gov.au/sites/default/files/2025-03/Planning%20for%20post-quantum%20cryptography%20(August%202023).pdf</b:URL>
    <b:Year>2023</b:Year>
    <b:RefOrder>21</b:RefOrder>
  </b:Source>
  <b:Source>
    <b:Tag>ASD</b:Tag>
    <b:SourceType>DocumentFromInternetSite</b:SourceType>
    <b:Guid>{FEDA7335-4F1A-9146-A475-208780BB6C9F}</b:Guid>
    <b:Author>
      <b:Author>
        <b:Corporate>ASD</b:Corporate>
      </b:Author>
    </b:Author>
    <b:Title>Essential Eight maturity model. Australian Cyber Security Centre.</b:Title>
    <b:URL>https://www.cyber.gov.au/business-government/asds-cyber-security-frameworks/essential-eight/essential-eight-maturity-model</b:URL>
    <b:Year>2024</b:Year>
    <b:RefOrder>6</b:RefOrder>
  </b:Source>
  <b:Source>
    <b:Tag>ASD25</b:Tag>
    <b:SourceType>DocumentFromInternetSite</b:SourceType>
    <b:Guid>{6CDD5EFC-8970-A749-AACF-C113843C0AF9}</b:Guid>
    <b:Author>
      <b:Author>
        <b:Corporate>ASD</b:Corporate>
      </b:Author>
    </b:Author>
    <b:Title>Annual cyber threat report 2024–25. Australian Cyber Security Centre.</b:Title>
    <b:URL>https://www.cyber.gov.au/about-us/view-all-content/reports-and-statistics/annual-cyber-threat-report-2024-2025</b:URL>
    <b:Year>2025</b:Year>
    <b:RefOrder>7</b:RefOrder>
  </b:Source>
  <b:Source>
    <b:Tag>Ber17</b:Tag>
    <b:SourceType>DocumentFromInternetSite</b:SourceType>
    <b:Guid>{93E2C1F5-A47B-144A-99DC-6C2A5F7A77AC}</b:Guid>
    <b:Author>
      <b:Author>
        <b:NameList>
          <b:Person>
            <b:Last>Bernstein</b:Last>
            <b:First>D.J.</b:First>
            <b:Middle>&amp; Lange, T.</b:Middle>
          </b:Person>
        </b:NameList>
      </b:Author>
    </b:Author>
    <b:Title>Post-quantum cryptography. Nature</b:Title>
    <b:URL>https://doi.org/10.1038/nature23461</b:URL>
    <b:Year>2017</b:Year>
    <b:RefOrder>4</b:RefOrder>
  </b:Source>
  <b:Source>
    <b:Tag>Bin23</b:Tag>
    <b:SourceType>DocumentFromInternetSite</b:SourceType>
    <b:Guid>{7418AF8D-2DCF-9B4C-9396-CF890DF54171}</b:Guid>
    <b:Author>
      <b:Author>
        <b:NameList>
          <b:Person>
            <b:Last>Bindel</b:Last>
            <b:First>N.,</b:First>
            <b:Middle>Braun, J., Gladiator, L., Stöber, T. &amp; Wirth, T.</b:Middle>
          </b:Person>
        </b:NameList>
      </b:Author>
    </b:Author>
    <b:Title>Transitioning to post-quantum cryptography: A systematization of knowledge. Journal of Cybersecurity</b:Title>
    <b:URL>https://academic.oup.com/cybersecurity/article/9/1/tyad007/7130095</b:URL>
    <b:Year>2023</b:Year>
    <b:RefOrder>14</b:RefOrder>
  </b:Source>
  <b:Source>
    <b:Tag>Bla26</b:Tag>
    <b:SourceType>DocumentFromInternetSite</b:SourceType>
    <b:Guid>{9C92488B-9677-2D47-9C83-46984BC76304}</b:Guid>
    <b:Author>
      <b:Author>
        <b:NameList>
          <b:Person>
            <b:Last>Blanco-Romero</b:Last>
            <b:First>J.,</b:First>
            <b:Middle>Almenares Mendoza, F., García Rubio, C., Campo, C. &amp; Díaz Sánchez, D.</b:Middle>
          </b:Person>
        </b:NameList>
      </b:Author>
    </b:Author>
    <b:Title>On the practical feasibility of harvest-now, decrypt-later attacks</b:Title>
    <b:URL>https://arxiv.org/pdf/2603.01091</b:URL>
    <b:Year>2026</b:Year>
    <b:RefOrder>3</b:RefOrder>
  </b:Source>
  <b:Source>
    <b:Tag>Cyb24</b:Tag>
    <b:SourceType>DocumentFromInternetSite</b:SourceType>
    <b:Guid>{B14EE416-345F-0548-81DF-9FC96BCF0702}</b:Guid>
    <b:Author>
      <b:Author>
        <b:Corporate>CISA</b:Corporate>
      </b:Author>
    </b:Author>
    <b:Title>Post-quantum cryptography initiative. US Department of Homeland Security.</b:Title>
    <b:URL>https://www.cisa.gov/topics/risk-management/quantum</b:URL>
    <b:Year>2024</b:Year>
    <b:RefOrder>15</b:RefOrder>
  </b:Source>
  <b:Source>
    <b:Tag>Cro25</b:Tag>
    <b:SourceType>DocumentFromInternetSite</b:SourceType>
    <b:Guid>{330F6EA5-B9D5-B148-9760-0B436B98CE8A}</b:Guid>
    <b:Author>
      <b:Author>
        <b:NameList>
          <b:Person>
            <b:Last>CrowdStrike</b:Last>
          </b:Person>
        </b:NameList>
      </b:Author>
    </b:Author>
    <b:Title>State of SMB cybersecurity report 2025</b:Title>
    <b:URL>https://www.crowdstrike.com/en-us/press-releases/crowdstrike-unveils-smb-cyber-report-highlighting-protection-gaps/</b:URL>
    <b:Year>2025</b:Year>
    <b:RefOrder>9</b:RefOrder>
  </b:Source>
  <b:Source>
    <b:Tag>DIS23</b:Tag>
    <b:SourceType>DocumentFromInternetSite</b:SourceType>
    <b:Guid>{D5871F49-FE29-B64A-89DB-671AC995860F}</b:Guid>
    <b:Author>
      <b:Author>
        <b:Corporate>DISR</b:Corporate>
      </b:Author>
    </b:Author>
    <b:Title>Australia's artificial intelligence ethics principles. Australian Government.</b:Title>
    <b:URL>https://www.industry.gov.au/publications/australias-ai-ethics-principles</b:URL>
    <b:Year>2023</b:Year>
    <b:RefOrder>20</b:RefOrder>
  </b:Source>
  <b:Source>
    <b:Tag>Fer20</b:Tag>
    <b:SourceType>DocumentFromInternetSite</b:SourceType>
    <b:Guid>{E48E63E5-92A2-224A-8A63-CB89131A4099}</b:Guid>
    <b:Author>
      <b:Author>
        <b:NameList>
          <b:Person>
            <b:Last>Fernandez-Carames</b:Last>
            <b:First>T.M.</b:First>
            <b:Middle>&amp; Fraga-Lamas, P.</b:Middle>
          </b:Person>
        </b:NameList>
      </b:Author>
    </b:Author>
    <b:Title>Towards post-quantum blockchain: A review of blockchain cryptography from the quantum computing perspective</b:Title>
    <b:URL>https://doi.org/10.1109/ACCESS.2020.2968985</b:URL>
    <b:Year>2020</b:Year>
    <b:RefOrder>22</b:RefOrder>
  </b:Source>
  <b:Source>
    <b:Tag>Mal23</b:Tag>
    <b:SourceType>DocumentFromInternetSite</b:SourceType>
    <b:Guid>{E63F5E3C-FDBC-D34D-B1C2-AD95E22C9747}</b:Guid>
    <b:Author>
      <b:Author>
        <b:NameList>
          <b:Person>
            <b:Last>Malina</b:Last>
            <b:First>L.,</b:First>
            <b:Middle>Popelova, L., Dzurenda, P., Hajny, J. &amp; Martinasek, Z.</b:Middle>
          </b:Person>
        </b:NameList>
      </b:Author>
    </b:Author>
    <b:Title>On feasibility of post-quantum cryptography on small devices. Sensors</b:Title>
    <b:URL>https://www.mdpi.com/1424-8220/23/4/1963</b:URL>
    <b:Year>2023</b:Year>
    <b:RefOrder>13</b:RefOrder>
  </b:Source>
  <b:Source>
    <b:Tag>Mos18</b:Tag>
    <b:SourceType>DocumentFromInternetSite</b:SourceType>
    <b:Guid>{D130F1C8-E8A8-9744-9736-9C1874B4030C}</b:Guid>
    <b:Author>
      <b:Author>
        <b:NameList>
          <b:Person>
            <b:Last>Mosca</b:Last>
            <b:First>M.</b:First>
          </b:Person>
        </b:NameList>
      </b:Author>
    </b:Author>
    <b:Title>Cybersecurity in an era with quantum computers: Will we be ready? IEEE Security &amp; Privacy</b:Title>
    <b:URL>https://ieeexplore.ieee.org/document/8490169</b:URL>
    <b:Year>2018</b:Year>
    <b:RefOrder>5</b:RefOrder>
  </b:Source>
  <b:Source>
    <b:Tag>NCS25</b:Tag>
    <b:SourceType>DocumentFromInternetSite</b:SourceType>
    <b:Guid>{B8F0B1E2-57ED-F343-84A3-876835CAD1B4}</b:Guid>
    <b:Author>
      <b:Author>
        <b:Corporate>NCSC</b:Corporate>
      </b:Author>
    </b:Author>
    <b:Title>Timelines for migration to post-quantum cryptography. UK Government</b:Title>
    <b:URL>https://www.ncsc.gov.uk/guidance/pqc-migration-timelines</b:URL>
    <b:Year>2025</b:Year>
    <b:RefOrder>17</b:RefOrder>
  </b:Source>
  <b:Source>
    <b:Tag>NIS24</b:Tag>
    <b:SourceType>DocumentFromInternetSite</b:SourceType>
    <b:Guid>{A34B93A6-95FD-9242-91FB-991FF9EB2DB0}</b:Guid>
    <b:Author>
      <b:Author>
        <b:Corporate>NIST</b:Corporate>
      </b:Author>
    </b:Author>
    <b:Title>Federal information processing standards 203, 204, 205: Post-quantum cryptography standards. US Department of Commerc</b:Title>
    <b:URL>https://csrc.nist.gov/projects/post-quantum-cryptography</b:URL>
    <b:Year>2024</b:Year>
    <b:RefOrder>1</b:RefOrder>
  </b:Source>
  <b:Source>
    <b:Tag>OEC23</b:Tag>
    <b:SourceType>DocumentFromInternetSite</b:SourceType>
    <b:Guid>{87BCF6E4-B321-D748-BA63-5F63FF6F3F20}</b:Guid>
    <b:Author>
      <b:Author>
        <b:Corporate>OECD</b:Corporate>
      </b:Author>
    </b:Author>
    <b:Title>SME and entrepreneurship outlook 2024. OECD Publishing</b:Title>
    <b:URL>https://www.oecd.org/en/publications/oecd-sme-and-entrepreneurship-outlook-2023_342b8564-en.html</b:URL>
    <b:Year>2023</b:Year>
    <b:RefOrder>2</b:RefOrder>
  </b:Source>
  <b:Source>
    <b:Tag>Per09</b:Tag>
    <b:SourceType>DocumentFromInternetSite</b:SourceType>
    <b:Guid>{08E2865E-4B01-FB43-8411-878442C921AD}</b:Guid>
    <b:Author>
      <b:Author>
        <b:NameList>
          <b:Person>
            <b:Last>Perlner</b:Last>
            <b:First>R.A.</b:First>
            <b:Middle>&amp; Cooper, D.A.</b:Middle>
          </b:Person>
        </b:NameList>
      </b:Author>
    </b:Author>
    <b:Title>Quantum resistant public key cryptography: A survey. Proceedings of the 8th Symposium on Identity and Trust on the Internet,</b:Title>
    <b:URL>https://dl.acm.org/doi/abs/10.1145/1527017.1527028</b:URL>
    <b:Year>2009</b:Year>
    <b:RefOrder>16</b:RefOrder>
  </b:Source>
  <b:Source>
    <b:Tag>QNu25</b:Tag>
    <b:SourceType>DocumentFromInternetSite</b:SourceType>
    <b:Guid>{574A515D-45F0-1E4E-B089-06FE1F23A30E}</b:Guid>
    <b:Author>
      <b:Author>
        <b:Corporate>QNu Labs</b:Corporate>
      </b:Author>
    </b:Author>
    <b:Title>Quantum readiness in cybersecurity report 2025. QNu Labs</b:Title>
    <b:URL>https://www.qnulabs.com/whitepaper/quantum-readiness-cybersecurity-report-2025-qnu-labs</b:URL>
    <b:Year>2025</b:Year>
    <b:RefOrder>8</b:RefOrder>
  </b:Source>
  <b:Source>
    <b:Tag>Sec22</b:Tag>
    <b:SourceType>DocumentFromInternetSite</b:SourceType>
    <b:Guid>{DE040175-6C2E-7841-B612-10DCD7EAB589}</b:Guid>
    <b:Author>
      <b:Author>
        <b:NameList>
          <b:Person>
            <b:Last>2018</b:Last>
            <b:First>Security</b:First>
            <b:Middle>of Critical Infrastructure Act</b:Middle>
          </b:Person>
        </b:NameList>
      </b:Author>
    </b:Author>
    <b:Title>Federal Register of Legislation</b:Title>
    <b:URL>https://www.legislation.gov.au/C2004A04121/2022-01-01/text</b:URL>
    <b:Year>2022</b:Year>
    <b:RefOrder>23</b:RefOrder>
  </b:Source>
  <b:Source>
    <b:Tag>Tup18</b:Tag>
    <b:SourceType>DocumentFromInternetSite</b:SourceType>
    <b:Guid>{BCE2D199-6E2A-4649-B048-38752911EEA3}</b:Guid>
    <b:Author>
      <b:Author>
        <b:NameList>
          <b:Person>
            <b:Last>Tuptuk</b:Last>
            <b:First>N.</b:First>
            <b:Middle>&amp; Hailes, S.</b:Middle>
          </b:Person>
        </b:NameList>
      </b:Author>
    </b:Author>
    <b:Title>Security of smart manufacturing systems. Journal of Manufacturing Systems</b:Title>
    <b:URL>https://www.sciencedirect.com/science/article/pii/S0278612518300463?via%3Dihub</b:URL>
    <b:Year>2018</b:Year>
    <b:RefOrder>18</b:RefOrder>
  </b:Source>
  <b:Source>
    <b:Tag>Web02</b:Tag>
    <b:SourceType>DocumentFromInternetSite</b:SourceType>
    <b:Guid>{2066150C-62E6-7A49-AA1C-DC6C0A2459C9}</b:Guid>
    <b:Author>
      <b:Author>
        <b:NameList>
          <b:Person>
            <b:Last>Webster</b:Last>
            <b:First>J.</b:First>
            <b:Middle>&amp; Watson, R.T.</b:Middle>
          </b:Person>
        </b:NameList>
      </b:Author>
    </b:Author>
    <b:Title>Analyzing the past to prepare for the future: Writing a literature review. MIS Quarterly</b:Title>
    <b:URL>https://www.jstor.org/stable/4132319</b:URL>
    <b:Year>2002</b:Year>
    <b:RefOrder>24</b:RefOrder>
  </b:Source>
  <b:Source>
    <b:Tag>Web24</b:Tag>
    <b:SourceType>DocumentFromInternetSite</b:SourceType>
    <b:Guid>{99A5A544-FFDA-514E-A955-47EE5D20BD34}</b:Guid>
    <b:Author>
      <b:Author>
        <b:NameList>
          <b:Person>
            <b:Last>Weber</b:Last>
            <b:First>M.,</b:First>
            <b:Middle>Schütz, A., Fertig, T. &amp; Hemsen, H.</b:Middle>
          </b:Person>
        </b:NameList>
      </b:Author>
    </b:Author>
    <b:Title>SME cybersecurity adoption barriers: A systematic literature review. Computers &amp; Security</b:Title>
    <b:URL>https://www.sciencedirect.com/science/article/abs/pii/S0167404823005679?via%3Dihub</b:URL>
    <b:Year>2024</b:Year>
    <b:RefOrder>12</b:RefOrder>
  </b:Source>
  <b:Source>
    <b:Tag>Pri22</b:Tag>
    <b:SourceType>DocumentFromInternetSite</b:SourceType>
    <b:Guid>{A8EC2C04-093D-B74A-A531-B769C2611F04}</b:Guid>
    <b:Author>
      <b:Author>
        <b:Corporate> Privacy Act 1988</b:Corporate>
      </b:Author>
    </b:Author>
    <b:Title>Federal Register of Legislation</b:Title>
    <b:URL>https://www.legislation.gov.au/C2004A03712/2022-12-13/text</b:URL>
    <b:Year>2022</b:Year>
    <b:RefOrder>10</b:RefOrder>
  </b:Source>
  <b:Source>
    <b:Tag>MyH12</b:Tag>
    <b:SourceType>DocumentFromInternetSite</b:SourceType>
    <b:Guid>{921636B4-75ED-C449-B515-FFAFD1539848}</b:Guid>
    <b:Author>
      <b:Author>
        <b:Corporate>My Health Records Act 2012</b:Corporate>
      </b:Author>
    </b:Author>
    <b:Title>Federal Register of Legislation</b:Title>
    <b:URL>https://www.legislation.gov.au/C2004A05168/2022-09-28/text</b:URL>
    <b:Year>2012</b:Year>
    <b:RefOrder>11</b:RefOrder>
  </b:Source>
</b:Sources>
</file>

<file path=customXml/itemProps1.xml><?xml version="1.0" encoding="utf-8"?>
<ds:datastoreItem xmlns:ds="http://schemas.openxmlformats.org/officeDocument/2006/customXml" ds:itemID="{8703A153-1E2D-0D40-81CD-99916CB98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7237</Words>
  <Characters>41255</Characters>
  <Application>Microsoft Office Word</Application>
  <DocSecurity>0</DocSecurity>
  <Lines>343</Lines>
  <Paragraphs>96</Paragraphs>
  <ScaleCrop>false</ScaleCrop>
  <Company/>
  <LinksUpToDate>false</LinksUpToDate>
  <CharactersWithSpaces>48396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Prajita Shrestha (SHEA25057)</dc:creator>
  <cp:keywords/>
  <dc:description/>
  <cp:lastModifiedBy>Prajita Shrestha (SHEA25057)</cp:lastModifiedBy>
  <cp:revision>2</cp:revision>
  <dcterms:created xsi:type="dcterms:W3CDTF">2026-07-11T23:27:00Z</dcterms:created>
  <dcterms:modified xsi:type="dcterms:W3CDTF">2026-07-11T23:27:00Z</dcterms:modified>
</cp:coreProperties>
</file>