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PRAJVAL SRIVASTAVA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18"/>
          <w:szCs w:val="18"/>
          <w:rtl w:val="0"/>
        </w:rPr>
        <w:t xml:space="preserve">Corporate Finance &amp; Financial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17"/>
          <w:szCs w:val="17"/>
          <w:rtl w:val="0"/>
        </w:rPr>
        <w:t xml:space="preserve">+91 9118412606  ·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7"/>
            <w:szCs w:val="17"/>
            <w:u w:val="single"/>
            <w:rtl w:val="0"/>
          </w:rPr>
          <w:t xml:space="preserve">27-prajval.srivastava@fiib.edu.in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7"/>
          <w:szCs w:val="17"/>
          <w:rtl w:val="0"/>
        </w:rPr>
        <w:t xml:space="preserve">  ·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7"/>
          <w:szCs w:val="17"/>
          <w:rtl w:val="0"/>
        </w:rPr>
        <w:t xml:space="preserve">  · 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17"/>
            <w:szCs w:val="17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7"/>
          <w:szCs w:val="17"/>
          <w:rtl w:val="0"/>
        </w:rPr>
        <w:t xml:space="preserve">  ·  New 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6" w:val="single"/>
        </w:pBd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="235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PGDM Finance candidate at FIIB with Corporate Finance internship experience at Arizon Network India, building a financial benchmarking database covering 50 companies across seven sectors and conducting a financial benchmarking study on three NSE-listed companies using ratio analysis, DuPont decomposition, and financial red-flag assessment.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Skilled in translating financial statements into performance insights with academic grounding in Financial Statement Analysis, Corporate Finance, and Advanced Excel.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Seeking a Corporate Finance role where structured financial evaluation supports strategic business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1" w:sz="6" w:val="single"/>
        </w:pBd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504"/>
        </w:tabs>
        <w:spacing w:after="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19"/>
          <w:szCs w:val="19"/>
          <w:rtl w:val="0"/>
        </w:rPr>
        <w:t xml:space="preserve">Post Graduate Diploma in Management (Finance)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18"/>
          <w:szCs w:val="18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35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Fortune Institute of International Business (FIIB), New Delhi · CGPA: 7.6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504"/>
        </w:tabs>
        <w:spacing w:after="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19"/>
          <w:szCs w:val="19"/>
          <w:rtl w:val="0"/>
        </w:rPr>
        <w:t xml:space="preserve">Bachelor of Commerce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18"/>
          <w:szCs w:val="18"/>
          <w:rtl w:val="0"/>
        </w:rPr>
        <w:t xml:space="preserve">2021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35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Mahatma Gandhi Kashi Vidyapith, Varanasi · CGPA: 7.6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1" w:sz="6" w:val="single"/>
        </w:pBd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504"/>
        </w:tabs>
        <w:spacing w:after="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19"/>
          <w:szCs w:val="19"/>
          <w:rtl w:val="0"/>
        </w:rPr>
        <w:t xml:space="preserve">Finance Intern, Arizon Network India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18"/>
          <w:szCs w:val="18"/>
          <w:rtl w:val="0"/>
        </w:rPr>
        <w:t xml:space="preserve">Apr –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Enabled faster, data-driven sector screening for the finance team, cutting manual data-pulling time by 30%,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building a 50-company, 7-industry financial research database structuring comparative fields for business model, financial performance, and sector positioning.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Delivered a comparative financial health assessment across 3 listed media companies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(ZEEL, Jagran Prakashan, DB Corp) by building a 4-year Excel benchmarking model, surfacing profitability and efficiency gaps used to inform sector positioning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Flagged earnings-quality and leverage risks across 3 NSE-listed companies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through 5-step DuPont decomposition and red-flag screening (cash flow trends, debt movements, profitability drivers), producing investment-oriented risk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504"/>
        </w:tabs>
        <w:spacing w:after="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19"/>
          <w:szCs w:val="19"/>
          <w:rtl w:val="0"/>
        </w:rPr>
        <w:t xml:space="preserve">Social Intern, Giftable India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18"/>
          <w:szCs w:val="18"/>
          <w:rtl w:val="0"/>
        </w:rPr>
        <w:t xml:space="preserve">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Improved candidate-data reliability for inclusive hiring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conducting structured telephonic outreach with 150–200 PWD candidates, validating and segmenting profiles across education, employability readiness, and role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Strengthened interview-readiness for 20–30 PWD candidates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co-designing and delivering a grooming and interview-prep workshop, and contributed to inclusive job description drafts used in employer outreach.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f3864" w:space="1" w:sz="6" w:val="single"/>
        </w:pBd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Financial Statement Analysis of Sun Pharmaceutical Industries, FIIB (Aug–Sep 2025):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Identified 8–15% YoY swings in revenue, profitability, and cost structure by analyzing 5 years of audited Sun Pharma financials via Vertical and Horizontal Analysis, and cut analysis time for recurring metric checks by 40% by building an Excel KPI dashboard (Revenue Growth, Net Profit Margin, ROE, ROA).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1" w:sz="6" w:val="single"/>
        </w:pBd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Cut manual data-pulling time by 30%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building a 50-company, 7-industry financial research database during a Corporate Finance internship at Arizon Network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Flagged earnings-quality and leverage risks across 3 NSE-listed companies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through 5-step DuPont decomposition and red-flag screening.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35" w:lineRule="auto"/>
        <w:ind w:left="288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Cut recurring metric-check analysis time by 40%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building an Excel KPI dashboard for a Sun Pharma financial statement analysis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3864" w:space="1" w:sz="6" w:val="single"/>
        </w:pBd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19"/>
          <w:szCs w:val="19"/>
          <w:rtl w:val="0"/>
        </w:rPr>
        <w:t xml:space="preserve">SKILLS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35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Technical Skills: Financial Statement Analysis · Financial Reporting &amp; Analysis · Ratio Analysis · DuPont Analysis · Financial Benchmarking · Financial Modelling (Excel) · Business Research ·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35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Tools: Microsoft Excel (PivotTables, XLOOKUP, HLOOKUP, INDEX-MATCH, Conditional Formatting) · Power BI · Python · Microsoft PowerPoint · Microsoft Word · AI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35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Business Skills: Analytical Thinking · Problem Solving · Communication · Team Collaboration · Adaptability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60" w:top="260" w:left="560" w:right="5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rporate-finance-po-5khh.bolt.hos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7-prajval.srivastava@fiib.edu.in" TargetMode="External"/><Relationship Id="rId8" Type="http://schemas.openxmlformats.org/officeDocument/2006/relationships/hyperlink" Target="https://www.linkedin.com/in/prajvalsrivast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yc16e9qpvBqkjo2p2uVLobbZg==">CgMxLjA4AHIhMUJxNFdmVUJ4anV1SG8wMDFrdVd6TVVkc3RDN2FVdnIt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2026-09-03T09:09:23.272Z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