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10080"/>
      </w:tblGrid>
      <w:tr>
        <w:tc>
          <w:tcPr>
            <w:tcW w:type="dxa" w:w="10080"/>
            <w:tcBorders>
              <w:top w:val="none" w:color="FFFFFF" w:sz="0"/>
              <w:left w:val="none" w:color="FFFFFF" w:sz="0"/>
              <w:bottom w:val="none" w:color="FFFFFF" w:sz="0"/>
              <w:right w:val="none" w:color="FFFFFF" w:sz="0"/>
            </w:tcBorders>
            <w:shd w:fill="1F4E79" w:val="clear"/>
            <w:tcMar>
              <w:top w:type="dxa" w:w="560"/>
              <w:left w:type="dxa" w:w="480"/>
              <w:bottom w:type="dxa" w:w="560"/>
              <w:right w:type="dxa" w:w="480"/>
            </w:tcMar>
          </w:tcPr>
          <w:p>
            <w:pPr>
              <w:spacing w:after="80" w:before="0"/>
              <w:jc w:val="center"/>
            </w:pPr>
            <w:r>
              <w:rPr>
                <w:rFonts w:ascii="Arial" w:cs="Arial" w:eastAsia="Arial" w:hAnsi="Arial"/>
                <w:b/>
                <w:bCs/>
                <w:color w:val="FFFFFF"/>
                <w:sz w:val="52"/>
                <w:szCs w:val="52"/>
              </w:rPr>
              <w:t xml:space="preserve">AMAZON EC2</w:t>
            </w:r>
          </w:p>
          <w:p>
            <w:pPr>
              <w:spacing w:after="80" w:before="0"/>
              <w:jc w:val="center"/>
            </w:pPr>
            <w:r>
              <w:rPr>
                <w:rFonts w:ascii="Arial" w:cs="Arial" w:eastAsia="Arial" w:hAnsi="Arial"/>
                <w:color w:val="BDD7EE"/>
                <w:sz w:val="32"/>
                <w:szCs w:val="32"/>
              </w:rPr>
              <w:t xml:space="preserve">Elastic Compute Cloud</w:t>
            </w:r>
          </w:p>
          <w:p>
            <w:pPr>
              <w:spacing w:after="0" w:before="160"/>
              <w:jc w:val="center"/>
            </w:pPr>
            <w:r>
              <w:rPr>
                <w:rFonts w:ascii="Arial" w:cs="Arial" w:eastAsia="Arial" w:hAnsi="Arial"/>
                <w:b/>
                <w:bCs/>
                <w:color w:val="FCE4D6"/>
                <w:sz w:val="24"/>
                <w:szCs w:val="24"/>
              </w:rPr>
              <w:t xml:space="preserve">DETAILED CASE STUDY</w:t>
            </w:r>
          </w:p>
          <w:p>
            <w:pPr>
              <w:spacing w:after="0" w:before="120"/>
              <w:jc w:val="center"/>
            </w:pPr>
            <w:r>
              <w:rPr>
                <w:rFonts w:ascii="Arial" w:cs="Arial" w:eastAsia="Arial" w:hAnsi="Arial"/>
                <w:color w:val="BDD7EE"/>
                <w:sz w:val="20"/>
                <w:szCs w:val="20"/>
              </w:rPr>
              <w:t xml:space="preserve">Amazon Web Services  |  2006 – Present</w:t>
            </w:r>
          </w:p>
        </w:tc>
      </w:tr>
    </w:tbl>
    <w:p>
      <w:pPr>
        <w:spacing w:after="160" w:before="0"/>
      </w:pPr>
      <w:r>
        <w:t xml:space="preserve"/>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3360"/>
        <w:gridCol w:w="3360"/>
        <w:gridCol w:w="3360"/>
      </w:tblGrid>
      <w:tr>
        <w:tc>
          <w:tcPr>
            <w:tcW w:type="dxa" w:w="3360"/>
            <w:tcBorders>
              <w:top w:val="single" w:color="CCCCCC" w:sz="1"/>
              <w:left w:val="single" w:color="CCCCCC" w:sz="1"/>
              <w:bottom w:val="single" w:color="CCCCCC" w:sz="1"/>
              <w:right w:val="single" w:color="CCCCCC" w:sz="1"/>
            </w:tcBorders>
            <w:shd w:fill="D6E4F0" w:val="clear"/>
            <w:tcMar>
              <w:top w:type="dxa" w:w="120"/>
              <w:left w:type="dxa" w:w="160"/>
              <w:bottom w:type="dxa" w:w="120"/>
              <w:right w:type="dxa" w:w="160"/>
            </w:tcMar>
          </w:tcPr>
          <w:p>
            <w:pPr>
              <w:jc w:val="center"/>
            </w:pPr>
            <w:r>
              <w:rPr>
                <w:rFonts w:ascii="Arial" w:cs="Arial" w:eastAsia="Arial" w:hAnsi="Arial"/>
                <w:b/>
                <w:bCs/>
                <w:color w:val="2E75B6"/>
                <w:sz w:val="40"/>
                <w:szCs w:val="40"/>
              </w:rPr>
              <w:t xml:space="preserve">31%</w:t>
            </w:r>
          </w:p>
          <w:p>
            <w:pPr>
              <w:jc w:val="center"/>
            </w:pPr>
            <w:r>
              <w:rPr>
                <w:rFonts w:ascii="Arial" w:cs="Arial" w:eastAsia="Arial" w:hAnsi="Arial"/>
                <w:color w:val="555555"/>
                <w:sz w:val="19"/>
                <w:szCs w:val="19"/>
              </w:rPr>
              <w:t xml:space="preserve">Global cloud market share</w:t>
            </w:r>
          </w:p>
        </w:tc>
        <w:tc>
          <w:tcPr>
            <w:tcW w:type="dxa" w:w="3360"/>
            <w:tcBorders>
              <w:top w:val="single" w:color="CCCCCC" w:sz="1"/>
              <w:left w:val="single" w:color="CCCCCC" w:sz="1"/>
              <w:bottom w:val="single" w:color="CCCCCC" w:sz="1"/>
              <w:right w:val="single" w:color="CCCCCC" w:sz="1"/>
            </w:tcBorders>
            <w:shd w:fill="D6E4F0" w:val="clear"/>
            <w:tcMar>
              <w:top w:type="dxa" w:w="120"/>
              <w:left w:type="dxa" w:w="160"/>
              <w:bottom w:type="dxa" w:w="120"/>
              <w:right w:type="dxa" w:w="160"/>
            </w:tcMar>
          </w:tcPr>
          <w:p>
            <w:pPr>
              <w:jc w:val="center"/>
            </w:pPr>
            <w:r>
              <w:rPr>
                <w:rFonts w:ascii="Arial" w:cs="Arial" w:eastAsia="Arial" w:hAnsi="Arial"/>
                <w:b/>
                <w:bCs/>
                <w:color w:val="2E75B6"/>
                <w:sz w:val="40"/>
                <w:szCs w:val="40"/>
              </w:rPr>
              <w:t xml:space="preserve">750+</w:t>
            </w:r>
          </w:p>
          <w:p>
            <w:pPr>
              <w:jc w:val="center"/>
            </w:pPr>
            <w:r>
              <w:rPr>
                <w:rFonts w:ascii="Arial" w:cs="Arial" w:eastAsia="Arial" w:hAnsi="Arial"/>
                <w:color w:val="555555"/>
                <w:sz w:val="19"/>
                <w:szCs w:val="19"/>
              </w:rPr>
              <w:t xml:space="preserve">Instance types available</w:t>
            </w:r>
          </w:p>
        </w:tc>
        <w:tc>
          <w:tcPr>
            <w:tcW w:type="dxa" w:w="3360"/>
            <w:tcBorders>
              <w:top w:val="single" w:color="CCCCCC" w:sz="1"/>
              <w:left w:val="single" w:color="CCCCCC" w:sz="1"/>
              <w:bottom w:val="single" w:color="CCCCCC" w:sz="1"/>
              <w:right w:val="single" w:color="CCCCCC" w:sz="1"/>
            </w:tcBorders>
            <w:shd w:fill="D6E4F0" w:val="clear"/>
            <w:tcMar>
              <w:top w:type="dxa" w:w="120"/>
              <w:left w:type="dxa" w:w="160"/>
              <w:bottom w:type="dxa" w:w="120"/>
              <w:right w:type="dxa" w:w="160"/>
            </w:tcMar>
          </w:tcPr>
          <w:p>
            <w:pPr>
              <w:jc w:val="center"/>
            </w:pPr>
            <w:r>
              <w:rPr>
                <w:rFonts w:ascii="Arial" w:cs="Arial" w:eastAsia="Arial" w:hAnsi="Arial"/>
                <w:b/>
                <w:bCs/>
                <w:color w:val="2E75B6"/>
                <w:sz w:val="40"/>
                <w:szCs w:val="40"/>
              </w:rPr>
              <w:t xml:space="preserve">34</w:t>
            </w:r>
          </w:p>
          <w:p>
            <w:pPr>
              <w:jc w:val="center"/>
            </w:pPr>
            <w:r>
              <w:rPr>
                <w:rFonts w:ascii="Arial" w:cs="Arial" w:eastAsia="Arial" w:hAnsi="Arial"/>
                <w:color w:val="555555"/>
                <w:sz w:val="19"/>
                <w:szCs w:val="19"/>
              </w:rPr>
              <w:t xml:space="preserve">Geographic regions globally</w:t>
            </w:r>
          </w:p>
        </w:tc>
      </w:tr>
    </w:tbl>
    <w:p>
      <w:pPr>
        <w:spacing w:after="160" w:before="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2E75B6" w:val="clear"/>
            <w:tcMar>
              <w:top w:type="dxa" w:w="120"/>
              <w:left w:type="dxa" w:w="200"/>
              <w:bottom w:type="dxa" w:w="120"/>
              <w:right w:type="dxa" w:w="200"/>
            </w:tcMar>
          </w:tcPr>
          <w:p>
            <w:pPr>
              <w:jc w:val="left"/>
            </w:pPr>
            <w:r>
              <w:rPr>
                <w:rFonts w:ascii="Arial" w:cs="Arial" w:eastAsia="Arial" w:hAnsi="Arial"/>
                <w:b/>
                <w:bCs/>
                <w:color w:val="FFFFFF"/>
                <w:sz w:val="26"/>
                <w:szCs w:val="26"/>
              </w:rPr>
              <w:t xml:space="preserve">Section 1: Background &amp; Origins</w:t>
            </w:r>
          </w:p>
        </w:tc>
      </w:tr>
    </w:tbl>
    <w:p>
      <w:pPr>
        <w:spacing w:after="80" w:before="0"/>
      </w:pPr>
      <w:r>
        <w:t xml:space="preserve"/>
      </w:r>
    </w:p>
    <w:p>
      <w:pPr>
        <w:pStyle w:val="Heading2"/>
        <w:pBdr>
          <w:bottom w:val="single" w:color="2E75B6" w:sz="4" w:space="4"/>
        </w:pBdr>
        <w:spacing w:after="120" w:before="280"/>
      </w:pPr>
      <w:r>
        <w:rPr>
          <w:rFonts w:ascii="Arial" w:cs="Arial" w:eastAsia="Arial" w:hAnsi="Arial"/>
          <w:b/>
          <w:bCs/>
          <w:color w:val="2E75B6"/>
          <w:sz w:val="28"/>
          <w:szCs w:val="28"/>
        </w:rPr>
        <w:t xml:space="preserve">What is Amazon EC2?</w:t>
      </w:r>
    </w:p>
    <w:p>
      <w:pPr>
        <w:spacing w:after="80" w:before="60"/>
      </w:pPr>
      <w:r>
        <w:rPr>
          <w:rFonts w:ascii="Arial" w:cs="Arial" w:eastAsia="Arial" w:hAnsi="Arial"/>
          <w:color w:val="1A1A1A"/>
          <w:sz w:val="22"/>
          <w:szCs w:val="22"/>
        </w:rPr>
        <w:t xml:space="preserve">Amazon Elastic Compute Cloud (EC2) is the flagship compute service of Amazon Web Services (AWS), providing on-demand, scalable virtual servers — called instances — in the cloud. Launched in beta in August 2006, EC2 eliminated the need for organizations to invest in physical hardware, enabling anyone to rent compute capacity by the hour, scale instantly, and pay only for what they use.</w:t>
      </w:r>
    </w:p>
    <w:p>
      <w:pPr>
        <w:spacing w:after="80" w:before="0"/>
      </w:pPr>
      <w:r>
        <w:t xml:space="preserve"/>
      </w:r>
    </w:p>
    <w:p>
      <w:pPr>
        <w:spacing w:after="80" w:before="60"/>
      </w:pPr>
      <w:r>
        <w:rPr>
          <w:rFonts w:ascii="Arial" w:cs="Arial" w:eastAsia="Arial" w:hAnsi="Arial"/>
          <w:color w:val="1A1A1A"/>
          <w:sz w:val="22"/>
          <w:szCs w:val="22"/>
        </w:rPr>
        <w:t xml:space="preserve">EC2 is classified as Infrastructure as a Service (IaaS) — it provides the raw compute layer (CPU, RAM, networking, storage) while the customer controls the operating system, runtime environment, and applications running on top.</w:t>
      </w:r>
    </w:p>
    <w:p>
      <w:pPr>
        <w:spacing w:after="80" w:before="0"/>
      </w:pPr>
      <w:r>
        <w:t xml:space="preserve"/>
      </w:r>
    </w:p>
    <w:p>
      <w:pPr>
        <w:pStyle w:val="Heading2"/>
        <w:pBdr>
          <w:bottom w:val="single" w:color="2E75B6" w:sz="4" w:space="4"/>
        </w:pBdr>
        <w:spacing w:after="120" w:before="280"/>
      </w:pPr>
      <w:r>
        <w:rPr>
          <w:rFonts w:ascii="Arial" w:cs="Arial" w:eastAsia="Arial" w:hAnsi="Arial"/>
          <w:b/>
          <w:bCs/>
          <w:color w:val="2E75B6"/>
          <w:sz w:val="28"/>
          <w:szCs w:val="28"/>
        </w:rPr>
        <w:t xml:space="preserve">The Problem EC2 Was Built to Solve</w:t>
      </w:r>
    </w:p>
    <w:p>
      <w:pPr>
        <w:spacing w:after="80" w:before="60"/>
      </w:pPr>
      <w:r>
        <w:rPr>
          <w:rFonts w:ascii="Arial" w:cs="Arial" w:eastAsia="Arial" w:hAnsi="Arial"/>
          <w:color w:val="1A1A1A"/>
          <w:sz w:val="22"/>
          <w:szCs w:val="22"/>
        </w:rPr>
        <w:t xml:space="preserve">Before cloud computing, organizations faced a painful dichotomy: either buy and operate expensive on-premises servers (accepting high upfront costs and idle capacity during off-peak periods) or be constrained in their ability to scale rapidly during demand spikes.</w:t>
      </w:r>
    </w:p>
    <w:p>
      <w:pPr>
        <w:spacing w:after="80" w:before="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3580"/>
        <w:gridCol w:w="3580"/>
      </w:tblGrid>
      <w:tr>
        <w:tc>
          <w:tcPr>
            <w:tcW w:type="dxa" w:w="220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r>
              <w:rPr>
                <w:rFonts w:ascii="Arial" w:cs="Arial" w:eastAsia="Arial" w:hAnsi="Arial"/>
                <w:b/>
                <w:bCs/>
                <w:color w:val="FFFFFF"/>
                <w:sz w:val="20"/>
                <w:szCs w:val="20"/>
              </w:rPr>
              <w:t xml:space="preserve">Challenge</w:t>
            </w:r>
          </w:p>
        </w:tc>
        <w:tc>
          <w:tcPr>
            <w:tcW w:type="dxa" w:w="358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r>
              <w:rPr>
                <w:rFonts w:ascii="Arial" w:cs="Arial" w:eastAsia="Arial" w:hAnsi="Arial"/>
                <w:b/>
                <w:bCs/>
                <w:color w:val="FFFFFF"/>
                <w:sz w:val="20"/>
                <w:szCs w:val="20"/>
              </w:rPr>
              <w:t xml:space="preserve">Traditional Infrastructure</w:t>
            </w:r>
          </w:p>
        </w:tc>
        <w:tc>
          <w:tcPr>
            <w:tcW w:type="dxa" w:w="358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r>
              <w:rPr>
                <w:rFonts w:ascii="Arial" w:cs="Arial" w:eastAsia="Arial" w:hAnsi="Arial"/>
                <w:b/>
                <w:bCs/>
                <w:color w:val="FFFFFF"/>
                <w:sz w:val="20"/>
                <w:szCs w:val="20"/>
              </w:rPr>
              <w:t xml:space="preserve">With Amazon EC2</w:t>
            </w:r>
          </w:p>
        </w:tc>
      </w:tr>
      <w:tr>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1A"/>
                <w:sz w:val="20"/>
                <w:szCs w:val="20"/>
              </w:rPr>
              <w:t xml:space="preserve">Server provisioning time</w:t>
            </w:r>
          </w:p>
        </w:tc>
        <w:tc>
          <w:tcPr>
            <w:tcW w:type="dxa" w:w="35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1A"/>
                <w:sz w:val="20"/>
                <w:szCs w:val="20"/>
              </w:rPr>
              <w:t xml:space="preserve">Weeks to months</w:t>
            </w:r>
          </w:p>
        </w:tc>
        <w:tc>
          <w:tcPr>
            <w:tcW w:type="dxa" w:w="35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1A"/>
                <w:sz w:val="20"/>
                <w:szCs w:val="20"/>
              </w:rPr>
              <w:t xml:space="preserve">Under 60 seconds</w:t>
            </w:r>
          </w:p>
        </w:tc>
      </w:tr>
      <w:tr>
        <w:tc>
          <w:tcPr>
            <w:tcW w:type="dxa" w:w="22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color w:val="1A1A1A"/>
                <w:sz w:val="20"/>
                <w:szCs w:val="20"/>
              </w:rPr>
              <w:t xml:space="preserve">Cost model</w:t>
            </w:r>
          </w:p>
        </w:tc>
        <w:tc>
          <w:tcPr>
            <w:tcW w:type="dxa" w:w="358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color w:val="1A1A1A"/>
                <w:sz w:val="20"/>
                <w:szCs w:val="20"/>
              </w:rPr>
              <w:t xml:space="preserve">Large upfront CapEx</w:t>
            </w:r>
          </w:p>
        </w:tc>
        <w:tc>
          <w:tcPr>
            <w:tcW w:type="dxa" w:w="358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color w:val="1A1A1A"/>
                <w:sz w:val="20"/>
                <w:szCs w:val="20"/>
              </w:rPr>
              <w:t xml:space="preserve">Pay-as-you-go OpEx</w:t>
            </w:r>
          </w:p>
        </w:tc>
      </w:tr>
      <w:tr>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1A"/>
                <w:sz w:val="20"/>
                <w:szCs w:val="20"/>
              </w:rPr>
              <w:t xml:space="preserve">Traffic spikes</w:t>
            </w:r>
          </w:p>
        </w:tc>
        <w:tc>
          <w:tcPr>
            <w:tcW w:type="dxa" w:w="35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1A"/>
                <w:sz w:val="20"/>
                <w:szCs w:val="20"/>
              </w:rPr>
              <w:t xml:space="preserve">Must over-provision</w:t>
            </w:r>
          </w:p>
        </w:tc>
        <w:tc>
          <w:tcPr>
            <w:tcW w:type="dxa" w:w="35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1A"/>
                <w:sz w:val="20"/>
                <w:szCs w:val="20"/>
              </w:rPr>
              <w:t xml:space="preserve">Auto Scaling handles automatically</w:t>
            </w:r>
          </w:p>
        </w:tc>
      </w:tr>
      <w:tr>
        <w:tc>
          <w:tcPr>
            <w:tcW w:type="dxa" w:w="22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color w:val="1A1A1A"/>
                <w:sz w:val="20"/>
                <w:szCs w:val="20"/>
              </w:rPr>
              <w:t xml:space="preserve">Idle capacity</w:t>
            </w:r>
          </w:p>
        </w:tc>
        <w:tc>
          <w:tcPr>
            <w:tcW w:type="dxa" w:w="358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color w:val="1A1A1A"/>
                <w:sz w:val="20"/>
                <w:szCs w:val="20"/>
              </w:rPr>
              <w:t xml:space="preserve">Hardware sits unused</w:t>
            </w:r>
          </w:p>
        </w:tc>
        <w:tc>
          <w:tcPr>
            <w:tcW w:type="dxa" w:w="358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color w:val="1A1A1A"/>
                <w:sz w:val="20"/>
                <w:szCs w:val="20"/>
              </w:rPr>
              <w:t xml:space="preserve">Terminate instances — zero cost</w:t>
            </w:r>
          </w:p>
        </w:tc>
      </w:tr>
      <w:tr>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1A"/>
                <w:sz w:val="20"/>
                <w:szCs w:val="20"/>
              </w:rPr>
              <w:t xml:space="preserve">Physical management</w:t>
            </w:r>
          </w:p>
        </w:tc>
        <w:tc>
          <w:tcPr>
            <w:tcW w:type="dxa" w:w="35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1A"/>
                <w:sz w:val="20"/>
                <w:szCs w:val="20"/>
              </w:rPr>
              <w:t xml:space="preserve">Requires data center, cooling, staff</w:t>
            </w:r>
          </w:p>
        </w:tc>
        <w:tc>
          <w:tcPr>
            <w:tcW w:type="dxa" w:w="35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1A"/>
                <w:sz w:val="20"/>
                <w:szCs w:val="20"/>
              </w:rPr>
              <w:t xml:space="preserve">AWS manages all physical infrastructure</w:t>
            </w:r>
          </w:p>
        </w:tc>
      </w:tr>
      <w:tr>
        <w:tc>
          <w:tcPr>
            <w:tcW w:type="dxa" w:w="22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color w:val="1A1A1A"/>
                <w:sz w:val="20"/>
                <w:szCs w:val="20"/>
              </w:rPr>
              <w:t xml:space="preserve">Fault tolerance</w:t>
            </w:r>
          </w:p>
        </w:tc>
        <w:tc>
          <w:tcPr>
            <w:tcW w:type="dxa" w:w="358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color w:val="1A1A1A"/>
                <w:sz w:val="20"/>
                <w:szCs w:val="20"/>
              </w:rPr>
              <w:t xml:space="preserve">Single point of failure risk</w:t>
            </w:r>
          </w:p>
        </w:tc>
        <w:tc>
          <w:tcPr>
            <w:tcW w:type="dxa" w:w="358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color w:val="1A1A1A"/>
                <w:sz w:val="20"/>
                <w:szCs w:val="20"/>
              </w:rPr>
              <w:t xml:space="preserve">Multi-AZ with automatic failover</w:t>
            </w:r>
          </w:p>
        </w:tc>
      </w:tr>
      <w:tr>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1A"/>
                <w:sz w:val="20"/>
                <w:szCs w:val="20"/>
              </w:rPr>
              <w:t xml:space="preserve">Global expansion</w:t>
            </w:r>
          </w:p>
        </w:tc>
        <w:tc>
          <w:tcPr>
            <w:tcW w:type="dxa" w:w="35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1A"/>
                <w:sz w:val="20"/>
                <w:szCs w:val="20"/>
              </w:rPr>
              <w:t xml:space="preserve">Build or lease new data centers</w:t>
            </w:r>
          </w:p>
        </w:tc>
        <w:tc>
          <w:tcPr>
            <w:tcW w:type="dxa" w:w="35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1A"/>
                <w:sz w:val="20"/>
                <w:szCs w:val="20"/>
              </w:rPr>
              <w:t xml:space="preserve">34 AWS regions available on demand</w:t>
            </w:r>
          </w:p>
        </w:tc>
      </w:tr>
    </w:tbl>
    <w:p>
      <w:pPr>
        <w:spacing w:after="80" w:before="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2E75B6" w:sz="8"/>
              <w:left w:val="single" w:color="2E75B6" w:sz="24"/>
              <w:bottom w:val="single" w:color="CCCCCC" w:sz="1"/>
              <w:right w:val="single" w:color="CCCCCC" w:sz="1"/>
            </w:tcBorders>
            <w:shd w:fill="D6E4F0" w:val="clear"/>
            <w:tcMar>
              <w:top w:type="dxa" w:w="120"/>
              <w:left w:type="dxa" w:w="200"/>
              <w:bottom w:type="dxa" w:w="120"/>
              <w:right w:type="dxa" w:w="160"/>
            </w:tcMar>
          </w:tcPr>
          <w:p>
            <w:pPr>
              <w:spacing w:after="60" w:before="0"/>
            </w:pPr>
            <w:r>
              <w:rPr>
                <w:rFonts w:ascii="Arial" w:cs="Arial" w:eastAsia="Arial" w:hAnsi="Arial"/>
                <w:b/>
                <w:bCs/>
                <w:color w:val="1F4E79"/>
                <w:sz w:val="20"/>
                <w:szCs w:val="20"/>
              </w:rPr>
              <w:t xml:space="preserve">Origin Story</w:t>
            </w:r>
          </w:p>
          <w:p>
            <w:pPr>
              <w:spacing w:after="0" w:before="0"/>
            </w:pPr>
            <w:r>
              <w:rPr>
                <w:rFonts w:ascii="Arial" w:cs="Arial" w:eastAsia="Arial" w:hAnsi="Arial"/>
                <w:color w:val="1A1A1A"/>
                <w:sz w:val="22"/>
                <w:szCs w:val="22"/>
              </w:rPr>
              <w:t xml:space="preserve">Amazon built EC2 out of necessity. Running Amazon.com required world-class scalable infrastructure. In 2002, Amazon's leadership realized this infrastructure capability could be offered to the world as a service. EC2 was the result — a bet that compute could become a utility, like electricity. Andy Jassy, former AWS CEO, described it as "renting compute by the hour for the entire world."</w:t>
            </w:r>
          </w:p>
        </w:tc>
      </w:tr>
    </w:tbl>
    <w:p>
      <w:pPr>
        <w:spacing w:after="80" w:before="0"/>
      </w:pPr>
      <w:r>
        <w:t xml:space="preserve"/>
      </w:r>
    </w:p>
    <w:p>
      <w:pPr>
        <w:pStyle w:val="Heading2"/>
        <w:pBdr>
          <w:bottom w:val="single" w:color="2E75B6" w:sz="4" w:space="4"/>
        </w:pBdr>
        <w:spacing w:after="120" w:before="280"/>
      </w:pPr>
      <w:r>
        <w:rPr>
          <w:rFonts w:ascii="Arial" w:cs="Arial" w:eastAsia="Arial" w:hAnsi="Arial"/>
          <w:b/>
          <w:bCs/>
          <w:color w:val="2E75B6"/>
          <w:sz w:val="28"/>
          <w:szCs w:val="28"/>
        </w:rPr>
        <w:t xml:space="preserve">Key Milestones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440"/>
        <w:gridCol w:w="7920"/>
      </w:tblGrid>
      <w:tr>
        <w:tc>
          <w:tcPr>
            <w:tcW w:type="dxa" w:w="144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r>
              <w:rPr>
                <w:rFonts w:ascii="Arial" w:cs="Arial" w:eastAsia="Arial" w:hAnsi="Arial"/>
                <w:b/>
                <w:bCs/>
                <w:color w:val="FFFFFF"/>
                <w:sz w:val="20"/>
                <w:szCs w:val="20"/>
              </w:rPr>
              <w:t xml:space="preserve">Year</w:t>
            </w:r>
          </w:p>
        </w:tc>
        <w:tc>
          <w:tcPr>
            <w:tcW w:type="dxa" w:w="792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r>
              <w:rPr>
                <w:rFonts w:ascii="Arial" w:cs="Arial" w:eastAsia="Arial" w:hAnsi="Arial"/>
                <w:b/>
                <w:bCs/>
                <w:color w:val="FFFFFF"/>
                <w:sz w:val="20"/>
                <w:szCs w:val="20"/>
              </w:rPr>
              <w:t xml:space="preserve">Milestone</w:t>
            </w:r>
          </w:p>
        </w:tc>
      </w:tr>
      <w:tr>
        <w:tc>
          <w:tcPr>
            <w:tcW w:type="dxa" w:w="14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1A"/>
                <w:sz w:val="20"/>
                <w:szCs w:val="20"/>
              </w:rPr>
              <w:t xml:space="preserve">2002</w:t>
            </w:r>
          </w:p>
        </w:tc>
        <w:tc>
          <w:tcPr>
            <w:tcW w:type="dxa" w:w="79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1A"/>
                <w:sz w:val="20"/>
                <w:szCs w:val="20"/>
              </w:rPr>
              <w:t xml:space="preserve">Amazon begins internal discussions on offering infrastructure as a service</w:t>
            </w:r>
          </w:p>
        </w:tc>
      </w:tr>
      <w:tr>
        <w:tc>
          <w:tcPr>
            <w:tcW w:type="dxa" w:w="144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color w:val="1A1A1A"/>
                <w:sz w:val="20"/>
                <w:szCs w:val="20"/>
              </w:rPr>
              <w:t xml:space="preserve">2004</w:t>
            </w:r>
          </w:p>
        </w:tc>
        <w:tc>
          <w:tcPr>
            <w:tcW w:type="dxa" w:w="792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color w:val="1A1A1A"/>
                <w:sz w:val="20"/>
                <w:szCs w:val="20"/>
              </w:rPr>
              <w:t xml:space="preserve">Amazon SQS launches as the first AWS public service</w:t>
            </w:r>
          </w:p>
        </w:tc>
      </w:tr>
      <w:tr>
        <w:tc>
          <w:tcPr>
            <w:tcW w:type="dxa" w:w="14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1A"/>
                <w:sz w:val="20"/>
                <w:szCs w:val="20"/>
              </w:rPr>
              <w:t xml:space="preserve">Aug 2006</w:t>
            </w:r>
          </w:p>
        </w:tc>
        <w:tc>
          <w:tcPr>
            <w:tcW w:type="dxa" w:w="79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1A"/>
                <w:sz w:val="20"/>
                <w:szCs w:val="20"/>
              </w:rPr>
              <w:t xml:space="preserve">EC2 launches in limited public beta with a single instance type (m1.small)</w:t>
            </w:r>
          </w:p>
        </w:tc>
      </w:tr>
      <w:tr>
        <w:tc>
          <w:tcPr>
            <w:tcW w:type="dxa" w:w="144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color w:val="1A1A1A"/>
                <w:sz w:val="20"/>
                <w:szCs w:val="20"/>
              </w:rPr>
              <w:t xml:space="preserve">Oct 2008</w:t>
            </w:r>
          </w:p>
        </w:tc>
        <w:tc>
          <w:tcPr>
            <w:tcW w:type="dxa" w:w="792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color w:val="1A1A1A"/>
                <w:sz w:val="20"/>
                <w:szCs w:val="20"/>
              </w:rPr>
              <w:t xml:space="preserve">EC2 reaches general availability; Windows Server support added</w:t>
            </w:r>
          </w:p>
        </w:tc>
      </w:tr>
      <w:tr>
        <w:tc>
          <w:tcPr>
            <w:tcW w:type="dxa" w:w="14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1A"/>
                <w:sz w:val="20"/>
                <w:szCs w:val="20"/>
              </w:rPr>
              <w:t xml:space="preserve">2009</w:t>
            </w:r>
          </w:p>
        </w:tc>
        <w:tc>
          <w:tcPr>
            <w:tcW w:type="dxa" w:w="79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1A"/>
                <w:sz w:val="20"/>
                <w:szCs w:val="20"/>
              </w:rPr>
              <w:t xml:space="preserve">Elastic Load Balancing and Auto Scaling launched; Multiple AZ support added</w:t>
            </w:r>
          </w:p>
        </w:tc>
      </w:tr>
      <w:tr>
        <w:tc>
          <w:tcPr>
            <w:tcW w:type="dxa" w:w="144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color w:val="1A1A1A"/>
                <w:sz w:val="20"/>
                <w:szCs w:val="20"/>
              </w:rPr>
              <w:t xml:space="preserve">2012</w:t>
            </w:r>
          </w:p>
        </w:tc>
        <w:tc>
          <w:tcPr>
            <w:tcW w:type="dxa" w:w="792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color w:val="1A1A1A"/>
                <w:sz w:val="20"/>
                <w:szCs w:val="20"/>
              </w:rPr>
              <w:t xml:space="preserve">SSD-backed High I/O instances introduced for database workloads</w:t>
            </w:r>
          </w:p>
        </w:tc>
      </w:tr>
      <w:tr>
        <w:tc>
          <w:tcPr>
            <w:tcW w:type="dxa" w:w="14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1A"/>
                <w:sz w:val="20"/>
                <w:szCs w:val="20"/>
              </w:rPr>
              <w:t xml:space="preserve">2018</w:t>
            </w:r>
          </w:p>
        </w:tc>
        <w:tc>
          <w:tcPr>
            <w:tcW w:type="dxa" w:w="79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1A"/>
                <w:sz w:val="20"/>
                <w:szCs w:val="20"/>
              </w:rPr>
              <w:t xml:space="preserve">AWS Graviton (Arm-based CPUs) launched — Amazon's own silicon</w:t>
            </w:r>
          </w:p>
        </w:tc>
      </w:tr>
      <w:tr>
        <w:tc>
          <w:tcPr>
            <w:tcW w:type="dxa" w:w="144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color w:val="1A1A1A"/>
                <w:sz w:val="20"/>
                <w:szCs w:val="20"/>
              </w:rPr>
              <w:t xml:space="preserve">2021</w:t>
            </w:r>
          </w:p>
        </w:tc>
        <w:tc>
          <w:tcPr>
            <w:tcW w:type="dxa" w:w="792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color w:val="1A1A1A"/>
                <w:sz w:val="20"/>
                <w:szCs w:val="20"/>
              </w:rPr>
              <w:t xml:space="preserve">Graviton3 processors introduced with 25% better performance over Graviton2</w:t>
            </w:r>
          </w:p>
        </w:tc>
      </w:tr>
      <w:tr>
        <w:tc>
          <w:tcPr>
            <w:tcW w:type="dxa" w:w="14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1A"/>
                <w:sz w:val="20"/>
                <w:szCs w:val="20"/>
              </w:rPr>
              <w:t xml:space="preserve">2023</w:t>
            </w:r>
          </w:p>
        </w:tc>
        <w:tc>
          <w:tcPr>
            <w:tcW w:type="dxa" w:w="79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1A"/>
                <w:sz w:val="20"/>
                <w:szCs w:val="20"/>
              </w:rPr>
              <w:t xml:space="preserve">Graviton4 and Trainium2 chips launched for general compute and ML training</w:t>
            </w:r>
          </w:p>
        </w:tc>
      </w:tr>
      <w:tr>
        <w:tc>
          <w:tcPr>
            <w:tcW w:type="dxa" w:w="144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color w:val="1A1A1A"/>
                <w:sz w:val="20"/>
                <w:szCs w:val="20"/>
              </w:rPr>
              <w:t xml:space="preserve">2025</w:t>
            </w:r>
          </w:p>
        </w:tc>
        <w:tc>
          <w:tcPr>
            <w:tcW w:type="dxa" w:w="792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color w:val="1A1A1A"/>
                <w:sz w:val="20"/>
                <w:szCs w:val="20"/>
              </w:rPr>
              <w:t xml:space="preserve">EC2 fleet spans 750+ instance types across 34 global regions</w:t>
            </w:r>
          </w:p>
        </w:tc>
      </w:tr>
    </w:tbl>
    <w:p>
      <w:pPr>
        <w:spacing w:after="160" w:before="0"/>
      </w:pPr>
      <w:r>
        <w:t xml:space="preserve"/>
      </w:r>
    </w:p>
    <w:p>
      <w:r>
        <w:br w:type="pag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2E75B6" w:val="clear"/>
            <w:tcMar>
              <w:top w:type="dxa" w:w="120"/>
              <w:left w:type="dxa" w:w="200"/>
              <w:bottom w:type="dxa" w:w="120"/>
              <w:right w:type="dxa" w:w="200"/>
            </w:tcMar>
          </w:tcPr>
          <w:p>
            <w:pPr>
              <w:jc w:val="left"/>
            </w:pPr>
            <w:r>
              <w:rPr>
                <w:rFonts w:ascii="Arial" w:cs="Arial" w:eastAsia="Arial" w:hAnsi="Arial"/>
                <w:b/>
                <w:bCs/>
                <w:color w:val="FFFFFF"/>
                <w:sz w:val="26"/>
                <w:szCs w:val="26"/>
              </w:rPr>
              <w:t xml:space="preserve">Section 2: Technical Architecture</w:t>
            </w:r>
          </w:p>
        </w:tc>
      </w:tr>
    </w:tbl>
    <w:p>
      <w:pPr>
        <w:spacing w:after="80" w:before="0"/>
      </w:pPr>
      <w:r>
        <w:t xml:space="preserve"/>
      </w:r>
    </w:p>
    <w:p>
      <w:pPr>
        <w:pStyle w:val="Heading2"/>
        <w:pBdr>
          <w:bottom w:val="single" w:color="2E75B6" w:sz="4" w:space="4"/>
        </w:pBdr>
        <w:spacing w:after="120" w:before="280"/>
      </w:pPr>
      <w:r>
        <w:rPr>
          <w:rFonts w:ascii="Arial" w:cs="Arial" w:eastAsia="Arial" w:hAnsi="Arial"/>
          <w:b/>
          <w:bCs/>
          <w:color w:val="2E75B6"/>
          <w:sz w:val="28"/>
          <w:szCs w:val="28"/>
        </w:rPr>
        <w:t xml:space="preserve">Core Concepts</w:t>
      </w:r>
    </w:p>
    <w:p>
      <w:pPr>
        <w:pStyle w:val="Heading3"/>
        <w:spacing w:after="80" w:before="200"/>
      </w:pPr>
      <w:r>
        <w:rPr>
          <w:rFonts w:ascii="Arial" w:cs="Arial" w:eastAsia="Arial" w:hAnsi="Arial"/>
          <w:b/>
          <w:bCs/>
          <w:color w:val="C55A11"/>
          <w:sz w:val="24"/>
          <w:szCs w:val="24"/>
        </w:rPr>
        <w:t xml:space="preserve">Instances</w:t>
      </w:r>
    </w:p>
    <w:p>
      <w:pPr>
        <w:spacing w:after="80" w:before="60"/>
      </w:pPr>
      <w:r>
        <w:rPr>
          <w:rFonts w:ascii="Arial" w:cs="Arial" w:eastAsia="Arial" w:hAnsi="Arial"/>
          <w:color w:val="1A1A1A"/>
          <w:sz w:val="22"/>
          <w:szCs w:val="22"/>
        </w:rPr>
        <w:t xml:space="preserve">An EC2 instance is a virtual machine running on AWS physical hardware. Each instance has a defined amount of CPU, memory (RAM), storage, and networking capacity. Instances are launched from Amazon Machine Images (AMIs) — pre-configured templates containing the operating system and software stack.</w:t>
      </w:r>
    </w:p>
    <w:p>
      <w:pPr>
        <w:pStyle w:val="Heading3"/>
        <w:spacing w:after="80" w:before="200"/>
      </w:pPr>
      <w:r>
        <w:rPr>
          <w:rFonts w:ascii="Arial" w:cs="Arial" w:eastAsia="Arial" w:hAnsi="Arial"/>
          <w:b/>
          <w:bCs/>
          <w:color w:val="C55A11"/>
          <w:sz w:val="24"/>
          <w:szCs w:val="24"/>
        </w:rPr>
        <w:t xml:space="preserve">Instance Types &amp; Families</w:t>
      </w:r>
    </w:p>
    <w:p>
      <w:pPr>
        <w:spacing w:after="80" w:before="60"/>
      </w:pPr>
      <w:r>
        <w:rPr>
          <w:rFonts w:ascii="Arial" w:cs="Arial" w:eastAsia="Arial" w:hAnsi="Arial"/>
          <w:color w:val="1A1A1A"/>
          <w:sz w:val="22"/>
          <w:szCs w:val="22"/>
        </w:rPr>
        <w:t xml:space="preserve">EC2 offers 750+ instance types organized into six families, each optimized for different workload characteristics:</w:t>
      </w:r>
    </w:p>
    <w:p>
      <w:pPr>
        <w:spacing w:after="80" w:before="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700"/>
        <w:gridCol w:w="1900"/>
        <w:gridCol w:w="2000"/>
        <w:gridCol w:w="3760"/>
      </w:tblGrid>
      <w:tr>
        <w:tc>
          <w:tcPr>
            <w:tcW w:type="dxa" w:w="170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r>
              <w:rPr>
                <w:rFonts w:ascii="Arial" w:cs="Arial" w:eastAsia="Arial" w:hAnsi="Arial"/>
                <w:b/>
                <w:bCs/>
                <w:color w:val="FFFFFF"/>
                <w:sz w:val="20"/>
                <w:szCs w:val="20"/>
              </w:rPr>
              <w:t xml:space="preserve">Family</w:t>
            </w:r>
          </w:p>
        </w:tc>
        <w:tc>
          <w:tcPr>
            <w:tcW w:type="dxa" w:w="190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r>
              <w:rPr>
                <w:rFonts w:ascii="Arial" w:cs="Arial" w:eastAsia="Arial" w:hAnsi="Arial"/>
                <w:b/>
                <w:bCs/>
                <w:color w:val="FFFFFF"/>
                <w:sz w:val="20"/>
                <w:szCs w:val="20"/>
              </w:rPr>
              <w:t xml:space="preserve">Prefix Examples</w:t>
            </w:r>
          </w:p>
        </w:tc>
        <w:tc>
          <w:tcPr>
            <w:tcW w:type="dxa" w:w="200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r>
              <w:rPr>
                <w:rFonts w:ascii="Arial" w:cs="Arial" w:eastAsia="Arial" w:hAnsi="Arial"/>
                <w:b/>
                <w:bCs/>
                <w:color w:val="FFFFFF"/>
                <w:sz w:val="20"/>
                <w:szCs w:val="20"/>
              </w:rPr>
              <w:t xml:space="preserve">Optimized For</w:t>
            </w:r>
          </w:p>
        </w:tc>
        <w:tc>
          <w:tcPr>
            <w:tcW w:type="dxa" w:w="376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r>
              <w:rPr>
                <w:rFonts w:ascii="Arial" w:cs="Arial" w:eastAsia="Arial" w:hAnsi="Arial"/>
                <w:b/>
                <w:bCs/>
                <w:color w:val="FFFFFF"/>
                <w:sz w:val="20"/>
                <w:szCs w:val="20"/>
              </w:rPr>
              <w:t xml:space="preserve">Best Use Cases</w:t>
            </w:r>
          </w:p>
        </w:tc>
      </w:tr>
      <w:tr>
        <w:tc>
          <w:tcPr>
            <w:tcW w:type="dxa" w:w="17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1A"/>
                <w:sz w:val="20"/>
                <w:szCs w:val="20"/>
              </w:rPr>
              <w:t xml:space="preserve">General Purpose</w:t>
            </w:r>
          </w:p>
        </w:tc>
        <w:tc>
          <w:tcPr>
            <w:tcW w:type="dxa" w:w="19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1A"/>
                <w:sz w:val="20"/>
                <w:szCs w:val="20"/>
              </w:rPr>
              <w:t xml:space="preserve">t4g, m7g, m6i</w:t>
            </w:r>
          </w:p>
        </w:tc>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1A"/>
                <w:sz w:val="20"/>
                <w:szCs w:val="20"/>
              </w:rPr>
              <w:t xml:space="preserve">Balanced CPU/RAM/networking</w:t>
            </w:r>
          </w:p>
        </w:tc>
        <w:tc>
          <w:tcPr>
            <w:tcW w:type="dxa" w:w="3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1A"/>
                <w:sz w:val="20"/>
                <w:szCs w:val="20"/>
              </w:rPr>
              <w:t xml:space="preserve">Web servers, dev/test, microservices, small databases</w:t>
            </w:r>
          </w:p>
        </w:tc>
      </w:tr>
      <w:tr>
        <w:tc>
          <w:tcPr>
            <w:tcW w:type="dxa" w:w="17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color w:val="1A1A1A"/>
                <w:sz w:val="20"/>
                <w:szCs w:val="20"/>
              </w:rPr>
              <w:t xml:space="preserve">Compute Optimized</w:t>
            </w:r>
          </w:p>
        </w:tc>
        <w:tc>
          <w:tcPr>
            <w:tcW w:type="dxa" w:w="19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color w:val="1A1A1A"/>
                <w:sz w:val="20"/>
                <w:szCs w:val="20"/>
              </w:rPr>
              <w:t xml:space="preserve">c7g, c6in, c5n</w:t>
            </w:r>
          </w:p>
        </w:tc>
        <w:tc>
          <w:tcPr>
            <w:tcW w:type="dxa" w:w="20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color w:val="1A1A1A"/>
                <w:sz w:val="20"/>
                <w:szCs w:val="20"/>
              </w:rPr>
              <w:t xml:space="preserve">High-performance CPUs</w:t>
            </w:r>
          </w:p>
        </w:tc>
        <w:tc>
          <w:tcPr>
            <w:tcW w:type="dxa" w:w="37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color w:val="1A1A1A"/>
                <w:sz w:val="20"/>
                <w:szCs w:val="20"/>
              </w:rPr>
              <w:t xml:space="preserve">HPC, batch processing, ML inference, gaming servers</w:t>
            </w:r>
          </w:p>
        </w:tc>
      </w:tr>
      <w:tr>
        <w:tc>
          <w:tcPr>
            <w:tcW w:type="dxa" w:w="17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1A"/>
                <w:sz w:val="20"/>
                <w:szCs w:val="20"/>
              </w:rPr>
              <w:t xml:space="preserve">Memory Optimized</w:t>
            </w:r>
          </w:p>
        </w:tc>
        <w:tc>
          <w:tcPr>
            <w:tcW w:type="dxa" w:w="19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1A"/>
                <w:sz w:val="20"/>
                <w:szCs w:val="20"/>
              </w:rPr>
              <w:t xml:space="preserve">r7g, x2gd, u-24tb1</w:t>
            </w:r>
          </w:p>
        </w:tc>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1A"/>
                <w:sz w:val="20"/>
                <w:szCs w:val="20"/>
              </w:rPr>
              <w:t xml:space="preserve">Large RAM, fast memory</w:t>
            </w:r>
          </w:p>
        </w:tc>
        <w:tc>
          <w:tcPr>
            <w:tcW w:type="dxa" w:w="3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1A"/>
                <w:sz w:val="20"/>
                <w:szCs w:val="20"/>
              </w:rPr>
              <w:t xml:space="preserve">In-memory databases, big data analytics, SAP HANA</w:t>
            </w:r>
          </w:p>
        </w:tc>
      </w:tr>
      <w:tr>
        <w:tc>
          <w:tcPr>
            <w:tcW w:type="dxa" w:w="17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color w:val="1A1A1A"/>
                <w:sz w:val="20"/>
                <w:szCs w:val="20"/>
              </w:rPr>
              <w:t xml:space="preserve">Storage Optimized</w:t>
            </w:r>
          </w:p>
        </w:tc>
        <w:tc>
          <w:tcPr>
            <w:tcW w:type="dxa" w:w="19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color w:val="1A1A1A"/>
                <w:sz w:val="20"/>
                <w:szCs w:val="20"/>
              </w:rPr>
              <w:t xml:space="preserve">i4i, d3en, h1</w:t>
            </w:r>
          </w:p>
        </w:tc>
        <w:tc>
          <w:tcPr>
            <w:tcW w:type="dxa" w:w="20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color w:val="1A1A1A"/>
                <w:sz w:val="20"/>
                <w:szCs w:val="20"/>
              </w:rPr>
              <w:t xml:space="preserve">High IOPS, NVMe SSD</w:t>
            </w:r>
          </w:p>
        </w:tc>
        <w:tc>
          <w:tcPr>
            <w:tcW w:type="dxa" w:w="37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color w:val="1A1A1A"/>
                <w:sz w:val="20"/>
                <w:szCs w:val="20"/>
              </w:rPr>
              <w:t xml:space="preserve">NoSQL databases, data warehousing, Hadoop</w:t>
            </w:r>
          </w:p>
        </w:tc>
      </w:tr>
      <w:tr>
        <w:tc>
          <w:tcPr>
            <w:tcW w:type="dxa" w:w="17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1A"/>
                <w:sz w:val="20"/>
                <w:szCs w:val="20"/>
              </w:rPr>
              <w:t xml:space="preserve">Accelerated Computing</w:t>
            </w:r>
          </w:p>
        </w:tc>
        <w:tc>
          <w:tcPr>
            <w:tcW w:type="dxa" w:w="19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1A"/>
                <w:sz w:val="20"/>
                <w:szCs w:val="20"/>
              </w:rPr>
              <w:t xml:space="preserve">p5, g5, trn1, inf2</w:t>
            </w:r>
          </w:p>
        </w:tc>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1A"/>
                <w:sz w:val="20"/>
                <w:szCs w:val="20"/>
              </w:rPr>
              <w:t xml:space="preserve">GPUs and custom AWS chips</w:t>
            </w:r>
          </w:p>
        </w:tc>
        <w:tc>
          <w:tcPr>
            <w:tcW w:type="dxa" w:w="3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1A"/>
                <w:sz w:val="20"/>
                <w:szCs w:val="20"/>
              </w:rPr>
              <w:t xml:space="preserve">ML training, video encoding, 3D rendering</w:t>
            </w:r>
          </w:p>
        </w:tc>
      </w:tr>
      <w:tr>
        <w:tc>
          <w:tcPr>
            <w:tcW w:type="dxa" w:w="17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color w:val="1A1A1A"/>
                <w:sz w:val="20"/>
                <w:szCs w:val="20"/>
              </w:rPr>
              <w:t xml:space="preserve">HPC Optimized</w:t>
            </w:r>
          </w:p>
        </w:tc>
        <w:tc>
          <w:tcPr>
            <w:tcW w:type="dxa" w:w="19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color w:val="1A1A1A"/>
                <w:sz w:val="20"/>
                <w:szCs w:val="20"/>
              </w:rPr>
              <w:t xml:space="preserve">hpc7g, hpc6a</w:t>
            </w:r>
          </w:p>
        </w:tc>
        <w:tc>
          <w:tcPr>
            <w:tcW w:type="dxa" w:w="20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color w:val="1A1A1A"/>
                <w:sz w:val="20"/>
                <w:szCs w:val="20"/>
              </w:rPr>
              <w:t xml:space="preserve">EFA networking, Graviton4</w:t>
            </w:r>
          </w:p>
        </w:tc>
        <w:tc>
          <w:tcPr>
            <w:tcW w:type="dxa" w:w="37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color w:val="1A1A1A"/>
                <w:sz w:val="20"/>
                <w:szCs w:val="20"/>
              </w:rPr>
              <w:t xml:space="preserve">Computational fluid dynamics, finite element analysis</w:t>
            </w:r>
          </w:p>
        </w:tc>
      </w:tr>
    </w:tbl>
    <w:p>
      <w:pPr>
        <w:spacing w:after="80" w:before="0"/>
      </w:pPr>
      <w:r>
        <w:t xml:space="preserve"/>
      </w:r>
    </w:p>
    <w:p>
      <w:pPr>
        <w:pStyle w:val="Heading3"/>
        <w:spacing w:after="80" w:before="200"/>
      </w:pPr>
      <w:r>
        <w:rPr>
          <w:rFonts w:ascii="Arial" w:cs="Arial" w:eastAsia="Arial" w:hAnsi="Arial"/>
          <w:b/>
          <w:bCs/>
          <w:color w:val="C55A11"/>
          <w:sz w:val="24"/>
          <w:szCs w:val="24"/>
        </w:rPr>
        <w:t xml:space="preserve">Availability Zones and Regions</w:t>
      </w:r>
    </w:p>
    <w:p>
      <w:pPr>
        <w:spacing w:after="80" w:before="60"/>
      </w:pPr>
      <w:r>
        <w:rPr>
          <w:rFonts w:ascii="Arial" w:cs="Arial" w:eastAsia="Arial" w:hAnsi="Arial"/>
          <w:color w:val="1A1A1A"/>
          <w:sz w:val="22"/>
          <w:szCs w:val="22"/>
        </w:rPr>
        <w:t xml:space="preserve">AWS operates 34 geographic regions worldwide, each containing 2–6 Availability Zones (AZs). An AZ is one or more discrete data centers with redundant power, networking, and connectivity. Deploying instances across multiple AZs within a region provides high availability — if one AZ has an outage, instances in other AZs continue serving traffic.</w:t>
      </w:r>
    </w:p>
    <w:p>
      <w:pPr>
        <w:pStyle w:val="Heading3"/>
        <w:spacing w:after="80" w:before="200"/>
      </w:pPr>
      <w:r>
        <w:rPr>
          <w:rFonts w:ascii="Arial" w:cs="Arial" w:eastAsia="Arial" w:hAnsi="Arial"/>
          <w:b/>
          <w:bCs/>
          <w:color w:val="C55A11"/>
          <w:sz w:val="24"/>
          <w:szCs w:val="24"/>
        </w:rPr>
        <w:t xml:space="preserve">Amazon Machine Images (AMIs)</w:t>
      </w:r>
    </w:p>
    <w:p>
      <w:pPr>
        <w:spacing w:after="80" w:before="60"/>
      </w:pPr>
      <w:r>
        <w:rPr>
          <w:rFonts w:ascii="Arial" w:cs="Arial" w:eastAsia="Arial" w:hAnsi="Arial"/>
          <w:color w:val="1A1A1A"/>
          <w:sz w:val="22"/>
          <w:szCs w:val="22"/>
        </w:rPr>
        <w:t xml:space="preserve">An AMI is a template containing the operating system, application server, and applications required to launch an EC2 instance. AWS provides thousands of AMIs (Amazon Linux, Ubuntu, Windows Server, Red Hat, etc.) and users can create custom AMIs from their own configured instances, enabling rapid and consistent deployment.</w:t>
      </w:r>
    </w:p>
    <w:p>
      <w:pPr>
        <w:pStyle w:val="Heading3"/>
        <w:spacing w:after="80" w:before="200"/>
      </w:pPr>
      <w:r>
        <w:rPr>
          <w:rFonts w:ascii="Arial" w:cs="Arial" w:eastAsia="Arial" w:hAnsi="Arial"/>
          <w:b/>
          <w:bCs/>
          <w:color w:val="C55A11"/>
          <w:sz w:val="24"/>
          <w:szCs w:val="24"/>
        </w:rPr>
        <w:t xml:space="preserve">Security Groups and VPC</w:t>
      </w:r>
    </w:p>
    <w:p>
      <w:pPr>
        <w:spacing w:after="80" w:before="60"/>
      </w:pPr>
      <w:r>
        <w:rPr>
          <w:rFonts w:ascii="Arial" w:cs="Arial" w:eastAsia="Arial" w:hAnsi="Arial"/>
          <w:color w:val="1A1A1A"/>
          <w:sz w:val="22"/>
          <w:szCs w:val="22"/>
        </w:rPr>
        <w:t xml:space="preserve">Security Groups act as virtual firewalls controlling inbound and outbound traffic at the instance level. Instances run inside a Virtual Private Cloud (VPC) — an isolated virtual network with full control over IP addressing, subnets, route tables, and network gateways. This provides network isolation equivalent to a traditional data center's private network.</w:t>
      </w:r>
    </w:p>
    <w:p>
      <w:pPr>
        <w:pStyle w:val="Heading3"/>
        <w:spacing w:after="80" w:before="200"/>
      </w:pPr>
      <w:r>
        <w:rPr>
          <w:rFonts w:ascii="Arial" w:cs="Arial" w:eastAsia="Arial" w:hAnsi="Arial"/>
          <w:b/>
          <w:bCs/>
          <w:color w:val="C55A11"/>
          <w:sz w:val="24"/>
          <w:szCs w:val="24"/>
        </w:rPr>
        <w:t xml:space="preserve">Elastic Block Store (EBS)</w:t>
      </w:r>
    </w:p>
    <w:p>
      <w:pPr>
        <w:spacing w:after="80" w:before="60"/>
      </w:pPr>
      <w:r>
        <w:rPr>
          <w:rFonts w:ascii="Arial" w:cs="Arial" w:eastAsia="Arial" w:hAnsi="Arial"/>
          <w:color w:val="1A1A1A"/>
          <w:sz w:val="22"/>
          <w:szCs w:val="22"/>
        </w:rPr>
        <w:t xml:space="preserve">EBS provides persistent block-level storage volumes that attach to EC2 instances like a virtual hard drive. Key volume types include:</w:t>
      </w:r>
    </w:p>
    <w:p>
      <w:pPr>
        <w:pStyle w:val="ListParagraph"/>
        <w:numPr>
          <w:ilvl w:val="0"/>
          <w:numId w:val="2"/>
        </w:numPr>
        <w:spacing w:after="40" w:before="40"/>
      </w:pPr>
      <w:r>
        <w:rPr>
          <w:rFonts w:ascii="Arial" w:cs="Arial" w:eastAsia="Arial" w:hAnsi="Arial"/>
          <w:color w:val="1A1A1A"/>
          <w:sz w:val="22"/>
          <w:szCs w:val="22"/>
        </w:rPr>
        <w:t xml:space="preserve">gp3 — General Purpose SSD: balanced price/performance, up to 16,000 IOPS</w:t>
      </w:r>
    </w:p>
    <w:p>
      <w:pPr>
        <w:pStyle w:val="ListParagraph"/>
        <w:numPr>
          <w:ilvl w:val="0"/>
          <w:numId w:val="2"/>
        </w:numPr>
        <w:spacing w:after="40" w:before="40"/>
      </w:pPr>
      <w:r>
        <w:rPr>
          <w:rFonts w:ascii="Arial" w:cs="Arial" w:eastAsia="Arial" w:hAnsi="Arial"/>
          <w:color w:val="1A1A1A"/>
          <w:sz w:val="22"/>
          <w:szCs w:val="22"/>
        </w:rPr>
        <w:t xml:space="preserve">io2 Block Express — Provisioned IOPS SSD: up to 256,000 IOPS for mission-critical databases</w:t>
      </w:r>
    </w:p>
    <w:p>
      <w:pPr>
        <w:pStyle w:val="ListParagraph"/>
        <w:numPr>
          <w:ilvl w:val="0"/>
          <w:numId w:val="2"/>
        </w:numPr>
        <w:spacing w:after="40" w:before="40"/>
      </w:pPr>
      <w:r>
        <w:rPr>
          <w:rFonts w:ascii="Arial" w:cs="Arial" w:eastAsia="Arial" w:hAnsi="Arial"/>
          <w:color w:val="1A1A1A"/>
          <w:sz w:val="22"/>
          <w:szCs w:val="22"/>
        </w:rPr>
        <w:t xml:space="preserve">st1 — Throughput Optimized HDD: sequential workloads like log processing</w:t>
      </w:r>
    </w:p>
    <w:p>
      <w:pPr>
        <w:pStyle w:val="ListParagraph"/>
        <w:numPr>
          <w:ilvl w:val="0"/>
          <w:numId w:val="2"/>
        </w:numPr>
        <w:spacing w:after="40" w:before="40"/>
      </w:pPr>
      <w:r>
        <w:rPr>
          <w:rFonts w:ascii="Arial" w:cs="Arial" w:eastAsia="Arial" w:hAnsi="Arial"/>
          <w:color w:val="1A1A1A"/>
          <w:sz w:val="22"/>
          <w:szCs w:val="22"/>
        </w:rPr>
        <w:t xml:space="preserve">sc1 — Cold HDD: lowest cost, infrequently accessed data</w:t>
      </w:r>
    </w:p>
    <w:p>
      <w:pPr>
        <w:spacing w:after="80" w:before="0"/>
      </w:pPr>
      <w:r>
        <w:t xml:space="preserve"/>
      </w:r>
    </w:p>
    <w:p>
      <w:pPr>
        <w:pStyle w:val="Heading2"/>
        <w:pBdr>
          <w:bottom w:val="single" w:color="2E75B6" w:sz="4" w:space="4"/>
        </w:pBdr>
        <w:spacing w:after="120" w:before="280"/>
      </w:pPr>
      <w:r>
        <w:rPr>
          <w:rFonts w:ascii="Arial" w:cs="Arial" w:eastAsia="Arial" w:hAnsi="Arial"/>
          <w:b/>
          <w:bCs/>
          <w:color w:val="2E75B6"/>
          <w:sz w:val="28"/>
          <w:szCs w:val="28"/>
        </w:rPr>
        <w:t xml:space="preserve">Production Architecture Pattern</w:t>
      </w:r>
    </w:p>
    <w:p>
      <w:pPr>
        <w:spacing w:after="80" w:before="60"/>
      </w:pPr>
      <w:r>
        <w:rPr>
          <w:rFonts w:ascii="Arial" w:cs="Arial" w:eastAsia="Arial" w:hAnsi="Arial"/>
          <w:color w:val="1A1A1A"/>
          <w:sz w:val="22"/>
          <w:szCs w:val="22"/>
        </w:rPr>
        <w:t xml:space="preserve">A typical production web application on EC2 follows this layered architecture:</w:t>
      </w:r>
    </w:p>
    <w:p>
      <w:pPr>
        <w:spacing w:after="80" w:before="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00"/>
        <w:gridCol w:w="2100"/>
        <w:gridCol w:w="5460"/>
      </w:tblGrid>
      <w:tr>
        <w:tc>
          <w:tcPr>
            <w:tcW w:type="dxa" w:w="180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r>
              <w:rPr>
                <w:rFonts w:ascii="Arial" w:cs="Arial" w:eastAsia="Arial" w:hAnsi="Arial"/>
                <w:b/>
                <w:bCs/>
                <w:color w:val="FFFFFF"/>
                <w:sz w:val="20"/>
                <w:szCs w:val="20"/>
              </w:rPr>
              <w:t xml:space="preserve">Layer</w:t>
            </w:r>
          </w:p>
        </w:tc>
        <w:tc>
          <w:tcPr>
            <w:tcW w:type="dxa" w:w="210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r>
              <w:rPr>
                <w:rFonts w:ascii="Arial" w:cs="Arial" w:eastAsia="Arial" w:hAnsi="Arial"/>
                <w:b/>
                <w:bCs/>
                <w:color w:val="FFFFFF"/>
                <w:sz w:val="20"/>
                <w:szCs w:val="20"/>
              </w:rPr>
              <w:t xml:space="preserve">Service</w:t>
            </w:r>
          </w:p>
        </w:tc>
        <w:tc>
          <w:tcPr>
            <w:tcW w:type="dxa" w:w="546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r>
              <w:rPr>
                <w:rFonts w:ascii="Arial" w:cs="Arial" w:eastAsia="Arial" w:hAnsi="Arial"/>
                <w:b/>
                <w:bCs/>
                <w:color w:val="FFFFFF"/>
                <w:sz w:val="20"/>
                <w:szCs w:val="20"/>
              </w:rPr>
              <w:t xml:space="preserve">Role</w:t>
            </w:r>
          </w:p>
        </w:tc>
      </w:tr>
      <w:tr>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1A"/>
                <w:sz w:val="20"/>
                <w:szCs w:val="20"/>
              </w:rPr>
              <w:t xml:space="preserve">DNS</w:t>
            </w:r>
          </w:p>
        </w:tc>
        <w:tc>
          <w:tcPr>
            <w:tcW w:type="dxa" w:w="21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1A"/>
                <w:sz w:val="20"/>
                <w:szCs w:val="20"/>
              </w:rPr>
              <w:t xml:space="preserve">Amazon Route 53</w:t>
            </w:r>
          </w:p>
        </w:tc>
        <w:tc>
          <w:tcPr>
            <w:tcW w:type="dxa" w:w="54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1A"/>
                <w:sz w:val="20"/>
                <w:szCs w:val="20"/>
              </w:rPr>
              <w:t xml:space="preserve">Domain name resolution, health checks, routing policies (latency, geolocation, failover)</w:t>
            </w:r>
          </w:p>
        </w:tc>
      </w:tr>
      <w:tr>
        <w:tc>
          <w:tcPr>
            <w:tcW w:type="dxa" w:w="18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color w:val="1A1A1A"/>
                <w:sz w:val="20"/>
                <w:szCs w:val="20"/>
              </w:rPr>
              <w:t xml:space="preserve">Edge</w:t>
            </w:r>
          </w:p>
        </w:tc>
        <w:tc>
          <w:tcPr>
            <w:tcW w:type="dxa" w:w="21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color w:val="1A1A1A"/>
                <w:sz w:val="20"/>
                <w:szCs w:val="20"/>
              </w:rPr>
              <w:t xml:space="preserve">Amazon CloudFront</w:t>
            </w:r>
          </w:p>
        </w:tc>
        <w:tc>
          <w:tcPr>
            <w:tcW w:type="dxa" w:w="54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color w:val="1A1A1A"/>
                <w:sz w:val="20"/>
                <w:szCs w:val="20"/>
              </w:rPr>
              <w:t xml:space="preserve">CDN, DDoS protection, TLS termination, static asset caching at edge locations</w:t>
            </w:r>
          </w:p>
        </w:tc>
      </w:tr>
      <w:tr>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1A"/>
                <w:sz w:val="20"/>
                <w:szCs w:val="20"/>
              </w:rPr>
              <w:t xml:space="preserve">Load balancing</w:t>
            </w:r>
          </w:p>
        </w:tc>
        <w:tc>
          <w:tcPr>
            <w:tcW w:type="dxa" w:w="21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1A"/>
                <w:sz w:val="20"/>
                <w:szCs w:val="20"/>
              </w:rPr>
              <w:t xml:space="preserve">Elastic Load Balancer (ALB)</w:t>
            </w:r>
          </w:p>
        </w:tc>
        <w:tc>
          <w:tcPr>
            <w:tcW w:type="dxa" w:w="54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1A"/>
                <w:sz w:val="20"/>
                <w:szCs w:val="20"/>
              </w:rPr>
              <w:t xml:space="preserve">Distributes HTTP/HTTPS traffic across EC2 instances, path-based routing, health checks</w:t>
            </w:r>
          </w:p>
        </w:tc>
      </w:tr>
      <w:tr>
        <w:tc>
          <w:tcPr>
            <w:tcW w:type="dxa" w:w="18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color w:val="1A1A1A"/>
                <w:sz w:val="20"/>
                <w:szCs w:val="20"/>
              </w:rPr>
              <w:t xml:space="preserve">Compute</w:t>
            </w:r>
          </w:p>
        </w:tc>
        <w:tc>
          <w:tcPr>
            <w:tcW w:type="dxa" w:w="21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color w:val="1A1A1A"/>
                <w:sz w:val="20"/>
                <w:szCs w:val="20"/>
              </w:rPr>
              <w:t xml:space="preserve">EC2 instances (Auto Scaling group)</w:t>
            </w:r>
          </w:p>
        </w:tc>
        <w:tc>
          <w:tcPr>
            <w:tcW w:type="dxa" w:w="54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color w:val="1A1A1A"/>
                <w:sz w:val="20"/>
                <w:szCs w:val="20"/>
              </w:rPr>
              <w:t xml:space="preserve">Application servers running business logic, deployed across multiple Availability Zones</w:t>
            </w:r>
          </w:p>
        </w:tc>
      </w:tr>
      <w:tr>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1A"/>
                <w:sz w:val="20"/>
                <w:szCs w:val="20"/>
              </w:rPr>
              <w:t xml:space="preserve">Storage (block)</w:t>
            </w:r>
          </w:p>
        </w:tc>
        <w:tc>
          <w:tcPr>
            <w:tcW w:type="dxa" w:w="21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1A"/>
                <w:sz w:val="20"/>
                <w:szCs w:val="20"/>
              </w:rPr>
              <w:t xml:space="preserve">Amazon EBS</w:t>
            </w:r>
          </w:p>
        </w:tc>
        <w:tc>
          <w:tcPr>
            <w:tcW w:type="dxa" w:w="54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1A"/>
                <w:sz w:val="20"/>
                <w:szCs w:val="20"/>
              </w:rPr>
              <w:t xml:space="preserve">Persistent volumes attached to EC2 instances for OS and application data</w:t>
            </w:r>
          </w:p>
        </w:tc>
      </w:tr>
      <w:tr>
        <w:tc>
          <w:tcPr>
            <w:tcW w:type="dxa" w:w="18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color w:val="1A1A1A"/>
                <w:sz w:val="20"/>
                <w:szCs w:val="20"/>
              </w:rPr>
              <w:t xml:space="preserve">Database</w:t>
            </w:r>
          </w:p>
        </w:tc>
        <w:tc>
          <w:tcPr>
            <w:tcW w:type="dxa" w:w="21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color w:val="1A1A1A"/>
                <w:sz w:val="20"/>
                <w:szCs w:val="20"/>
              </w:rPr>
              <w:t xml:space="preserve">Amazon RDS (Multi-AZ)</w:t>
            </w:r>
          </w:p>
        </w:tc>
        <w:tc>
          <w:tcPr>
            <w:tcW w:type="dxa" w:w="54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color w:val="1A1A1A"/>
                <w:sz w:val="20"/>
                <w:szCs w:val="20"/>
              </w:rPr>
              <w:t xml:space="preserve">Managed relational database with automatic failover to standby replica in a different AZ</w:t>
            </w:r>
          </w:p>
        </w:tc>
      </w:tr>
      <w:tr>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1A"/>
                <w:sz w:val="20"/>
                <w:szCs w:val="20"/>
              </w:rPr>
              <w:t xml:space="preserve">Object storage</w:t>
            </w:r>
          </w:p>
        </w:tc>
        <w:tc>
          <w:tcPr>
            <w:tcW w:type="dxa" w:w="21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1A"/>
                <w:sz w:val="20"/>
                <w:szCs w:val="20"/>
              </w:rPr>
              <w:t xml:space="preserve">Amazon S3</w:t>
            </w:r>
          </w:p>
        </w:tc>
        <w:tc>
          <w:tcPr>
            <w:tcW w:type="dxa" w:w="54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1A"/>
                <w:sz w:val="20"/>
                <w:szCs w:val="20"/>
              </w:rPr>
              <w:t xml:space="preserve">Static assets, media files, backups, data lake storage</w:t>
            </w:r>
          </w:p>
        </w:tc>
      </w:tr>
      <w:tr>
        <w:tc>
          <w:tcPr>
            <w:tcW w:type="dxa" w:w="18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color w:val="1A1A1A"/>
                <w:sz w:val="20"/>
                <w:szCs w:val="20"/>
              </w:rPr>
              <w:t xml:space="preserve">Monitoring</w:t>
            </w:r>
          </w:p>
        </w:tc>
        <w:tc>
          <w:tcPr>
            <w:tcW w:type="dxa" w:w="21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color w:val="1A1A1A"/>
                <w:sz w:val="20"/>
                <w:szCs w:val="20"/>
              </w:rPr>
              <w:t xml:space="preserve">Amazon CloudWatch</w:t>
            </w:r>
          </w:p>
        </w:tc>
        <w:tc>
          <w:tcPr>
            <w:tcW w:type="dxa" w:w="54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color w:val="1A1A1A"/>
                <w:sz w:val="20"/>
                <w:szCs w:val="20"/>
              </w:rPr>
              <w:t xml:space="preserve">Metrics, alarms, dashboards, log aggregation, Auto Scaling triggers</w:t>
            </w:r>
          </w:p>
        </w:tc>
      </w:tr>
    </w:tbl>
    <w:p>
      <w:pPr>
        <w:spacing w:after="80" w:before="0"/>
      </w:pPr>
      <w:r>
        <w:t xml:space="preserve"/>
      </w:r>
    </w:p>
    <w:p>
      <w:pPr>
        <w:pStyle w:val="Heading3"/>
        <w:spacing w:after="80" w:before="200"/>
      </w:pPr>
      <w:r>
        <w:rPr>
          <w:rFonts w:ascii="Arial" w:cs="Arial" w:eastAsia="Arial" w:hAnsi="Arial"/>
          <w:b/>
          <w:bCs/>
          <w:color w:val="C55A11"/>
          <w:sz w:val="24"/>
          <w:szCs w:val="24"/>
        </w:rPr>
        <w:t xml:space="preserve">Auto Scaling</w:t>
      </w:r>
    </w:p>
    <w:p>
      <w:pPr>
        <w:spacing w:after="80" w:before="60"/>
      </w:pPr>
      <w:r>
        <w:rPr>
          <w:rFonts w:ascii="Arial" w:cs="Arial" w:eastAsia="Arial" w:hAnsi="Arial"/>
          <w:color w:val="1A1A1A"/>
          <w:sz w:val="22"/>
          <w:szCs w:val="22"/>
        </w:rPr>
        <w:t xml:space="preserve">EC2 Auto Scaling automatically adjusts the number of instances in response to demand. It uses scaling policies based on CloudWatch metrics (CPU utilization, request count, custom metrics) to launch new instances when load increases and terminate them when load decreases — ensuring both performance and cost efficiency.</w:t>
      </w:r>
    </w:p>
    <w:p>
      <w:pPr>
        <w:spacing w:after="80" w:before="0"/>
      </w:pPr>
      <w:r>
        <w:t xml:space="preserve"/>
      </w:r>
    </w:p>
    <w:p>
      <w:pPr>
        <w:spacing w:after="80" w:before="60"/>
      </w:pPr>
      <w:r>
        <w:rPr>
          <w:rFonts w:ascii="Arial" w:cs="Arial" w:eastAsia="Arial" w:hAnsi="Arial"/>
          <w:color w:val="1A1A1A"/>
          <w:sz w:val="22"/>
          <w:szCs w:val="22"/>
        </w:rPr>
        <w:t xml:space="preserve">Three scaling types are available:</w:t>
      </w:r>
    </w:p>
    <w:p>
      <w:pPr>
        <w:pStyle w:val="ListParagraph"/>
        <w:numPr>
          <w:ilvl w:val="0"/>
          <w:numId w:val="2"/>
        </w:numPr>
        <w:spacing w:after="40" w:before="40"/>
      </w:pPr>
      <w:r>
        <w:rPr>
          <w:rFonts w:ascii="Arial" w:cs="Arial" w:eastAsia="Arial" w:hAnsi="Arial"/>
          <w:color w:val="1A1A1A"/>
          <w:sz w:val="22"/>
          <w:szCs w:val="22"/>
        </w:rPr>
        <w:t xml:space="preserve">Dynamic scaling: reacts to real-time CloudWatch alarm triggers</w:t>
      </w:r>
    </w:p>
    <w:p>
      <w:pPr>
        <w:pStyle w:val="ListParagraph"/>
        <w:numPr>
          <w:ilvl w:val="0"/>
          <w:numId w:val="2"/>
        </w:numPr>
        <w:spacing w:after="40" w:before="40"/>
      </w:pPr>
      <w:r>
        <w:rPr>
          <w:rFonts w:ascii="Arial" w:cs="Arial" w:eastAsia="Arial" w:hAnsi="Arial"/>
          <w:color w:val="1A1A1A"/>
          <w:sz w:val="22"/>
          <w:szCs w:val="22"/>
        </w:rPr>
        <w:t xml:space="preserve">Predictive scaling: uses machine learning to forecast demand and pre-scales proactively</w:t>
      </w:r>
    </w:p>
    <w:p>
      <w:pPr>
        <w:pStyle w:val="ListParagraph"/>
        <w:numPr>
          <w:ilvl w:val="0"/>
          <w:numId w:val="2"/>
        </w:numPr>
        <w:spacing w:after="40" w:before="40"/>
      </w:pPr>
      <w:r>
        <w:rPr>
          <w:rFonts w:ascii="Arial" w:cs="Arial" w:eastAsia="Arial" w:hAnsi="Arial"/>
          <w:color w:val="1A1A1A"/>
          <w:sz w:val="22"/>
          <w:szCs w:val="22"/>
        </w:rPr>
        <w:t xml:space="preserve">Scheduled scaling: scales at defined times for known patterns (e.g., business hours)</w:t>
      </w:r>
    </w:p>
    <w:p>
      <w:pPr>
        <w:spacing w:after="160" w:before="0"/>
      </w:pPr>
      <w:r>
        <w:t xml:space="preserve"/>
      </w:r>
    </w:p>
    <w:p>
      <w:r>
        <w:br w:type="pag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2E75B6" w:val="clear"/>
            <w:tcMar>
              <w:top w:type="dxa" w:w="120"/>
              <w:left w:type="dxa" w:w="200"/>
              <w:bottom w:type="dxa" w:w="120"/>
              <w:right w:type="dxa" w:w="200"/>
            </w:tcMar>
          </w:tcPr>
          <w:p>
            <w:pPr>
              <w:jc w:val="left"/>
            </w:pPr>
            <w:r>
              <w:rPr>
                <w:rFonts w:ascii="Arial" w:cs="Arial" w:eastAsia="Arial" w:hAnsi="Arial"/>
                <w:b/>
                <w:bCs/>
                <w:color w:val="FFFFFF"/>
                <w:sz w:val="26"/>
                <w:szCs w:val="26"/>
              </w:rPr>
              <w:t xml:space="preserve">Section 3: Real-World Company Case Studies</w:t>
            </w:r>
          </w:p>
        </w:tc>
      </w:tr>
    </w:tbl>
    <w:p>
      <w:pPr>
        <w:spacing w:after="80" w:before="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C55A11" w:val="clear"/>
            <w:tcMar>
              <w:top w:type="dxa" w:w="120"/>
              <w:left w:type="dxa" w:w="200"/>
              <w:bottom w:type="dxa" w:w="120"/>
              <w:right w:type="dxa" w:w="200"/>
            </w:tcMar>
          </w:tcPr>
          <w:p>
            <w:pPr>
              <w:jc w:val="left"/>
            </w:pPr>
            <w:r>
              <w:rPr>
                <w:rFonts w:ascii="Arial" w:cs="Arial" w:eastAsia="Arial" w:hAnsi="Arial"/>
                <w:b/>
                <w:bCs/>
                <w:color w:val="FFFFFF"/>
                <w:sz w:val="26"/>
                <w:szCs w:val="26"/>
              </w:rPr>
              <w:t xml:space="preserve">Case Study 1: Netflix</w:t>
            </w:r>
          </w:p>
        </w:tc>
      </w:tr>
    </w:tbl>
    <w:p>
      <w:pPr>
        <w:spacing w:after="80" w:before="0"/>
      </w:pPr>
      <w:r>
        <w:t xml:space="preserve"/>
      </w:r>
    </w:p>
    <w:p>
      <w:pPr>
        <w:spacing w:after="80" w:before="0"/>
      </w:pPr>
      <w:r>
        <w:rPr>
          <w:rFonts w:ascii="Arial" w:cs="Arial" w:eastAsia="Arial" w:hAnsi="Arial"/>
          <w:i/>
          <w:iCs/>
          <w:color w:val="666666"/>
          <w:sz w:val="20"/>
          <w:szCs w:val="20"/>
        </w:rPr>
        <w:t xml:space="preserve">Streaming Media  |  260M+ subscribers  |  190 countries</w:t>
      </w:r>
    </w:p>
    <w:p>
      <w:pPr>
        <w:spacing w:after="80" w:before="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340"/>
        <w:gridCol w:w="2340"/>
        <w:gridCol w:w="2340"/>
        <w:gridCol w:w="2340"/>
      </w:tblGrid>
      <w:tr>
        <w:tc>
          <w:tcPr>
            <w:tcW w:type="dxa" w:w="2340"/>
            <w:tcBorders>
              <w:top w:val="single" w:color="CCCCCC" w:sz="1"/>
              <w:left w:val="single" w:color="CCCCCC" w:sz="1"/>
              <w:bottom w:val="single" w:color="CCCCCC" w:sz="1"/>
              <w:right w:val="single" w:color="CCCCCC" w:sz="1"/>
            </w:tcBorders>
            <w:shd w:fill="D6E4F0" w:val="clear"/>
            <w:tcMar>
              <w:top w:type="dxa" w:w="100"/>
              <w:left w:type="dxa" w:w="120"/>
              <w:bottom w:type="dxa" w:w="100"/>
              <w:right w:type="dxa" w:w="120"/>
            </w:tcMar>
            <w:vAlign w:val="center"/>
          </w:tcPr>
          <w:p>
            <w:pPr>
              <w:spacing w:after="40" w:before="0"/>
              <w:jc w:val="center"/>
            </w:pPr>
            <w:r>
              <w:rPr>
                <w:rFonts w:ascii="Arial" w:cs="Arial" w:eastAsia="Arial" w:hAnsi="Arial"/>
                <w:b/>
                <w:bCs/>
                <w:color w:val="2E75B6"/>
                <w:sz w:val="36"/>
                <w:szCs w:val="36"/>
              </w:rPr>
              <w:t xml:space="preserve">100%</w:t>
            </w:r>
          </w:p>
          <w:p>
            <w:pPr>
              <w:spacing w:after="0" w:before="0"/>
              <w:jc w:val="center"/>
            </w:pPr>
            <w:r>
              <w:rPr>
                <w:rFonts w:ascii="Arial" w:cs="Arial" w:eastAsia="Arial" w:hAnsi="Arial"/>
                <w:color w:val="555555"/>
                <w:sz w:val="18"/>
                <w:szCs w:val="18"/>
              </w:rPr>
              <w:t xml:space="preserve">Moved off own data centers</w:t>
            </w:r>
          </w:p>
        </w:tc>
        <w:tc>
          <w:tcPr>
            <w:tcW w:type="dxa" w:w="2340"/>
            <w:tcBorders>
              <w:top w:val="single" w:color="CCCCCC" w:sz="1"/>
              <w:left w:val="single" w:color="CCCCCC" w:sz="1"/>
              <w:bottom w:val="single" w:color="CCCCCC" w:sz="1"/>
              <w:right w:val="single" w:color="CCCCCC" w:sz="1"/>
            </w:tcBorders>
            <w:shd w:fill="D6E4F0" w:val="clear"/>
            <w:tcMar>
              <w:top w:type="dxa" w:w="100"/>
              <w:left w:type="dxa" w:w="120"/>
              <w:bottom w:type="dxa" w:w="100"/>
              <w:right w:type="dxa" w:w="120"/>
            </w:tcMar>
            <w:vAlign w:val="center"/>
          </w:tcPr>
          <w:p>
            <w:pPr>
              <w:spacing w:after="40" w:before="0"/>
              <w:jc w:val="center"/>
            </w:pPr>
            <w:r>
              <w:rPr>
                <w:rFonts w:ascii="Arial" w:cs="Arial" w:eastAsia="Arial" w:hAnsi="Arial"/>
                <w:b/>
                <w:bCs/>
                <w:color w:val="2E75B6"/>
                <w:sz w:val="36"/>
                <w:szCs w:val="36"/>
              </w:rPr>
              <w:t xml:space="preserve">7 years</w:t>
            </w:r>
          </w:p>
          <w:p>
            <w:pPr>
              <w:spacing w:after="0" w:before="0"/>
              <w:jc w:val="center"/>
            </w:pPr>
            <w:r>
              <w:rPr>
                <w:rFonts w:ascii="Arial" w:cs="Arial" w:eastAsia="Arial" w:hAnsi="Arial"/>
                <w:color w:val="555555"/>
                <w:sz w:val="18"/>
                <w:szCs w:val="18"/>
              </w:rPr>
              <w:t xml:space="preserve">Migration duration (2008–2016)</w:t>
            </w:r>
          </w:p>
        </w:tc>
        <w:tc>
          <w:tcPr>
            <w:tcW w:type="dxa" w:w="2340"/>
            <w:tcBorders>
              <w:top w:val="single" w:color="CCCCCC" w:sz="1"/>
              <w:left w:val="single" w:color="CCCCCC" w:sz="1"/>
              <w:bottom w:val="single" w:color="CCCCCC" w:sz="1"/>
              <w:right w:val="single" w:color="CCCCCC" w:sz="1"/>
            </w:tcBorders>
            <w:shd w:fill="D6E4F0" w:val="clear"/>
            <w:tcMar>
              <w:top w:type="dxa" w:w="100"/>
              <w:left w:type="dxa" w:w="120"/>
              <w:bottom w:type="dxa" w:w="100"/>
              <w:right w:type="dxa" w:w="120"/>
            </w:tcMar>
            <w:vAlign w:val="center"/>
          </w:tcPr>
          <w:p>
            <w:pPr>
              <w:spacing w:after="40" w:before="0"/>
              <w:jc w:val="center"/>
            </w:pPr>
            <w:r>
              <w:rPr>
                <w:rFonts w:ascii="Arial" w:cs="Arial" w:eastAsia="Arial" w:hAnsi="Arial"/>
                <w:b/>
                <w:bCs/>
                <w:color w:val="2E75B6"/>
                <w:sz w:val="36"/>
                <w:szCs w:val="36"/>
              </w:rPr>
              <w:t xml:space="preserve">~100K</w:t>
            </w:r>
          </w:p>
          <w:p>
            <w:pPr>
              <w:spacing w:after="0" w:before="0"/>
              <w:jc w:val="center"/>
            </w:pPr>
            <w:r>
              <w:rPr>
                <w:rFonts w:ascii="Arial" w:cs="Arial" w:eastAsia="Arial" w:hAnsi="Arial"/>
                <w:color w:val="555555"/>
                <w:sz w:val="18"/>
                <w:szCs w:val="18"/>
              </w:rPr>
              <w:t xml:space="preserve">EC2 instances at peak</w:t>
            </w:r>
          </w:p>
        </w:tc>
        <w:tc>
          <w:tcPr>
            <w:tcW w:type="dxa" w:w="2340"/>
            <w:tcBorders>
              <w:top w:val="single" w:color="CCCCCC" w:sz="1"/>
              <w:left w:val="single" w:color="CCCCCC" w:sz="1"/>
              <w:bottom w:val="single" w:color="CCCCCC" w:sz="1"/>
              <w:right w:val="single" w:color="CCCCCC" w:sz="1"/>
            </w:tcBorders>
            <w:shd w:fill="D6E4F0" w:val="clear"/>
            <w:tcMar>
              <w:top w:type="dxa" w:w="100"/>
              <w:left w:type="dxa" w:w="120"/>
              <w:bottom w:type="dxa" w:w="100"/>
              <w:right w:type="dxa" w:w="120"/>
            </w:tcMar>
            <w:vAlign w:val="center"/>
          </w:tcPr>
          <w:p>
            <w:pPr>
              <w:spacing w:after="40" w:before="0"/>
              <w:jc w:val="center"/>
            </w:pPr>
            <w:r>
              <w:rPr>
                <w:rFonts w:ascii="Arial" w:cs="Arial" w:eastAsia="Arial" w:hAnsi="Arial"/>
                <w:b/>
                <w:bCs/>
                <w:color w:val="2E75B6"/>
                <w:sz w:val="36"/>
                <w:szCs w:val="36"/>
              </w:rPr>
              <w:t xml:space="preserve">99.99%</w:t>
            </w:r>
          </w:p>
          <w:p>
            <w:pPr>
              <w:spacing w:after="0" w:before="0"/>
              <w:jc w:val="center"/>
            </w:pPr>
            <w:r>
              <w:rPr>
                <w:rFonts w:ascii="Arial" w:cs="Arial" w:eastAsia="Arial" w:hAnsi="Arial"/>
                <w:color w:val="555555"/>
                <w:sz w:val="18"/>
                <w:szCs w:val="18"/>
              </w:rPr>
              <w:t xml:space="preserve">Streaming uptime achieved</w:t>
            </w:r>
          </w:p>
        </w:tc>
      </w:tr>
    </w:tbl>
    <w:p>
      <w:pPr>
        <w:spacing w:after="80" w:before="0"/>
      </w:pPr>
      <w:r>
        <w:t xml:space="preserve"/>
      </w:r>
    </w:p>
    <w:p>
      <w:pPr>
        <w:pStyle w:val="Heading3"/>
        <w:spacing w:after="80" w:before="200"/>
      </w:pPr>
      <w:r>
        <w:rPr>
          <w:rFonts w:ascii="Arial" w:cs="Arial" w:eastAsia="Arial" w:hAnsi="Arial"/>
          <w:b/>
          <w:bCs/>
          <w:color w:val="C55A11"/>
          <w:sz w:val="24"/>
          <w:szCs w:val="24"/>
        </w:rPr>
        <w:t xml:space="preserve">Background and Problem</w:t>
      </w:r>
    </w:p>
    <w:p>
      <w:pPr>
        <w:spacing w:after="80" w:before="60"/>
      </w:pPr>
      <w:r>
        <w:rPr>
          <w:rFonts w:ascii="Arial" w:cs="Arial" w:eastAsia="Arial" w:hAnsi="Arial"/>
          <w:color w:val="1A1A1A"/>
          <w:sz w:val="22"/>
          <w:szCs w:val="22"/>
        </w:rPr>
        <w:t xml:space="preserve">In 2008, Netflix suffered a major database corruption incident that took down their DVD shipping service for three full days. Recognising the catastrophic risk of a single data center model, Netflix CEO Reed Hastings made the decision to migrate the entire platform to AWS EC2 — a process that took seven years to complete.</w:t>
      </w:r>
    </w:p>
    <w:p>
      <w:pPr>
        <w:spacing w:after="80" w:before="0"/>
      </w:pPr>
      <w:r>
        <w:t xml:space="preserve"/>
      </w:r>
    </w:p>
    <w:p>
      <w:pPr>
        <w:spacing w:after="80" w:before="60"/>
      </w:pPr>
      <w:r>
        <w:rPr>
          <w:rFonts w:ascii="Arial" w:cs="Arial" w:eastAsia="Arial" w:hAnsi="Arial"/>
          <w:color w:val="1A1A1A"/>
          <w:sz w:val="22"/>
          <w:szCs w:val="22"/>
        </w:rPr>
        <w:t xml:space="preserve">The challenge was immense: serving billions of streaming hours per year with zero tolerance for downtime, across 190 countries, with massive traffic spikes whenever major new content launched. The "Squid Game" season two premiere, for example, saw streaming demand increase 10x within minutes of release.</w:t>
      </w:r>
    </w:p>
    <w:p>
      <w:pPr>
        <w:pStyle w:val="Heading3"/>
        <w:spacing w:after="80" w:before="200"/>
      </w:pPr>
      <w:r>
        <w:rPr>
          <w:rFonts w:ascii="Arial" w:cs="Arial" w:eastAsia="Arial" w:hAnsi="Arial"/>
          <w:b/>
          <w:bCs/>
          <w:color w:val="C55A11"/>
          <w:sz w:val="24"/>
          <w:szCs w:val="24"/>
        </w:rPr>
        <w:t xml:space="preserve">The EC2 Solution</w:t>
      </w:r>
    </w:p>
    <w:p>
      <w:pPr>
        <w:spacing w:after="80" w:before="60"/>
      </w:pPr>
      <w:r>
        <w:rPr>
          <w:rFonts w:ascii="Arial" w:cs="Arial" w:eastAsia="Arial" w:hAnsi="Arial"/>
          <w:color w:val="1A1A1A"/>
          <w:sz w:val="22"/>
          <w:szCs w:val="22"/>
        </w:rPr>
        <w:t xml:space="preserve">Netflix rebuilt their entire platform on EC2 using a microservices architecture comprising over 700 independent services. Each service team owns and operates their own EC2 infrastructure independently. Key technical decisions included:</w:t>
      </w:r>
    </w:p>
    <w:p>
      <w:pPr>
        <w:pStyle w:val="ListParagraph"/>
        <w:numPr>
          <w:ilvl w:val="0"/>
          <w:numId w:val="2"/>
        </w:numPr>
        <w:spacing w:after="40" w:before="40"/>
      </w:pPr>
      <w:r>
        <w:rPr>
          <w:rFonts w:ascii="Arial" w:cs="Arial" w:eastAsia="Arial" w:hAnsi="Arial"/>
          <w:color w:val="1A1A1A"/>
          <w:sz w:val="22"/>
          <w:szCs w:val="22"/>
        </w:rPr>
        <w:t xml:space="preserve">C-series instances for video transcoding and encoding workloads</w:t>
      </w:r>
    </w:p>
    <w:p>
      <w:pPr>
        <w:pStyle w:val="ListParagraph"/>
        <w:numPr>
          <w:ilvl w:val="0"/>
          <w:numId w:val="2"/>
        </w:numPr>
        <w:spacing w:after="40" w:before="40"/>
      </w:pPr>
      <w:r>
        <w:rPr>
          <w:rFonts w:ascii="Arial" w:cs="Arial" w:eastAsia="Arial" w:hAnsi="Arial"/>
          <w:color w:val="1A1A1A"/>
          <w:sz w:val="22"/>
          <w:szCs w:val="22"/>
        </w:rPr>
        <w:t xml:space="preserve">M-series instances for general-purpose microservices</w:t>
      </w:r>
    </w:p>
    <w:p>
      <w:pPr>
        <w:pStyle w:val="ListParagraph"/>
        <w:numPr>
          <w:ilvl w:val="0"/>
          <w:numId w:val="2"/>
        </w:numPr>
        <w:spacing w:after="40" w:before="40"/>
      </w:pPr>
      <w:r>
        <w:rPr>
          <w:rFonts w:ascii="Arial" w:cs="Arial" w:eastAsia="Arial" w:hAnsi="Arial"/>
          <w:color w:val="1A1A1A"/>
          <w:sz w:val="22"/>
          <w:szCs w:val="22"/>
        </w:rPr>
        <w:t xml:space="preserve">R-series instances for the recommendation engine and caching layers</w:t>
      </w:r>
    </w:p>
    <w:p>
      <w:pPr>
        <w:pStyle w:val="ListParagraph"/>
        <w:numPr>
          <w:ilvl w:val="0"/>
          <w:numId w:val="2"/>
        </w:numPr>
        <w:spacing w:after="40" w:before="40"/>
      </w:pPr>
      <w:r>
        <w:rPr>
          <w:rFonts w:ascii="Arial" w:cs="Arial" w:eastAsia="Arial" w:hAnsi="Arial"/>
          <w:color w:val="1A1A1A"/>
          <w:sz w:val="22"/>
          <w:szCs w:val="22"/>
        </w:rPr>
        <w:t xml:space="preserve">Spot Instances for batch transcoding jobs — saving up to 80% on compute costs</w:t>
      </w:r>
    </w:p>
    <w:p>
      <w:pPr>
        <w:pStyle w:val="ListParagraph"/>
        <w:numPr>
          <w:ilvl w:val="0"/>
          <w:numId w:val="2"/>
        </w:numPr>
        <w:spacing w:after="40" w:before="40"/>
      </w:pPr>
      <w:r>
        <w:rPr>
          <w:rFonts w:ascii="Arial" w:cs="Arial" w:eastAsia="Arial" w:hAnsi="Arial"/>
          <w:color w:val="1A1A1A"/>
          <w:sz w:val="22"/>
          <w:szCs w:val="22"/>
        </w:rPr>
        <w:t xml:space="preserve">Multi-region active-active deployment for global resilience</w:t>
      </w:r>
    </w:p>
    <w:p>
      <w:pPr>
        <w:spacing w:after="80" w:before="0"/>
      </w:pPr>
      <w:r>
        <w:t xml:space="preserve"/>
      </w:r>
    </w:p>
    <w:p>
      <w:pPr>
        <w:spacing w:after="80" w:before="60"/>
      </w:pPr>
      <w:r>
        <w:rPr>
          <w:rFonts w:ascii="Arial" w:cs="Arial" w:eastAsia="Arial" w:hAnsi="Arial"/>
          <w:color w:val="1A1A1A"/>
          <w:sz w:val="22"/>
          <w:szCs w:val="22"/>
        </w:rPr>
        <w:t xml:space="preserve">Netflix pioneered "Chaos Engineering" — a practice of deliberately terminating EC2 instances in production (via their Simian Army toolset, including Chaos Monkey) to validate that the system could self-heal. If an instance failure in production was acceptable, it would never cause an outage.</w:t>
      </w:r>
    </w:p>
    <w:p>
      <w:pPr>
        <w:pStyle w:val="Heading3"/>
        <w:spacing w:after="80" w:before="200"/>
      </w:pPr>
      <w:r>
        <w:rPr>
          <w:rFonts w:ascii="Arial" w:cs="Arial" w:eastAsia="Arial" w:hAnsi="Arial"/>
          <w:b/>
          <w:bCs/>
          <w:color w:val="C55A11"/>
          <w:sz w:val="24"/>
          <w:szCs w:val="24"/>
        </w:rPr>
        <w:t xml:space="preserve">Outcomes</w:t>
      </w:r>
    </w:p>
    <w:p>
      <w:pPr>
        <w:pStyle w:val="ListParagraph"/>
        <w:numPr>
          <w:ilvl w:val="0"/>
          <w:numId w:val="2"/>
        </w:numPr>
        <w:spacing w:after="40" w:before="40"/>
      </w:pPr>
      <w:r>
        <w:rPr>
          <w:rFonts w:ascii="Arial" w:cs="Arial" w:eastAsia="Arial" w:hAnsi="Arial"/>
          <w:color w:val="1A1A1A"/>
          <w:sz w:val="22"/>
          <w:szCs w:val="22"/>
        </w:rPr>
        <w:t xml:space="preserve">Eliminated extended outages from hardware events — the system routes around failed instances automatically</w:t>
      </w:r>
    </w:p>
    <w:p>
      <w:pPr>
        <w:pStyle w:val="ListParagraph"/>
        <w:numPr>
          <w:ilvl w:val="0"/>
          <w:numId w:val="2"/>
        </w:numPr>
        <w:spacing w:after="40" w:before="40"/>
      </w:pPr>
      <w:r>
        <w:rPr>
          <w:rFonts w:ascii="Arial" w:cs="Arial" w:eastAsia="Arial" w:hAnsi="Arial"/>
          <w:color w:val="1A1A1A"/>
          <w:sz w:val="22"/>
          <w:szCs w:val="22"/>
        </w:rPr>
        <w:t xml:space="preserve">Scales from 500,000 to 15,000,000+ concurrent streams within minutes during major releases</w:t>
      </w:r>
    </w:p>
    <w:p>
      <w:pPr>
        <w:pStyle w:val="ListParagraph"/>
        <w:numPr>
          <w:ilvl w:val="0"/>
          <w:numId w:val="2"/>
        </w:numPr>
        <w:spacing w:after="40" w:before="40"/>
      </w:pPr>
      <w:r>
        <w:rPr>
          <w:rFonts w:ascii="Arial" w:cs="Arial" w:eastAsia="Arial" w:hAnsi="Arial"/>
          <w:color w:val="1A1A1A"/>
          <w:sz w:val="22"/>
          <w:szCs w:val="22"/>
        </w:rPr>
        <w:t xml:space="preserve">Video encoding pipeline time cut from days to hours using Spot Instance fleets for batch processing</w:t>
      </w:r>
    </w:p>
    <w:p>
      <w:pPr>
        <w:pStyle w:val="ListParagraph"/>
        <w:numPr>
          <w:ilvl w:val="0"/>
          <w:numId w:val="2"/>
        </w:numPr>
        <w:spacing w:after="40" w:before="40"/>
      </w:pPr>
      <w:r>
        <w:rPr>
          <w:rFonts w:ascii="Arial" w:cs="Arial" w:eastAsia="Arial" w:hAnsi="Arial"/>
          <w:color w:val="1A1A1A"/>
          <w:sz w:val="22"/>
          <w:szCs w:val="22"/>
        </w:rPr>
        <w:t xml:space="preserve">Launched across 130 new countries simultaneously in January 2016 — impossible with owned infrastructure</w:t>
      </w:r>
    </w:p>
    <w:p>
      <w:pPr>
        <w:pStyle w:val="ListParagraph"/>
        <w:numPr>
          <w:ilvl w:val="0"/>
          <w:numId w:val="2"/>
        </w:numPr>
        <w:spacing w:after="40" w:before="40"/>
      </w:pPr>
      <w:r>
        <w:rPr>
          <w:rFonts w:ascii="Arial" w:cs="Arial" w:eastAsia="Arial" w:hAnsi="Arial"/>
          <w:color w:val="1A1A1A"/>
          <w:sz w:val="22"/>
          <w:szCs w:val="22"/>
        </w:rPr>
        <w:t xml:space="preserve">Engineering teams deploy code hundreds of times per day with zero planned downtime windows</w:t>
      </w:r>
    </w:p>
    <w:p>
      <w:pPr>
        <w:spacing w:after="80" w:before="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2E75B6" w:sz="8"/>
              <w:left w:val="single" w:color="2E75B6" w:sz="24"/>
              <w:bottom w:val="single" w:color="CCCCCC" w:sz="1"/>
              <w:right w:val="single" w:color="CCCCCC" w:sz="1"/>
            </w:tcBorders>
            <w:shd w:fill="E2EFDA" w:val="clear"/>
            <w:tcMar>
              <w:top w:type="dxa" w:w="120"/>
              <w:left w:type="dxa" w:w="200"/>
              <w:bottom w:type="dxa" w:w="120"/>
              <w:right w:type="dxa" w:w="160"/>
            </w:tcMar>
          </w:tcPr>
          <w:p>
            <w:pPr>
              <w:spacing w:after="60" w:before="0"/>
            </w:pPr>
            <w:r>
              <w:rPr>
                <w:rFonts w:ascii="Arial" w:cs="Arial" w:eastAsia="Arial" w:hAnsi="Arial"/>
                <w:b/>
                <w:bCs/>
                <w:color w:val="1E4620"/>
                <w:sz w:val="20"/>
                <w:szCs w:val="20"/>
              </w:rPr>
              <w:t xml:space="preserve">Key Lesson</w:t>
            </w:r>
          </w:p>
          <w:p>
            <w:pPr>
              <w:spacing w:after="0" w:before="0"/>
            </w:pPr>
            <w:r>
              <w:rPr>
                <w:rFonts w:ascii="Arial" w:cs="Arial" w:eastAsia="Arial" w:hAnsi="Arial"/>
                <w:color w:val="1A1A1A"/>
                <w:sz w:val="22"/>
                <w:szCs w:val="22"/>
              </w:rPr>
              <w:t xml:space="preserve">Netflix proved that "cloud-native" architecture — designing for failure rather than trying to prevent it — enables greater reliability than traditional "design for no failure" approaches. Their Chaos Engineering practice is now an industry standard.</w:t>
            </w:r>
          </w:p>
        </w:tc>
      </w:tr>
    </w:tbl>
    <w:p>
      <w:pPr>
        <w:spacing w:after="160" w:before="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1F4E79" w:val="clear"/>
            <w:tcMar>
              <w:top w:type="dxa" w:w="120"/>
              <w:left w:type="dxa" w:w="200"/>
              <w:bottom w:type="dxa" w:w="120"/>
              <w:right w:type="dxa" w:w="200"/>
            </w:tcMar>
          </w:tcPr>
          <w:p>
            <w:pPr>
              <w:jc w:val="left"/>
            </w:pPr>
            <w:r>
              <w:rPr>
                <w:rFonts w:ascii="Arial" w:cs="Arial" w:eastAsia="Arial" w:hAnsi="Arial"/>
                <w:b/>
                <w:bCs/>
                <w:color w:val="FFFFFF"/>
                <w:sz w:val="26"/>
                <w:szCs w:val="26"/>
              </w:rPr>
              <w:t xml:space="preserve">Case Study 2: NASA / Jet Propulsion Laboratory</w:t>
            </w:r>
          </w:p>
        </w:tc>
      </w:tr>
    </w:tbl>
    <w:p>
      <w:pPr>
        <w:spacing w:after="80" w:before="0"/>
      </w:pPr>
      <w:r>
        <w:t xml:space="preserve"/>
      </w:r>
    </w:p>
    <w:p>
      <w:pPr>
        <w:spacing w:after="80" w:before="0"/>
      </w:pPr>
      <w:r>
        <w:rPr>
          <w:rFonts w:ascii="Arial" w:cs="Arial" w:eastAsia="Arial" w:hAnsi="Arial"/>
          <w:i/>
          <w:iCs/>
          <w:color w:val="666666"/>
          <w:sz w:val="20"/>
          <w:szCs w:val="20"/>
        </w:rPr>
        <w:t xml:space="preserve">Space Exploration &amp; Scientific Research  |  U.S. Federal Agency</w:t>
      </w:r>
    </w:p>
    <w:p>
      <w:pPr>
        <w:spacing w:after="80" w:before="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340"/>
        <w:gridCol w:w="2340"/>
        <w:gridCol w:w="2340"/>
        <w:gridCol w:w="2340"/>
      </w:tblGrid>
      <w:tr>
        <w:tc>
          <w:tcPr>
            <w:tcW w:type="dxa" w:w="2340"/>
            <w:tcBorders>
              <w:top w:val="single" w:color="CCCCCC" w:sz="1"/>
              <w:left w:val="single" w:color="CCCCCC" w:sz="1"/>
              <w:bottom w:val="single" w:color="CCCCCC" w:sz="1"/>
              <w:right w:val="single" w:color="CCCCCC" w:sz="1"/>
            </w:tcBorders>
            <w:shd w:fill="D6E4F0" w:val="clear"/>
            <w:tcMar>
              <w:top w:type="dxa" w:w="100"/>
              <w:left w:type="dxa" w:w="120"/>
              <w:bottom w:type="dxa" w:w="100"/>
              <w:right w:type="dxa" w:w="120"/>
            </w:tcMar>
            <w:vAlign w:val="center"/>
          </w:tcPr>
          <w:p>
            <w:pPr>
              <w:spacing w:after="40" w:before="0"/>
              <w:jc w:val="center"/>
            </w:pPr>
            <w:r>
              <w:rPr>
                <w:rFonts w:ascii="Arial" w:cs="Arial" w:eastAsia="Arial" w:hAnsi="Arial"/>
                <w:b/>
                <w:bCs/>
                <w:color w:val="2E75B6"/>
                <w:sz w:val="36"/>
                <w:szCs w:val="36"/>
              </w:rPr>
              <w:t xml:space="preserve">2.7 TB</w:t>
            </w:r>
          </w:p>
          <w:p>
            <w:pPr>
              <w:spacing w:after="0" w:before="0"/>
              <w:jc w:val="center"/>
            </w:pPr>
            <w:r>
              <w:rPr>
                <w:rFonts w:ascii="Arial" w:cs="Arial" w:eastAsia="Arial" w:hAnsi="Arial"/>
                <w:color w:val="555555"/>
                <w:sz w:val="18"/>
                <w:szCs w:val="18"/>
              </w:rPr>
              <w:t xml:space="preserve">Image data processed</w:t>
            </w:r>
          </w:p>
        </w:tc>
        <w:tc>
          <w:tcPr>
            <w:tcW w:type="dxa" w:w="2340"/>
            <w:tcBorders>
              <w:top w:val="single" w:color="CCCCCC" w:sz="1"/>
              <w:left w:val="single" w:color="CCCCCC" w:sz="1"/>
              <w:bottom w:val="single" w:color="CCCCCC" w:sz="1"/>
              <w:right w:val="single" w:color="CCCCCC" w:sz="1"/>
            </w:tcBorders>
            <w:shd w:fill="D6E4F0" w:val="clear"/>
            <w:tcMar>
              <w:top w:type="dxa" w:w="100"/>
              <w:left w:type="dxa" w:w="120"/>
              <w:bottom w:type="dxa" w:w="100"/>
              <w:right w:type="dxa" w:w="120"/>
            </w:tcMar>
            <w:vAlign w:val="center"/>
          </w:tcPr>
          <w:p>
            <w:pPr>
              <w:spacing w:after="40" w:before="0"/>
              <w:jc w:val="center"/>
            </w:pPr>
            <w:r>
              <w:rPr>
                <w:rFonts w:ascii="Arial" w:cs="Arial" w:eastAsia="Arial" w:hAnsi="Arial"/>
                <w:b/>
                <w:bCs/>
                <w:color w:val="2E75B6"/>
                <w:sz w:val="36"/>
                <w:szCs w:val="36"/>
              </w:rPr>
              <w:t xml:space="preserve">160</w:t>
            </w:r>
          </w:p>
          <w:p>
            <w:pPr>
              <w:spacing w:after="0" w:before="0"/>
              <w:jc w:val="center"/>
            </w:pPr>
            <w:r>
              <w:rPr>
                <w:rFonts w:ascii="Arial" w:cs="Arial" w:eastAsia="Arial" w:hAnsi="Arial"/>
                <w:color w:val="555555"/>
                <w:sz w:val="18"/>
                <w:szCs w:val="18"/>
              </w:rPr>
              <w:t xml:space="preserve">EC2 instances provisioned</w:t>
            </w:r>
          </w:p>
        </w:tc>
        <w:tc>
          <w:tcPr>
            <w:tcW w:type="dxa" w:w="2340"/>
            <w:tcBorders>
              <w:top w:val="single" w:color="CCCCCC" w:sz="1"/>
              <w:left w:val="single" w:color="CCCCCC" w:sz="1"/>
              <w:bottom w:val="single" w:color="CCCCCC" w:sz="1"/>
              <w:right w:val="single" w:color="CCCCCC" w:sz="1"/>
            </w:tcBorders>
            <w:shd w:fill="D6E4F0" w:val="clear"/>
            <w:tcMar>
              <w:top w:type="dxa" w:w="100"/>
              <w:left w:type="dxa" w:w="120"/>
              <w:bottom w:type="dxa" w:w="100"/>
              <w:right w:type="dxa" w:w="120"/>
            </w:tcMar>
            <w:vAlign w:val="center"/>
          </w:tcPr>
          <w:p>
            <w:pPr>
              <w:spacing w:after="40" w:before="0"/>
              <w:jc w:val="center"/>
            </w:pPr>
            <w:r>
              <w:rPr>
                <w:rFonts w:ascii="Arial" w:cs="Arial" w:eastAsia="Arial" w:hAnsi="Arial"/>
                <w:b/>
                <w:bCs/>
                <w:color w:val="2E75B6"/>
                <w:sz w:val="36"/>
                <w:szCs w:val="36"/>
              </w:rPr>
              <w:t xml:space="preserve">&lt; 2 hrs</w:t>
            </w:r>
          </w:p>
          <w:p>
            <w:pPr>
              <w:spacing w:after="0" w:before="0"/>
              <w:jc w:val="center"/>
            </w:pPr>
            <w:r>
              <w:rPr>
                <w:rFonts w:ascii="Arial" w:cs="Arial" w:eastAsia="Arial" w:hAnsi="Arial"/>
                <w:color w:val="555555"/>
                <w:sz w:val="18"/>
                <w:szCs w:val="18"/>
              </w:rPr>
              <w:t xml:space="preserve">Data published post-landing</w:t>
            </w:r>
          </w:p>
        </w:tc>
        <w:tc>
          <w:tcPr>
            <w:tcW w:type="dxa" w:w="2340"/>
            <w:tcBorders>
              <w:top w:val="single" w:color="CCCCCC" w:sz="1"/>
              <w:left w:val="single" w:color="CCCCCC" w:sz="1"/>
              <w:bottom w:val="single" w:color="CCCCCC" w:sz="1"/>
              <w:right w:val="single" w:color="CCCCCC" w:sz="1"/>
            </w:tcBorders>
            <w:shd w:fill="D6E4F0" w:val="clear"/>
            <w:tcMar>
              <w:top w:type="dxa" w:w="100"/>
              <w:left w:type="dxa" w:w="120"/>
              <w:bottom w:type="dxa" w:w="100"/>
              <w:right w:type="dxa" w:w="120"/>
            </w:tcMar>
            <w:vAlign w:val="center"/>
          </w:tcPr>
          <w:p>
            <w:pPr>
              <w:spacing w:after="40" w:before="0"/>
              <w:jc w:val="center"/>
            </w:pPr>
            <w:r>
              <w:rPr>
                <w:rFonts w:ascii="Arial" w:cs="Arial" w:eastAsia="Arial" w:hAnsi="Arial"/>
                <w:b/>
                <w:bCs/>
                <w:color w:val="2E75B6"/>
                <w:sz w:val="36"/>
                <w:szCs w:val="36"/>
              </w:rPr>
              <w:t xml:space="preserve">$0</w:t>
            </w:r>
          </w:p>
          <w:p>
            <w:pPr>
              <w:spacing w:after="0" w:before="0"/>
              <w:jc w:val="center"/>
            </w:pPr>
            <w:r>
              <w:rPr>
                <w:rFonts w:ascii="Arial" w:cs="Arial" w:eastAsia="Arial" w:hAnsi="Arial"/>
                <w:color w:val="555555"/>
                <w:sz w:val="18"/>
                <w:szCs w:val="18"/>
              </w:rPr>
              <w:t xml:space="preserve">Idle hardware cost post-mission</w:t>
            </w:r>
          </w:p>
        </w:tc>
      </w:tr>
    </w:tbl>
    <w:p>
      <w:pPr>
        <w:spacing w:after="80" w:before="0"/>
      </w:pPr>
      <w:r>
        <w:t xml:space="preserve"/>
      </w:r>
    </w:p>
    <w:p>
      <w:pPr>
        <w:pStyle w:val="Heading3"/>
        <w:spacing w:after="80" w:before="200"/>
      </w:pPr>
      <w:r>
        <w:rPr>
          <w:rFonts w:ascii="Arial" w:cs="Arial" w:eastAsia="Arial" w:hAnsi="Arial"/>
          <w:b/>
          <w:bCs/>
          <w:color w:val="C55A11"/>
          <w:sz w:val="24"/>
          <w:szCs w:val="24"/>
        </w:rPr>
        <w:t xml:space="preserve">Background and Problem</w:t>
      </w:r>
    </w:p>
    <w:p>
      <w:pPr>
        <w:spacing w:after="80" w:before="60"/>
      </w:pPr>
      <w:r>
        <w:rPr>
          <w:rFonts w:ascii="Arial" w:cs="Arial" w:eastAsia="Arial" w:hAnsi="Arial"/>
          <w:color w:val="1A1A1A"/>
          <w:sz w:val="22"/>
          <w:szCs w:val="22"/>
        </w:rPr>
        <w:t xml:space="preserve">When NASA's Curiosity Rover landed on Mars on August 6, 2012, the world wanted to see the raw imagery immediately. NASA's Jet Propulsion Laboratory needed to process 2.7 terabytes of raw telemetry and image data and serve it to potentially millions of simultaneous visitors — but only for a short peak window following the landing event.</w:t>
      </w:r>
    </w:p>
    <w:p>
      <w:pPr>
        <w:spacing w:after="80" w:before="0"/>
      </w:pPr>
      <w:r>
        <w:t xml:space="preserve"/>
      </w:r>
    </w:p>
    <w:p>
      <w:pPr>
        <w:spacing w:after="80" w:before="60"/>
      </w:pPr>
      <w:r>
        <w:rPr>
          <w:rFonts w:ascii="Arial" w:cs="Arial" w:eastAsia="Arial" w:hAnsi="Arial"/>
          <w:color w:val="1A1A1A"/>
          <w:sz w:val="22"/>
          <w:szCs w:val="22"/>
        </w:rPr>
        <w:t xml:space="preserve">Purchasing permanent hardware for a one-time peak event made no economic or logistical sense. Traditional procurement timelines of weeks or months made it impossible to have hardware ready in time. NASA needed to spin up massive compute capacity within hours and shut it down immediately after.</w:t>
      </w:r>
    </w:p>
    <w:p>
      <w:pPr>
        <w:pStyle w:val="Heading3"/>
        <w:spacing w:after="80" w:before="200"/>
      </w:pPr>
      <w:r>
        <w:rPr>
          <w:rFonts w:ascii="Arial" w:cs="Arial" w:eastAsia="Arial" w:hAnsi="Arial"/>
          <w:b/>
          <w:bCs/>
          <w:color w:val="C55A11"/>
          <w:sz w:val="24"/>
          <w:szCs w:val="24"/>
        </w:rPr>
        <w:t xml:space="preserve">The EC2 Solution</w:t>
      </w:r>
    </w:p>
    <w:p>
      <w:pPr>
        <w:spacing w:after="80" w:before="60"/>
      </w:pPr>
      <w:r>
        <w:rPr>
          <w:rFonts w:ascii="Arial" w:cs="Arial" w:eastAsia="Arial" w:hAnsi="Arial"/>
          <w:color w:val="1A1A1A"/>
          <w:sz w:val="22"/>
          <w:szCs w:val="22"/>
        </w:rPr>
        <w:t xml:space="preserve">NASA provisioned 160 EC2 instances within hours of the landing event using On-Demand pricing. The fleet processed raw rover telemetry and imagery data in parallel, with results served globally via Amazon CloudFront CDN. After the peak window closed, all 160 instances were terminated. NASA paid only for the actual hours of compute usage — at a tiny fraction of what permanent hardware would have cost.</w:t>
      </w:r>
    </w:p>
    <w:p>
      <w:pPr>
        <w:pStyle w:val="Heading3"/>
        <w:spacing w:after="80" w:before="200"/>
      </w:pPr>
      <w:r>
        <w:rPr>
          <w:rFonts w:ascii="Arial" w:cs="Arial" w:eastAsia="Arial" w:hAnsi="Arial"/>
          <w:b/>
          <w:bCs/>
          <w:color w:val="C55A11"/>
          <w:sz w:val="24"/>
          <w:szCs w:val="24"/>
        </w:rPr>
        <w:t xml:space="preserve">Outcomes</w:t>
      </w:r>
    </w:p>
    <w:p>
      <w:pPr>
        <w:pStyle w:val="ListParagraph"/>
        <w:numPr>
          <w:ilvl w:val="0"/>
          <w:numId w:val="2"/>
        </w:numPr>
        <w:spacing w:after="40" w:before="40"/>
      </w:pPr>
      <w:r>
        <w:rPr>
          <w:rFonts w:ascii="Arial" w:cs="Arial" w:eastAsia="Arial" w:hAnsi="Arial"/>
          <w:color w:val="1A1A1A"/>
          <w:sz w:val="22"/>
          <w:szCs w:val="22"/>
        </w:rPr>
        <w:t xml:space="preserve">2.7 TB of Mars surface imagery processed and published within 2 hours of landing</w:t>
      </w:r>
    </w:p>
    <w:p>
      <w:pPr>
        <w:pStyle w:val="ListParagraph"/>
        <w:numPr>
          <w:ilvl w:val="0"/>
          <w:numId w:val="2"/>
        </w:numPr>
        <w:spacing w:after="40" w:before="40"/>
      </w:pPr>
      <w:r>
        <w:rPr>
          <w:rFonts w:ascii="Arial" w:cs="Arial" w:eastAsia="Arial" w:hAnsi="Arial"/>
          <w:color w:val="1A1A1A"/>
          <w:sz w:val="22"/>
          <w:szCs w:val="22"/>
        </w:rPr>
        <w:t xml:space="preserve">Millions of concurrent website visitors served without performance degradation</w:t>
      </w:r>
    </w:p>
    <w:p>
      <w:pPr>
        <w:pStyle w:val="ListParagraph"/>
        <w:numPr>
          <w:ilvl w:val="0"/>
          <w:numId w:val="2"/>
        </w:numPr>
        <w:spacing w:after="40" w:before="40"/>
      </w:pPr>
      <w:r>
        <w:rPr>
          <w:rFonts w:ascii="Arial" w:cs="Arial" w:eastAsia="Arial" w:hAnsi="Arial"/>
          <w:color w:val="1A1A1A"/>
          <w:sz w:val="22"/>
          <w:szCs w:val="22"/>
        </w:rPr>
        <w:t xml:space="preserve">Zero ongoing hardware costs once the mission window concluded</w:t>
      </w:r>
    </w:p>
    <w:p>
      <w:pPr>
        <w:pStyle w:val="ListParagraph"/>
        <w:numPr>
          <w:ilvl w:val="0"/>
          <w:numId w:val="2"/>
        </w:numPr>
        <w:spacing w:after="40" w:before="40"/>
      </w:pPr>
      <w:r>
        <w:rPr>
          <w:rFonts w:ascii="Arial" w:cs="Arial" w:eastAsia="Arial" w:hAnsi="Arial"/>
          <w:color w:val="1A1A1A"/>
          <w:sz w:val="22"/>
          <w:szCs w:val="22"/>
        </w:rPr>
        <w:t xml:space="preserve">This "burst-then-terminate" pattern is now used for all major NASA public data release events</w:t>
      </w:r>
    </w:p>
    <w:p>
      <w:pPr>
        <w:pStyle w:val="ListParagraph"/>
        <w:numPr>
          <w:ilvl w:val="0"/>
          <w:numId w:val="2"/>
        </w:numPr>
        <w:spacing w:after="40" w:before="40"/>
      </w:pPr>
      <w:r>
        <w:rPr>
          <w:rFonts w:ascii="Arial" w:cs="Arial" w:eastAsia="Arial" w:hAnsi="Arial"/>
          <w:color w:val="1A1A1A"/>
          <w:sz w:val="22"/>
          <w:szCs w:val="22"/>
        </w:rPr>
        <w:t xml:space="preserve">JPL now runs large-scale scientific simulations on EC2 HPC clusters with Elastic Fabric Adapter (EFA) networking</w:t>
      </w:r>
    </w:p>
    <w:p>
      <w:pPr>
        <w:spacing w:after="80" w:before="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2E75B6" w:sz="8"/>
              <w:left w:val="single" w:color="2E75B6" w:sz="24"/>
              <w:bottom w:val="single" w:color="CCCCCC" w:sz="1"/>
              <w:right w:val="single" w:color="CCCCCC" w:sz="1"/>
            </w:tcBorders>
            <w:shd w:fill="D6E4F0" w:val="clear"/>
            <w:tcMar>
              <w:top w:type="dxa" w:w="120"/>
              <w:left w:type="dxa" w:w="200"/>
              <w:bottom w:type="dxa" w:w="120"/>
              <w:right w:type="dxa" w:w="160"/>
            </w:tcMar>
          </w:tcPr>
          <w:p>
            <w:pPr>
              <w:spacing w:after="60" w:before="0"/>
            </w:pPr>
            <w:r>
              <w:rPr>
                <w:rFonts w:ascii="Arial" w:cs="Arial" w:eastAsia="Arial" w:hAnsi="Arial"/>
                <w:b/>
                <w:bCs/>
                <w:color w:val="1F4E79"/>
                <w:sz w:val="20"/>
                <w:szCs w:val="20"/>
              </w:rPr>
              <w:t xml:space="preserve">Key Lesson</w:t>
            </w:r>
          </w:p>
          <w:p>
            <w:pPr>
              <w:spacing w:after="0" w:before="0"/>
            </w:pPr>
            <w:r>
              <w:rPr>
                <w:rFonts w:ascii="Arial" w:cs="Arial" w:eastAsia="Arial" w:hAnsi="Arial"/>
                <w:color w:val="1A1A1A"/>
                <w:sz w:val="22"/>
                <w:szCs w:val="22"/>
              </w:rPr>
              <w:t xml:space="preserve">EC2's On-Demand pricing model enabled NASA to apply genuine computing resources to a genuine need, for exactly the duration of that need — without any capital expenditure, procurement delay, or idle infrastructure. The elasticity of EC2 is most powerful precisely in these bursty, unpredictable scenarios.</w:t>
            </w:r>
          </w:p>
        </w:tc>
      </w:tr>
    </w:tbl>
    <w:p>
      <w:pPr>
        <w:spacing w:after="160" w:before="0"/>
      </w:pPr>
      <w:r>
        <w:t xml:space="preserve"/>
      </w:r>
    </w:p>
    <w:p>
      <w:r>
        <w:br w:type="pag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C55A11" w:val="clear"/>
            <w:tcMar>
              <w:top w:type="dxa" w:w="120"/>
              <w:left w:type="dxa" w:w="200"/>
              <w:bottom w:type="dxa" w:w="120"/>
              <w:right w:type="dxa" w:w="200"/>
            </w:tcMar>
          </w:tcPr>
          <w:p>
            <w:pPr>
              <w:jc w:val="left"/>
            </w:pPr>
            <w:r>
              <w:rPr>
                <w:rFonts w:ascii="Arial" w:cs="Arial" w:eastAsia="Arial" w:hAnsi="Arial"/>
                <w:b/>
                <w:bCs/>
                <w:color w:val="FFFFFF"/>
                <w:sz w:val="26"/>
                <w:szCs w:val="26"/>
              </w:rPr>
              <w:t xml:space="preserve">Case Study 3: Airbnb</w:t>
            </w:r>
          </w:p>
        </w:tc>
      </w:tr>
    </w:tbl>
    <w:p>
      <w:pPr>
        <w:spacing w:after="80" w:before="0"/>
      </w:pPr>
      <w:r>
        <w:t xml:space="preserve"/>
      </w:r>
    </w:p>
    <w:p>
      <w:pPr>
        <w:spacing w:after="80" w:before="0"/>
      </w:pPr>
      <w:r>
        <w:rPr>
          <w:rFonts w:ascii="Arial" w:cs="Arial" w:eastAsia="Arial" w:hAnsi="Arial"/>
          <w:i/>
          <w:iCs/>
          <w:color w:val="666666"/>
          <w:sz w:val="20"/>
          <w:szCs w:val="20"/>
        </w:rPr>
        <w:t xml:space="preserve">Travel &amp; Hospitality Marketplace  |  150M+ users  |  Founded 2008  |  220+ countries</w:t>
      </w:r>
    </w:p>
    <w:p>
      <w:pPr>
        <w:spacing w:after="80" w:before="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340"/>
        <w:gridCol w:w="2340"/>
        <w:gridCol w:w="2340"/>
        <w:gridCol w:w="2340"/>
      </w:tblGrid>
      <w:tr>
        <w:tc>
          <w:tcPr>
            <w:tcW w:type="dxa" w:w="2340"/>
            <w:tcBorders>
              <w:top w:val="single" w:color="CCCCCC" w:sz="1"/>
              <w:left w:val="single" w:color="CCCCCC" w:sz="1"/>
              <w:bottom w:val="single" w:color="CCCCCC" w:sz="1"/>
              <w:right w:val="single" w:color="CCCCCC" w:sz="1"/>
            </w:tcBorders>
            <w:shd w:fill="D6E4F0" w:val="clear"/>
            <w:tcMar>
              <w:top w:type="dxa" w:w="100"/>
              <w:left w:type="dxa" w:w="120"/>
              <w:bottom w:type="dxa" w:w="100"/>
              <w:right w:type="dxa" w:w="120"/>
            </w:tcMar>
            <w:vAlign w:val="center"/>
          </w:tcPr>
          <w:p>
            <w:pPr>
              <w:spacing w:after="40" w:before="0"/>
              <w:jc w:val="center"/>
            </w:pPr>
            <w:r>
              <w:rPr>
                <w:rFonts w:ascii="Arial" w:cs="Arial" w:eastAsia="Arial" w:hAnsi="Arial"/>
                <w:b/>
                <w:bCs/>
                <w:color w:val="2E75B6"/>
                <w:sz w:val="36"/>
                <w:szCs w:val="36"/>
              </w:rPr>
              <w:t xml:space="preserve">100%</w:t>
            </w:r>
          </w:p>
          <w:p>
            <w:pPr>
              <w:spacing w:after="0" w:before="0"/>
              <w:jc w:val="center"/>
            </w:pPr>
            <w:r>
              <w:rPr>
                <w:rFonts w:ascii="Arial" w:cs="Arial" w:eastAsia="Arial" w:hAnsi="Arial"/>
                <w:color w:val="555555"/>
                <w:sz w:val="18"/>
                <w:szCs w:val="18"/>
              </w:rPr>
              <w:t xml:space="preserve">Cloud-native from day one</w:t>
            </w:r>
          </w:p>
        </w:tc>
        <w:tc>
          <w:tcPr>
            <w:tcW w:type="dxa" w:w="2340"/>
            <w:tcBorders>
              <w:top w:val="single" w:color="CCCCCC" w:sz="1"/>
              <w:left w:val="single" w:color="CCCCCC" w:sz="1"/>
              <w:bottom w:val="single" w:color="CCCCCC" w:sz="1"/>
              <w:right w:val="single" w:color="CCCCCC" w:sz="1"/>
            </w:tcBorders>
            <w:shd w:fill="D6E4F0" w:val="clear"/>
            <w:tcMar>
              <w:top w:type="dxa" w:w="100"/>
              <w:left w:type="dxa" w:w="120"/>
              <w:bottom w:type="dxa" w:w="100"/>
              <w:right w:type="dxa" w:w="120"/>
            </w:tcMar>
            <w:vAlign w:val="center"/>
          </w:tcPr>
          <w:p>
            <w:pPr>
              <w:spacing w:after="40" w:before="0"/>
              <w:jc w:val="center"/>
            </w:pPr>
            <w:r>
              <w:rPr>
                <w:rFonts w:ascii="Arial" w:cs="Arial" w:eastAsia="Arial" w:hAnsi="Arial"/>
                <w:b/>
                <w:bCs/>
                <w:color w:val="2E75B6"/>
                <w:sz w:val="36"/>
                <w:szCs w:val="36"/>
              </w:rPr>
              <w:t xml:space="preserve">10×</w:t>
            </w:r>
          </w:p>
          <w:p>
            <w:pPr>
              <w:spacing w:after="0" w:before="0"/>
              <w:jc w:val="center"/>
            </w:pPr>
            <w:r>
              <w:rPr>
                <w:rFonts w:ascii="Arial" w:cs="Arial" w:eastAsia="Arial" w:hAnsi="Arial"/>
                <w:color w:val="555555"/>
                <w:sz w:val="18"/>
                <w:szCs w:val="18"/>
              </w:rPr>
              <w:t xml:space="preserve">Traffic growth absorbed seamlessly</w:t>
            </w:r>
          </w:p>
        </w:tc>
        <w:tc>
          <w:tcPr>
            <w:tcW w:type="dxa" w:w="2340"/>
            <w:tcBorders>
              <w:top w:val="single" w:color="CCCCCC" w:sz="1"/>
              <w:left w:val="single" w:color="CCCCCC" w:sz="1"/>
              <w:bottom w:val="single" w:color="CCCCCC" w:sz="1"/>
              <w:right w:val="single" w:color="CCCCCC" w:sz="1"/>
            </w:tcBorders>
            <w:shd w:fill="D6E4F0" w:val="clear"/>
            <w:tcMar>
              <w:top w:type="dxa" w:w="100"/>
              <w:left w:type="dxa" w:w="120"/>
              <w:bottom w:type="dxa" w:w="100"/>
              <w:right w:type="dxa" w:w="120"/>
            </w:tcMar>
            <w:vAlign w:val="center"/>
          </w:tcPr>
          <w:p>
            <w:pPr>
              <w:spacing w:after="40" w:before="0"/>
              <w:jc w:val="center"/>
            </w:pPr>
            <w:r>
              <w:rPr>
                <w:rFonts w:ascii="Arial" w:cs="Arial" w:eastAsia="Arial" w:hAnsi="Arial"/>
                <w:b/>
                <w:bCs/>
                <w:color w:val="2E75B6"/>
                <w:sz w:val="36"/>
                <w:szCs w:val="36"/>
              </w:rPr>
              <w:t xml:space="preserve">75%</w:t>
            </w:r>
          </w:p>
          <w:p>
            <w:pPr>
              <w:spacing w:after="0" w:before="0"/>
              <w:jc w:val="center"/>
            </w:pPr>
            <w:r>
              <w:rPr>
                <w:rFonts w:ascii="Arial" w:cs="Arial" w:eastAsia="Arial" w:hAnsi="Arial"/>
                <w:color w:val="555555"/>
                <w:sz w:val="18"/>
                <w:szCs w:val="18"/>
              </w:rPr>
              <w:t xml:space="preserve">ML compute cost savings via Spot</w:t>
            </w:r>
          </w:p>
        </w:tc>
        <w:tc>
          <w:tcPr>
            <w:tcW w:type="dxa" w:w="2340"/>
            <w:tcBorders>
              <w:top w:val="single" w:color="CCCCCC" w:sz="1"/>
              <w:left w:val="single" w:color="CCCCCC" w:sz="1"/>
              <w:bottom w:val="single" w:color="CCCCCC" w:sz="1"/>
              <w:right w:val="single" w:color="CCCCCC" w:sz="1"/>
            </w:tcBorders>
            <w:shd w:fill="D6E4F0" w:val="clear"/>
            <w:tcMar>
              <w:top w:type="dxa" w:w="100"/>
              <w:left w:type="dxa" w:w="120"/>
              <w:bottom w:type="dxa" w:w="100"/>
              <w:right w:type="dxa" w:w="120"/>
            </w:tcMar>
            <w:vAlign w:val="center"/>
          </w:tcPr>
          <w:p>
            <w:pPr>
              <w:spacing w:after="40" w:before="0"/>
              <w:jc w:val="center"/>
            </w:pPr>
            <w:r>
              <w:rPr>
                <w:rFonts w:ascii="Arial" w:cs="Arial" w:eastAsia="Arial" w:hAnsi="Arial"/>
                <w:b/>
                <w:bCs/>
                <w:color w:val="2E75B6"/>
                <w:sz w:val="36"/>
                <w:szCs w:val="36"/>
              </w:rPr>
              <w:t xml:space="preserve">3 min</w:t>
            </w:r>
          </w:p>
          <w:p>
            <w:pPr>
              <w:spacing w:after="0" w:before="0"/>
              <w:jc w:val="center"/>
            </w:pPr>
            <w:r>
              <w:rPr>
                <w:rFonts w:ascii="Arial" w:cs="Arial" w:eastAsia="Arial" w:hAnsi="Arial"/>
                <w:color w:val="555555"/>
                <w:sz w:val="18"/>
                <w:szCs w:val="18"/>
              </w:rPr>
              <w:t xml:space="preserve">Average production deploy time</w:t>
            </w:r>
          </w:p>
        </w:tc>
      </w:tr>
    </w:tbl>
    <w:p>
      <w:pPr>
        <w:spacing w:after="80" w:before="0"/>
      </w:pPr>
      <w:r>
        <w:t xml:space="preserve"/>
      </w:r>
    </w:p>
    <w:p>
      <w:pPr>
        <w:pStyle w:val="Heading3"/>
        <w:spacing w:after="80" w:before="200"/>
      </w:pPr>
      <w:r>
        <w:rPr>
          <w:rFonts w:ascii="Arial" w:cs="Arial" w:eastAsia="Arial" w:hAnsi="Arial"/>
          <w:b/>
          <w:bCs/>
          <w:color w:val="C55A11"/>
          <w:sz w:val="24"/>
          <w:szCs w:val="24"/>
        </w:rPr>
        <w:t xml:space="preserve">Background and Problem</w:t>
      </w:r>
    </w:p>
    <w:p>
      <w:pPr>
        <w:spacing w:after="80" w:before="60"/>
      </w:pPr>
      <w:r>
        <w:rPr>
          <w:rFonts w:ascii="Arial" w:cs="Arial" w:eastAsia="Arial" w:hAnsi="Arial"/>
          <w:color w:val="1A1A1A"/>
          <w:sz w:val="22"/>
          <w:szCs w:val="22"/>
        </w:rPr>
        <w:t xml:space="preserve">Airbnb launched in 2008 — the same year AWS EC2 reached general availability — and made the strategic decision to be cloud-native from the very first line of code. As a two-sided marketplace, Airbnb's traffic profile is intensely seasonal: demand spikes dramatically during holiday periods, major events (Super Bowl, Olympics), and summer travel peaks, then falls significantly in off-peak windows.</w:t>
      </w:r>
    </w:p>
    <w:p>
      <w:pPr>
        <w:spacing w:after="80" w:before="0"/>
      </w:pPr>
      <w:r>
        <w:t xml:space="preserve"/>
      </w:r>
    </w:p>
    <w:p>
      <w:pPr>
        <w:spacing w:after="80" w:before="60"/>
      </w:pPr>
      <w:r>
        <w:rPr>
          <w:rFonts w:ascii="Arial" w:cs="Arial" w:eastAsia="Arial" w:hAnsi="Arial"/>
          <w:color w:val="1A1A1A"/>
          <w:sz w:val="22"/>
          <w:szCs w:val="22"/>
        </w:rPr>
        <w:t xml:space="preserve">They also needed to expand to 220+ countries quickly, support 40+ languages, handle payments in 190+ currencies, and operate search across 7 million active listings in real time — without building any physical infrastructure.</w:t>
      </w:r>
    </w:p>
    <w:p>
      <w:pPr>
        <w:pStyle w:val="Heading3"/>
        <w:spacing w:after="80" w:before="200"/>
      </w:pPr>
      <w:r>
        <w:rPr>
          <w:rFonts w:ascii="Arial" w:cs="Arial" w:eastAsia="Arial" w:hAnsi="Arial"/>
          <w:b/>
          <w:bCs/>
          <w:color w:val="C55A11"/>
          <w:sz w:val="24"/>
          <w:szCs w:val="24"/>
        </w:rPr>
        <w:t xml:space="preserve">The EC2 Solution</w:t>
      </w:r>
    </w:p>
    <w:p>
      <w:pPr>
        <w:spacing w:after="80" w:before="60"/>
      </w:pPr>
      <w:r>
        <w:rPr>
          <w:rFonts w:ascii="Arial" w:cs="Arial" w:eastAsia="Arial" w:hAnsi="Arial"/>
          <w:color w:val="1A1A1A"/>
          <w:sz w:val="22"/>
          <w:szCs w:val="22"/>
        </w:rPr>
        <w:t xml:space="preserve">Airbnb built on EC2 with Auto Scaling groups spanning multiple Availability Zones from the start. Their architecture evolved as the company grew:</w:t>
      </w:r>
    </w:p>
    <w:p>
      <w:pPr>
        <w:pStyle w:val="ListParagraph"/>
        <w:numPr>
          <w:ilvl w:val="0"/>
          <w:numId w:val="2"/>
        </w:numPr>
        <w:spacing w:after="40" w:before="40"/>
      </w:pPr>
      <w:r>
        <w:rPr>
          <w:rFonts w:ascii="Arial" w:cs="Arial" w:eastAsia="Arial" w:hAnsi="Arial"/>
          <w:color w:val="1A1A1A"/>
          <w:sz w:val="22"/>
          <w:szCs w:val="22"/>
        </w:rPr>
        <w:t xml:space="preserve">EC2 M5/M6g instances — core web application servers, handling booking logic and user sessions</w:t>
      </w:r>
    </w:p>
    <w:p>
      <w:pPr>
        <w:pStyle w:val="ListParagraph"/>
        <w:numPr>
          <w:ilvl w:val="0"/>
          <w:numId w:val="2"/>
        </w:numPr>
        <w:spacing w:after="40" w:before="40"/>
      </w:pPr>
      <w:r>
        <w:rPr>
          <w:rFonts w:ascii="Arial" w:cs="Arial" w:eastAsia="Arial" w:hAnsi="Arial"/>
          <w:color w:val="1A1A1A"/>
          <w:sz w:val="22"/>
          <w:szCs w:val="22"/>
        </w:rPr>
        <w:t xml:space="preserve">EC2 R5 instances — search, personalization, and real-time pricing recommendation systems</w:t>
      </w:r>
    </w:p>
    <w:p>
      <w:pPr>
        <w:pStyle w:val="ListParagraph"/>
        <w:numPr>
          <w:ilvl w:val="0"/>
          <w:numId w:val="2"/>
        </w:numPr>
        <w:spacing w:after="40" w:before="40"/>
      </w:pPr>
      <w:r>
        <w:rPr>
          <w:rFonts w:ascii="Arial" w:cs="Arial" w:eastAsia="Arial" w:hAnsi="Arial"/>
          <w:color w:val="1A1A1A"/>
          <w:sz w:val="22"/>
          <w:szCs w:val="22"/>
        </w:rPr>
        <w:t xml:space="preserve">EC2 Spot Instances — ML model training pipelines, data ETL, and analytics workloads (75% cost savings)</w:t>
      </w:r>
    </w:p>
    <w:p>
      <w:pPr>
        <w:pStyle w:val="ListParagraph"/>
        <w:numPr>
          <w:ilvl w:val="0"/>
          <w:numId w:val="2"/>
        </w:numPr>
        <w:spacing w:after="40" w:before="40"/>
      </w:pPr>
      <w:r>
        <w:rPr>
          <w:rFonts w:ascii="Arial" w:cs="Arial" w:eastAsia="Arial" w:hAnsi="Arial"/>
          <w:color w:val="1A1A1A"/>
          <w:sz w:val="22"/>
          <w:szCs w:val="22"/>
        </w:rPr>
        <w:t xml:space="preserve">Predictive Auto Scaling — pre-provisions capacity before anticipated demand spikes like New Year's Eve</w:t>
      </w:r>
    </w:p>
    <w:p>
      <w:pPr>
        <w:pStyle w:val="ListParagraph"/>
        <w:numPr>
          <w:ilvl w:val="0"/>
          <w:numId w:val="2"/>
        </w:numPr>
        <w:spacing w:after="40" w:before="40"/>
      </w:pPr>
      <w:r>
        <w:rPr>
          <w:rFonts w:ascii="Arial" w:cs="Arial" w:eastAsia="Arial" w:hAnsi="Arial"/>
          <w:color w:val="1A1A1A"/>
          <w:sz w:val="22"/>
          <w:szCs w:val="22"/>
        </w:rPr>
        <w:t xml:space="preserve">Amazon EMR on EC2 — large-scale data processing for pricing optimization and fraud detection</w:t>
      </w:r>
    </w:p>
    <w:p>
      <w:pPr>
        <w:spacing w:after="80" w:before="0"/>
      </w:pPr>
      <w:r>
        <w:t xml:space="preserve"/>
      </w:r>
    </w:p>
    <w:p>
      <w:pPr>
        <w:spacing w:after="80" w:before="60"/>
      </w:pPr>
      <w:r>
        <w:rPr>
          <w:rFonts w:ascii="Arial" w:cs="Arial" w:eastAsia="Arial" w:hAnsi="Arial"/>
          <w:color w:val="1A1A1A"/>
          <w:sz w:val="22"/>
          <w:szCs w:val="22"/>
        </w:rPr>
        <w:t xml:space="preserve">Airbnb's data science team extensively uses EC2 Spot Instances for model training — running training jobs that can be interrupted and resumed without data loss, achieving cost savings of 70–80% compared to On-Demand pricing for the same compute.</w:t>
      </w:r>
    </w:p>
    <w:p>
      <w:pPr>
        <w:pStyle w:val="Heading3"/>
        <w:spacing w:after="80" w:before="200"/>
      </w:pPr>
      <w:r>
        <w:rPr>
          <w:rFonts w:ascii="Arial" w:cs="Arial" w:eastAsia="Arial" w:hAnsi="Arial"/>
          <w:b/>
          <w:bCs/>
          <w:color w:val="C55A11"/>
          <w:sz w:val="24"/>
          <w:szCs w:val="24"/>
        </w:rPr>
        <w:t xml:space="preserve">Outcomes</w:t>
      </w:r>
    </w:p>
    <w:p>
      <w:pPr>
        <w:pStyle w:val="ListParagraph"/>
        <w:numPr>
          <w:ilvl w:val="0"/>
          <w:numId w:val="2"/>
        </w:numPr>
        <w:spacing w:after="40" w:before="40"/>
      </w:pPr>
      <w:r>
        <w:rPr>
          <w:rFonts w:ascii="Arial" w:cs="Arial" w:eastAsia="Arial" w:hAnsi="Arial"/>
          <w:color w:val="1A1A1A"/>
          <w:sz w:val="22"/>
          <w:szCs w:val="22"/>
        </w:rPr>
        <w:t xml:space="preserve">Scaled from hundreds to tens of thousands of compute instances without any hardware procurement</w:t>
      </w:r>
    </w:p>
    <w:p>
      <w:pPr>
        <w:pStyle w:val="ListParagraph"/>
        <w:numPr>
          <w:ilvl w:val="0"/>
          <w:numId w:val="2"/>
        </w:numPr>
        <w:spacing w:after="40" w:before="40"/>
      </w:pPr>
      <w:r>
        <w:rPr>
          <w:rFonts w:ascii="Arial" w:cs="Arial" w:eastAsia="Arial" w:hAnsi="Arial"/>
          <w:color w:val="1A1A1A"/>
          <w:sz w:val="22"/>
          <w:szCs w:val="22"/>
        </w:rPr>
        <w:t xml:space="preserve">Expanded to 220+ countries with zero physical infrastructure investment in any market</w:t>
      </w:r>
    </w:p>
    <w:p>
      <w:pPr>
        <w:pStyle w:val="ListParagraph"/>
        <w:numPr>
          <w:ilvl w:val="0"/>
          <w:numId w:val="2"/>
        </w:numPr>
        <w:spacing w:after="40" w:before="40"/>
      </w:pPr>
      <w:r>
        <w:rPr>
          <w:rFonts w:ascii="Arial" w:cs="Arial" w:eastAsia="Arial" w:hAnsi="Arial"/>
          <w:color w:val="1A1A1A"/>
          <w:sz w:val="22"/>
          <w:szCs w:val="22"/>
        </w:rPr>
        <w:t xml:space="preserve">ML model retraining costs reduced 75% through systematic use of Spot Instances</w:t>
      </w:r>
    </w:p>
    <w:p>
      <w:pPr>
        <w:pStyle w:val="ListParagraph"/>
        <w:numPr>
          <w:ilvl w:val="0"/>
          <w:numId w:val="2"/>
        </w:numPr>
        <w:spacing w:after="40" w:before="40"/>
      </w:pPr>
      <w:r>
        <w:rPr>
          <w:rFonts w:ascii="Arial" w:cs="Arial" w:eastAsia="Arial" w:hAnsi="Arial"/>
          <w:color w:val="1A1A1A"/>
          <w:sz w:val="22"/>
          <w:szCs w:val="22"/>
        </w:rPr>
        <w:t xml:space="preserve">Holiday traffic spikes absorbed automatically — engineers focus on features, not capacity planning</w:t>
      </w:r>
    </w:p>
    <w:p>
      <w:pPr>
        <w:pStyle w:val="ListParagraph"/>
        <w:numPr>
          <w:ilvl w:val="0"/>
          <w:numId w:val="2"/>
        </w:numPr>
        <w:spacing w:after="40" w:before="40"/>
      </w:pPr>
      <w:r>
        <w:rPr>
          <w:rFonts w:ascii="Arial" w:cs="Arial" w:eastAsia="Arial" w:hAnsi="Arial"/>
          <w:color w:val="1A1A1A"/>
          <w:sz w:val="22"/>
          <w:szCs w:val="22"/>
        </w:rPr>
        <w:t xml:space="preserve">Continuous deployment pipeline delivers new features multiple times daily with zero downtime</w:t>
      </w:r>
    </w:p>
    <w:p>
      <w:pPr>
        <w:spacing w:after="80" w:before="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2E75B6" w:sz="8"/>
              <w:left w:val="single" w:color="2E75B6" w:sz="24"/>
              <w:bottom w:val="single" w:color="CCCCCC" w:sz="1"/>
              <w:right w:val="single" w:color="CCCCCC" w:sz="1"/>
            </w:tcBorders>
            <w:shd w:fill="E2EFDA" w:val="clear"/>
            <w:tcMar>
              <w:top w:type="dxa" w:w="120"/>
              <w:left w:type="dxa" w:w="200"/>
              <w:bottom w:type="dxa" w:w="120"/>
              <w:right w:type="dxa" w:w="160"/>
            </w:tcMar>
          </w:tcPr>
          <w:p>
            <w:pPr>
              <w:spacing w:after="60" w:before="0"/>
            </w:pPr>
            <w:r>
              <w:rPr>
                <w:rFonts w:ascii="Arial" w:cs="Arial" w:eastAsia="Arial" w:hAnsi="Arial"/>
                <w:b/>
                <w:bCs/>
                <w:color w:val="1E4620"/>
                <w:sz w:val="20"/>
                <w:szCs w:val="20"/>
              </w:rPr>
              <w:t xml:space="preserve">Key Lesson</w:t>
            </w:r>
          </w:p>
          <w:p>
            <w:pPr>
              <w:spacing w:after="0" w:before="0"/>
            </w:pPr>
            <w:r>
              <w:rPr>
                <w:rFonts w:ascii="Arial" w:cs="Arial" w:eastAsia="Arial" w:hAnsi="Arial"/>
                <w:color w:val="1A1A1A"/>
                <w:sz w:val="22"/>
                <w:szCs w:val="22"/>
              </w:rPr>
              <w:t xml:space="preserve">Airbnb demonstrates the strategic advantage of being cloud-native from founding. Because they never built a legacy data center estate, there was no migration cost, no compatibility burden, and no organizational resistance. Every architectural decision was made with cloud-scale economics in mind from day one.</w:t>
            </w:r>
          </w:p>
        </w:tc>
      </w:tr>
    </w:tbl>
    <w:p>
      <w:pPr>
        <w:spacing w:after="160" w:before="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1F4E79" w:val="clear"/>
            <w:tcMar>
              <w:top w:type="dxa" w:w="120"/>
              <w:left w:type="dxa" w:w="200"/>
              <w:bottom w:type="dxa" w:w="120"/>
              <w:right w:type="dxa" w:w="200"/>
            </w:tcMar>
          </w:tcPr>
          <w:p>
            <w:pPr>
              <w:jc w:val="left"/>
            </w:pPr>
            <w:r>
              <w:rPr>
                <w:rFonts w:ascii="Arial" w:cs="Arial" w:eastAsia="Arial" w:hAnsi="Arial"/>
                <w:b/>
                <w:bCs/>
                <w:color w:val="FFFFFF"/>
                <w:sz w:val="26"/>
                <w:szCs w:val="26"/>
              </w:rPr>
              <w:t xml:space="preserve">Case Study 4: Expedia Group</w:t>
            </w:r>
          </w:p>
        </w:tc>
      </w:tr>
    </w:tbl>
    <w:p>
      <w:pPr>
        <w:spacing w:after="80" w:before="0"/>
      </w:pPr>
      <w:r>
        <w:t xml:space="preserve"/>
      </w:r>
    </w:p>
    <w:p>
      <w:pPr>
        <w:spacing w:after="80" w:before="0"/>
      </w:pPr>
      <w:r>
        <w:rPr>
          <w:rFonts w:ascii="Arial" w:cs="Arial" w:eastAsia="Arial" w:hAnsi="Arial"/>
          <w:i/>
          <w:iCs/>
          <w:color w:val="666666"/>
          <w:sz w:val="20"/>
          <w:szCs w:val="20"/>
        </w:rPr>
        <w:t xml:space="preserve">Online Travel  |  25+ Brands  |  $12B+ Annual Revenue  |  Hotels.com, Vrbo, Orbitz, Travelocity</w:t>
      </w:r>
    </w:p>
    <w:p>
      <w:pPr>
        <w:spacing w:after="80" w:before="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340"/>
        <w:gridCol w:w="2340"/>
        <w:gridCol w:w="2340"/>
        <w:gridCol w:w="2340"/>
      </w:tblGrid>
      <w:tr>
        <w:tc>
          <w:tcPr>
            <w:tcW w:type="dxa" w:w="2340"/>
            <w:tcBorders>
              <w:top w:val="single" w:color="CCCCCC" w:sz="1"/>
              <w:left w:val="single" w:color="CCCCCC" w:sz="1"/>
              <w:bottom w:val="single" w:color="CCCCCC" w:sz="1"/>
              <w:right w:val="single" w:color="CCCCCC" w:sz="1"/>
            </w:tcBorders>
            <w:shd w:fill="D6E4F0" w:val="clear"/>
            <w:tcMar>
              <w:top w:type="dxa" w:w="100"/>
              <w:left w:type="dxa" w:w="120"/>
              <w:bottom w:type="dxa" w:w="100"/>
              <w:right w:type="dxa" w:w="120"/>
            </w:tcMar>
            <w:vAlign w:val="center"/>
          </w:tcPr>
          <w:p>
            <w:pPr>
              <w:spacing w:after="40" w:before="0"/>
              <w:jc w:val="center"/>
            </w:pPr>
            <w:r>
              <w:rPr>
                <w:rFonts w:ascii="Arial" w:cs="Arial" w:eastAsia="Arial" w:hAnsi="Arial"/>
                <w:b/>
                <w:bCs/>
                <w:color w:val="2E75B6"/>
                <w:sz w:val="36"/>
                <w:szCs w:val="36"/>
              </w:rPr>
              <w:t xml:space="preserve">80%</w:t>
            </w:r>
          </w:p>
          <w:p>
            <w:pPr>
              <w:spacing w:after="0" w:before="0"/>
              <w:jc w:val="center"/>
            </w:pPr>
            <w:r>
              <w:rPr>
                <w:rFonts w:ascii="Arial" w:cs="Arial" w:eastAsia="Arial" w:hAnsi="Arial"/>
                <w:color w:val="555555"/>
                <w:sz w:val="18"/>
                <w:szCs w:val="18"/>
              </w:rPr>
              <w:t xml:space="preserve">Workloads migrated to AWS</w:t>
            </w:r>
          </w:p>
        </w:tc>
        <w:tc>
          <w:tcPr>
            <w:tcW w:type="dxa" w:w="2340"/>
            <w:tcBorders>
              <w:top w:val="single" w:color="CCCCCC" w:sz="1"/>
              <w:left w:val="single" w:color="CCCCCC" w:sz="1"/>
              <w:bottom w:val="single" w:color="CCCCCC" w:sz="1"/>
              <w:right w:val="single" w:color="CCCCCC" w:sz="1"/>
            </w:tcBorders>
            <w:shd w:fill="D6E4F0" w:val="clear"/>
            <w:tcMar>
              <w:top w:type="dxa" w:w="100"/>
              <w:left w:type="dxa" w:w="120"/>
              <w:bottom w:type="dxa" w:w="100"/>
              <w:right w:type="dxa" w:w="120"/>
            </w:tcMar>
            <w:vAlign w:val="center"/>
          </w:tcPr>
          <w:p>
            <w:pPr>
              <w:spacing w:after="40" w:before="0"/>
              <w:jc w:val="center"/>
            </w:pPr>
            <w:r>
              <w:rPr>
                <w:rFonts w:ascii="Arial" w:cs="Arial" w:eastAsia="Arial" w:hAnsi="Arial"/>
                <w:b/>
                <w:bCs/>
                <w:color w:val="2E75B6"/>
                <w:sz w:val="36"/>
                <w:szCs w:val="36"/>
              </w:rPr>
              <w:t xml:space="preserve">25%</w:t>
            </w:r>
          </w:p>
          <w:p>
            <w:pPr>
              <w:spacing w:after="0" w:before="0"/>
              <w:jc w:val="center"/>
            </w:pPr>
            <w:r>
              <w:rPr>
                <w:rFonts w:ascii="Arial" w:cs="Arial" w:eastAsia="Arial" w:hAnsi="Arial"/>
                <w:color w:val="555555"/>
                <w:sz w:val="18"/>
                <w:szCs w:val="18"/>
              </w:rPr>
              <w:t xml:space="preserve">Infrastructure cost reduction</w:t>
            </w:r>
          </w:p>
        </w:tc>
        <w:tc>
          <w:tcPr>
            <w:tcW w:type="dxa" w:w="2340"/>
            <w:tcBorders>
              <w:top w:val="single" w:color="CCCCCC" w:sz="1"/>
              <w:left w:val="single" w:color="CCCCCC" w:sz="1"/>
              <w:bottom w:val="single" w:color="CCCCCC" w:sz="1"/>
              <w:right w:val="single" w:color="CCCCCC" w:sz="1"/>
            </w:tcBorders>
            <w:shd w:fill="D6E4F0" w:val="clear"/>
            <w:tcMar>
              <w:top w:type="dxa" w:w="100"/>
              <w:left w:type="dxa" w:w="120"/>
              <w:bottom w:type="dxa" w:w="100"/>
              <w:right w:type="dxa" w:w="120"/>
            </w:tcMar>
            <w:vAlign w:val="center"/>
          </w:tcPr>
          <w:p>
            <w:pPr>
              <w:spacing w:after="40" w:before="0"/>
              <w:jc w:val="center"/>
            </w:pPr>
            <w:r>
              <w:rPr>
                <w:rFonts w:ascii="Arial" w:cs="Arial" w:eastAsia="Arial" w:hAnsi="Arial"/>
                <w:b/>
                <w:bCs/>
                <w:color w:val="2E75B6"/>
                <w:sz w:val="36"/>
                <w:szCs w:val="36"/>
              </w:rPr>
              <w:t xml:space="preserve">4×</w:t>
            </w:r>
          </w:p>
          <w:p>
            <w:pPr>
              <w:spacing w:after="0" w:before="0"/>
              <w:jc w:val="center"/>
            </w:pPr>
            <w:r>
              <w:rPr>
                <w:rFonts w:ascii="Arial" w:cs="Arial" w:eastAsia="Arial" w:hAnsi="Arial"/>
                <w:color w:val="555555"/>
                <w:sz w:val="18"/>
                <w:szCs w:val="18"/>
              </w:rPr>
              <w:t xml:space="preserve">Faster time-to-market</w:t>
            </w:r>
          </w:p>
        </w:tc>
        <w:tc>
          <w:tcPr>
            <w:tcW w:type="dxa" w:w="2340"/>
            <w:tcBorders>
              <w:top w:val="single" w:color="CCCCCC" w:sz="1"/>
              <w:left w:val="single" w:color="CCCCCC" w:sz="1"/>
              <w:bottom w:val="single" w:color="CCCCCC" w:sz="1"/>
              <w:right w:val="single" w:color="CCCCCC" w:sz="1"/>
            </w:tcBorders>
            <w:shd w:fill="D6E4F0" w:val="clear"/>
            <w:tcMar>
              <w:top w:type="dxa" w:w="100"/>
              <w:left w:type="dxa" w:w="120"/>
              <w:bottom w:type="dxa" w:w="100"/>
              <w:right w:type="dxa" w:w="120"/>
            </w:tcMar>
            <w:vAlign w:val="center"/>
          </w:tcPr>
          <w:p>
            <w:pPr>
              <w:spacing w:after="40" w:before="0"/>
              <w:jc w:val="center"/>
            </w:pPr>
            <w:r>
              <w:rPr>
                <w:rFonts w:ascii="Arial" w:cs="Arial" w:eastAsia="Arial" w:hAnsi="Arial"/>
                <w:b/>
                <w:bCs/>
                <w:color w:val="2E75B6"/>
                <w:sz w:val="36"/>
                <w:szCs w:val="36"/>
              </w:rPr>
              <w:t xml:space="preserve">100M+</w:t>
            </w:r>
          </w:p>
          <w:p>
            <w:pPr>
              <w:spacing w:after="0" w:before="0"/>
              <w:jc w:val="center"/>
            </w:pPr>
            <w:r>
              <w:rPr>
                <w:rFonts w:ascii="Arial" w:cs="Arial" w:eastAsia="Arial" w:hAnsi="Arial"/>
                <w:color w:val="555555"/>
                <w:sz w:val="18"/>
                <w:szCs w:val="18"/>
              </w:rPr>
              <w:t xml:space="preserve">Daily search queries served</w:t>
            </w:r>
          </w:p>
        </w:tc>
      </w:tr>
    </w:tbl>
    <w:p>
      <w:pPr>
        <w:spacing w:after="80" w:before="0"/>
      </w:pPr>
      <w:r>
        <w:t xml:space="preserve"/>
      </w:r>
    </w:p>
    <w:p>
      <w:pPr>
        <w:pStyle w:val="Heading3"/>
        <w:spacing w:after="80" w:before="200"/>
      </w:pPr>
      <w:r>
        <w:rPr>
          <w:rFonts w:ascii="Arial" w:cs="Arial" w:eastAsia="Arial" w:hAnsi="Arial"/>
          <w:b/>
          <w:bCs/>
          <w:color w:val="C55A11"/>
          <w:sz w:val="24"/>
          <w:szCs w:val="24"/>
        </w:rPr>
        <w:t xml:space="preserve">Background and Problem</w:t>
      </w:r>
    </w:p>
    <w:p>
      <w:pPr>
        <w:spacing w:after="80" w:before="60"/>
      </w:pPr>
      <w:r>
        <w:rPr>
          <w:rFonts w:ascii="Arial" w:cs="Arial" w:eastAsia="Arial" w:hAnsi="Arial"/>
          <w:color w:val="1A1A1A"/>
          <w:sz w:val="22"/>
          <w:szCs w:val="22"/>
        </w:rPr>
        <w:t xml:space="preserve">Expedia Group operates 25+ travel brands including Hotels.com, Vrbo, Orbitz, and Travelocity. Each brand historically ran on separate, siloed on-premises infrastructure — creating massive duplication of hardware, engineering effort, and operational cost across the group.</w:t>
      </w:r>
    </w:p>
    <w:p>
      <w:pPr>
        <w:spacing w:after="80" w:before="0"/>
      </w:pPr>
      <w:r>
        <w:t xml:space="preserve"/>
      </w:r>
    </w:p>
    <w:p>
      <w:pPr>
        <w:spacing w:after="80" w:before="60"/>
      </w:pPr>
      <w:r>
        <w:rPr>
          <w:rFonts w:ascii="Arial" w:cs="Arial" w:eastAsia="Arial" w:hAnsi="Arial"/>
          <w:color w:val="1A1A1A"/>
          <w:sz w:val="22"/>
          <w:szCs w:val="22"/>
        </w:rPr>
        <w:t xml:space="preserve">Search queries during peak travel booking seasons (January 'New Year' surge, school holiday windows) overwhelmed capacity while leaving expensive hardware sitting idle for months. Migrating 25 brands with complex legacy systems to modern cloud infrastructure — while maintaining 100 million+ daily searches with no interruption — was a multi-year engineering challenge.</w:t>
      </w:r>
    </w:p>
    <w:p>
      <w:pPr>
        <w:pStyle w:val="Heading3"/>
        <w:spacing w:after="80" w:before="200"/>
      </w:pPr>
      <w:r>
        <w:rPr>
          <w:rFonts w:ascii="Arial" w:cs="Arial" w:eastAsia="Arial" w:hAnsi="Arial"/>
          <w:b/>
          <w:bCs/>
          <w:color w:val="C55A11"/>
          <w:sz w:val="24"/>
          <w:szCs w:val="24"/>
        </w:rPr>
        <w:t xml:space="preserve">The EC2 Solution</w:t>
      </w:r>
    </w:p>
    <w:p>
      <w:pPr>
        <w:spacing w:after="80" w:before="60"/>
      </w:pPr>
      <w:r>
        <w:rPr>
          <w:rFonts w:ascii="Arial" w:cs="Arial" w:eastAsia="Arial" w:hAnsi="Arial"/>
          <w:color w:val="1A1A1A"/>
          <w:sz w:val="22"/>
          <w:szCs w:val="22"/>
        </w:rPr>
        <w:t xml:space="preserve">Expedia adopted a "cloud-first" strategy, migrating 80% of their entire technology portfolio to AWS EC2. Key strategies included:</w:t>
      </w:r>
    </w:p>
    <w:p>
      <w:pPr>
        <w:pStyle w:val="ListParagraph"/>
        <w:numPr>
          <w:ilvl w:val="0"/>
          <w:numId w:val="2"/>
        </w:numPr>
        <w:spacing w:after="40" w:before="40"/>
      </w:pPr>
      <w:r>
        <w:rPr>
          <w:rFonts w:ascii="Arial" w:cs="Arial" w:eastAsia="Arial" w:hAnsi="Arial"/>
          <w:color w:val="1A1A1A"/>
          <w:sz w:val="22"/>
          <w:szCs w:val="22"/>
        </w:rPr>
        <w:t xml:space="preserve">EC2 Graviton3 instances for Java-based backend services — 20% better price-performance over x86</w:t>
      </w:r>
    </w:p>
    <w:p>
      <w:pPr>
        <w:pStyle w:val="ListParagraph"/>
        <w:numPr>
          <w:ilvl w:val="0"/>
          <w:numId w:val="2"/>
        </w:numPr>
        <w:spacing w:after="40" w:before="40"/>
      </w:pPr>
      <w:r>
        <w:rPr>
          <w:rFonts w:ascii="Arial" w:cs="Arial" w:eastAsia="Arial" w:hAnsi="Arial"/>
          <w:color w:val="1A1A1A"/>
          <w:sz w:val="22"/>
          <w:szCs w:val="22"/>
        </w:rPr>
        <w:t xml:space="preserve">Reserved Instances for stable baseline workloads — 60%+ savings over On-Demand for known capacity</w:t>
      </w:r>
    </w:p>
    <w:p>
      <w:pPr>
        <w:pStyle w:val="ListParagraph"/>
        <w:numPr>
          <w:ilvl w:val="0"/>
          <w:numId w:val="2"/>
        </w:numPr>
        <w:spacing w:after="40" w:before="40"/>
      </w:pPr>
      <w:r>
        <w:rPr>
          <w:rFonts w:ascii="Arial" w:cs="Arial" w:eastAsia="Arial" w:hAnsi="Arial"/>
          <w:color w:val="1A1A1A"/>
          <w:sz w:val="22"/>
          <w:szCs w:val="22"/>
        </w:rPr>
        <w:t xml:space="preserve">Spot Instances for flexible ML training, data processing, and analytics — 70–90% cost reduction</w:t>
      </w:r>
    </w:p>
    <w:p>
      <w:pPr>
        <w:pStyle w:val="ListParagraph"/>
        <w:numPr>
          <w:ilvl w:val="0"/>
          <w:numId w:val="2"/>
        </w:numPr>
        <w:spacing w:after="40" w:before="40"/>
      </w:pPr>
      <w:r>
        <w:rPr>
          <w:rFonts w:ascii="Arial" w:cs="Arial" w:eastAsia="Arial" w:hAnsi="Arial"/>
          <w:color w:val="1A1A1A"/>
          <w:sz w:val="22"/>
          <w:szCs w:val="22"/>
        </w:rPr>
        <w:t xml:space="preserve">EC2 C6g instances for compute-intensive search ranking and personalization</w:t>
      </w:r>
    </w:p>
    <w:p>
      <w:pPr>
        <w:pStyle w:val="ListParagraph"/>
        <w:numPr>
          <w:ilvl w:val="0"/>
          <w:numId w:val="2"/>
        </w:numPr>
        <w:spacing w:after="40" w:before="40"/>
      </w:pPr>
      <w:r>
        <w:rPr>
          <w:rFonts w:ascii="Arial" w:cs="Arial" w:eastAsia="Arial" w:hAnsi="Arial"/>
          <w:color w:val="1A1A1A"/>
          <w:sz w:val="22"/>
          <w:szCs w:val="22"/>
        </w:rPr>
        <w:t xml:space="preserve">Amazon EKS on EC2 — Kubernetes-based container orchestration across all 25+ brands</w:t>
      </w:r>
    </w:p>
    <w:p>
      <w:pPr>
        <w:pStyle w:val="ListParagraph"/>
        <w:numPr>
          <w:ilvl w:val="0"/>
          <w:numId w:val="2"/>
        </w:numPr>
        <w:spacing w:after="40" w:before="40"/>
      </w:pPr>
      <w:r>
        <w:rPr>
          <w:rFonts w:ascii="Arial" w:cs="Arial" w:eastAsia="Arial" w:hAnsi="Arial"/>
          <w:color w:val="1A1A1A"/>
          <w:sz w:val="22"/>
          <w:szCs w:val="22"/>
        </w:rPr>
        <w:t xml:space="preserve">Cross-brand shared platform — all brands share a single cloud infrastructure with brand-level isolation</w:t>
      </w:r>
    </w:p>
    <w:p>
      <w:pPr>
        <w:pStyle w:val="Heading3"/>
        <w:spacing w:after="80" w:before="200"/>
      </w:pPr>
      <w:r>
        <w:rPr>
          <w:rFonts w:ascii="Arial" w:cs="Arial" w:eastAsia="Arial" w:hAnsi="Arial"/>
          <w:b/>
          <w:bCs/>
          <w:color w:val="C55A11"/>
          <w:sz w:val="24"/>
          <w:szCs w:val="24"/>
        </w:rPr>
        <w:t xml:space="preserve">Outcomes</w:t>
      </w:r>
    </w:p>
    <w:p>
      <w:pPr>
        <w:pStyle w:val="ListParagraph"/>
        <w:numPr>
          <w:ilvl w:val="0"/>
          <w:numId w:val="2"/>
        </w:numPr>
        <w:spacing w:after="40" w:before="40"/>
      </w:pPr>
      <w:r>
        <w:rPr>
          <w:rFonts w:ascii="Arial" w:cs="Arial" w:eastAsia="Arial" w:hAnsi="Arial"/>
          <w:color w:val="1A1A1A"/>
          <w:sz w:val="22"/>
          <w:szCs w:val="22"/>
        </w:rPr>
        <w:t xml:space="preserve">25% overall infrastructure cost reduction across Expedia Group without reducing capacity or reliability</w:t>
      </w:r>
    </w:p>
    <w:p>
      <w:pPr>
        <w:pStyle w:val="ListParagraph"/>
        <w:numPr>
          <w:ilvl w:val="0"/>
          <w:numId w:val="2"/>
        </w:numPr>
        <w:spacing w:after="40" w:before="40"/>
      </w:pPr>
      <w:r>
        <w:rPr>
          <w:rFonts w:ascii="Arial" w:cs="Arial" w:eastAsia="Arial" w:hAnsi="Arial"/>
          <w:color w:val="1A1A1A"/>
          <w:sz w:val="22"/>
          <w:szCs w:val="22"/>
        </w:rPr>
        <w:t xml:space="preserve">4× faster feature delivery — from quarterly releases to weekly deployments across all brands</w:t>
      </w:r>
    </w:p>
    <w:p>
      <w:pPr>
        <w:pStyle w:val="ListParagraph"/>
        <w:numPr>
          <w:ilvl w:val="0"/>
          <w:numId w:val="2"/>
        </w:numPr>
        <w:spacing w:after="40" w:before="40"/>
      </w:pPr>
      <w:r>
        <w:rPr>
          <w:rFonts w:ascii="Arial" w:cs="Arial" w:eastAsia="Arial" w:hAnsi="Arial"/>
          <w:color w:val="1A1A1A"/>
          <w:sz w:val="22"/>
          <w:szCs w:val="22"/>
        </w:rPr>
        <w:t xml:space="preserve">EC2 Graviton3 instances delivered 20% better price-performance for Java microservices vs. x86 equivalents</w:t>
      </w:r>
    </w:p>
    <w:p>
      <w:pPr>
        <w:pStyle w:val="ListParagraph"/>
        <w:numPr>
          <w:ilvl w:val="0"/>
          <w:numId w:val="2"/>
        </w:numPr>
        <w:spacing w:after="40" w:before="40"/>
      </w:pPr>
      <w:r>
        <w:rPr>
          <w:rFonts w:ascii="Arial" w:cs="Arial" w:eastAsia="Arial" w:hAnsi="Arial"/>
          <w:color w:val="1A1A1A"/>
          <w:sz w:val="22"/>
          <w:szCs w:val="22"/>
        </w:rPr>
        <w:t xml:space="preserve">100M+ daily search queries handled elastically — no manual capacity planning required</w:t>
      </w:r>
    </w:p>
    <w:p>
      <w:pPr>
        <w:pStyle w:val="ListParagraph"/>
        <w:numPr>
          <w:ilvl w:val="0"/>
          <w:numId w:val="2"/>
        </w:numPr>
        <w:spacing w:after="40" w:before="40"/>
      </w:pPr>
      <w:r>
        <w:rPr>
          <w:rFonts w:ascii="Arial" w:cs="Arial" w:eastAsia="Arial" w:hAnsi="Arial"/>
          <w:color w:val="1A1A1A"/>
          <w:sz w:val="22"/>
          <w:szCs w:val="22"/>
        </w:rPr>
        <w:t xml:space="preserve">All 25+ brands now share a single cloud platform with independent team deployments and brand-level isolation</w:t>
      </w:r>
    </w:p>
    <w:p>
      <w:pPr>
        <w:spacing w:after="80" w:before="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2E75B6" w:sz="8"/>
              <w:left w:val="single" w:color="2E75B6" w:sz="24"/>
              <w:bottom w:val="single" w:color="CCCCCC" w:sz="1"/>
              <w:right w:val="single" w:color="CCCCCC" w:sz="1"/>
            </w:tcBorders>
            <w:shd w:fill="FCE4D6" w:val="clear"/>
            <w:tcMar>
              <w:top w:type="dxa" w:w="120"/>
              <w:left w:type="dxa" w:w="200"/>
              <w:bottom w:type="dxa" w:w="120"/>
              <w:right w:type="dxa" w:w="160"/>
            </w:tcMar>
          </w:tcPr>
          <w:p>
            <w:pPr>
              <w:spacing w:after="60" w:before="0"/>
            </w:pPr>
            <w:r>
              <w:rPr>
                <w:rFonts w:ascii="Arial" w:cs="Arial" w:eastAsia="Arial" w:hAnsi="Arial"/>
                <w:b/>
                <w:bCs/>
                <w:color w:val="C55A11"/>
                <w:sz w:val="20"/>
                <w:szCs w:val="20"/>
              </w:rPr>
              <w:t xml:space="preserve">Key Lesson</w:t>
            </w:r>
          </w:p>
          <w:p>
            <w:pPr>
              <w:spacing w:after="0" w:before="0"/>
            </w:pPr>
            <w:r>
              <w:rPr>
                <w:rFonts w:ascii="Arial" w:cs="Arial" w:eastAsia="Arial" w:hAnsi="Arial"/>
                <w:color w:val="1A1A1A"/>
                <w:sz w:val="22"/>
                <w:szCs w:val="22"/>
              </w:rPr>
              <w:t xml:space="preserve">Expedia shows that EC2 migration generates compounding returns: the cost savings from Reserved Instances and Graviton instances fund further investment in developer tooling, which accelerates feature delivery, which drives revenue growth. The 25% cost reduction paid for itself through increased engineering velocity.</w:t>
            </w:r>
          </w:p>
        </w:tc>
      </w:tr>
    </w:tbl>
    <w:p>
      <w:pPr>
        <w:spacing w:after="160" w:before="0"/>
      </w:pPr>
      <w:r>
        <w:t xml:space="preserve"/>
      </w:r>
    </w:p>
    <w:p>
      <w:r>
        <w:br w:type="pag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2E75B6" w:val="clear"/>
            <w:tcMar>
              <w:top w:type="dxa" w:w="120"/>
              <w:left w:type="dxa" w:w="200"/>
              <w:bottom w:type="dxa" w:w="120"/>
              <w:right w:type="dxa" w:w="200"/>
            </w:tcMar>
          </w:tcPr>
          <w:p>
            <w:pPr>
              <w:jc w:val="left"/>
            </w:pPr>
            <w:r>
              <w:rPr>
                <w:rFonts w:ascii="Arial" w:cs="Arial" w:eastAsia="Arial" w:hAnsi="Arial"/>
                <w:b/>
                <w:bCs/>
                <w:color w:val="FFFFFF"/>
                <w:sz w:val="26"/>
                <w:szCs w:val="26"/>
              </w:rPr>
              <w:t xml:space="preserve">Section 4: Pricing Models Deep Dive</w:t>
            </w:r>
          </w:p>
        </w:tc>
      </w:tr>
    </w:tbl>
    <w:p>
      <w:pPr>
        <w:spacing w:after="80" w:before="0"/>
      </w:pPr>
      <w:r>
        <w:t xml:space="preserve"/>
      </w:r>
    </w:p>
    <w:p>
      <w:pPr>
        <w:pStyle w:val="Heading2"/>
        <w:pBdr>
          <w:bottom w:val="single" w:color="2E75B6" w:sz="4" w:space="4"/>
        </w:pBdr>
        <w:spacing w:after="120" w:before="280"/>
      </w:pPr>
      <w:r>
        <w:rPr>
          <w:rFonts w:ascii="Arial" w:cs="Arial" w:eastAsia="Arial" w:hAnsi="Arial"/>
          <w:b/>
          <w:bCs/>
          <w:color w:val="2E75B6"/>
          <w:sz w:val="28"/>
          <w:szCs w:val="28"/>
        </w:rPr>
        <w:t xml:space="preserve">EC2 Pricing Model Comparison</w:t>
      </w:r>
    </w:p>
    <w:p>
      <w:pPr>
        <w:spacing w:after="80" w:before="60"/>
      </w:pPr>
      <w:r>
        <w:rPr>
          <w:rFonts w:ascii="Arial" w:cs="Arial" w:eastAsia="Arial" w:hAnsi="Arial"/>
          <w:color w:val="1A1A1A"/>
          <w:sz w:val="22"/>
          <w:szCs w:val="22"/>
        </w:rPr>
        <w:t xml:space="preserve">EC2 offers five distinct pricing models, each optimized for different workload characteristics. Most mature AWS customers use a combination of all five — a "layered commitment" strategy that maximizes savings while retaining flexibility.</w:t>
      </w:r>
    </w:p>
    <w:p>
      <w:pPr>
        <w:spacing w:after="80" w:before="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700"/>
        <w:gridCol w:w="1400"/>
        <w:gridCol w:w="1360"/>
        <w:gridCol w:w="1900"/>
        <w:gridCol w:w="2000"/>
        <w:gridCol w:w="1000"/>
      </w:tblGrid>
      <w:tr>
        <w:tc>
          <w:tcPr>
            <w:tcW w:type="dxa" w:w="170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r>
              <w:rPr>
                <w:rFonts w:ascii="Arial" w:cs="Arial" w:eastAsia="Arial" w:hAnsi="Arial"/>
                <w:b/>
                <w:bCs/>
                <w:color w:val="FFFFFF"/>
                <w:sz w:val="20"/>
                <w:szCs w:val="20"/>
              </w:rPr>
              <w:t xml:space="preserve">Pricing Model</w:t>
            </w:r>
          </w:p>
        </w:tc>
        <w:tc>
          <w:tcPr>
            <w:tcW w:type="dxa" w:w="140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r>
              <w:rPr>
                <w:rFonts w:ascii="Arial" w:cs="Arial" w:eastAsia="Arial" w:hAnsi="Arial"/>
                <w:b/>
                <w:bCs/>
                <w:color w:val="FFFFFF"/>
                <w:sz w:val="20"/>
                <w:szCs w:val="20"/>
              </w:rPr>
              <w:t xml:space="preserve">Commitment</w:t>
            </w:r>
          </w:p>
        </w:tc>
        <w:tc>
          <w:tcPr>
            <w:tcW w:type="dxa" w:w="136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r>
              <w:rPr>
                <w:rFonts w:ascii="Arial" w:cs="Arial" w:eastAsia="Arial" w:hAnsi="Arial"/>
                <w:b/>
                <w:bCs/>
                <w:color w:val="FFFFFF"/>
                <w:sz w:val="20"/>
                <w:szCs w:val="20"/>
              </w:rPr>
              <w:t xml:space="preserve">Savings vs On-Demand</w:t>
            </w:r>
          </w:p>
        </w:tc>
        <w:tc>
          <w:tcPr>
            <w:tcW w:type="dxa" w:w="190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r>
              <w:rPr>
                <w:rFonts w:ascii="Arial" w:cs="Arial" w:eastAsia="Arial" w:hAnsi="Arial"/>
                <w:b/>
                <w:bCs/>
                <w:color w:val="FFFFFF"/>
                <w:sz w:val="20"/>
                <w:szCs w:val="20"/>
              </w:rPr>
              <w:t xml:space="preserve">Flexibility</w:t>
            </w:r>
          </w:p>
        </w:tc>
        <w:tc>
          <w:tcPr>
            <w:tcW w:type="dxa" w:w="200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r>
              <w:rPr>
                <w:rFonts w:ascii="Arial" w:cs="Arial" w:eastAsia="Arial" w:hAnsi="Arial"/>
                <w:b/>
                <w:bCs/>
                <w:color w:val="FFFFFF"/>
                <w:sz w:val="20"/>
                <w:szCs w:val="20"/>
              </w:rPr>
              <w:t xml:space="preserve">Best For</w:t>
            </w:r>
          </w:p>
        </w:tc>
      </w:tr>
      <w:tr>
        <w:tc>
          <w:tcPr>
            <w:tcW w:type="dxa" w:w="17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1A"/>
                <w:sz w:val="20"/>
                <w:szCs w:val="20"/>
              </w:rPr>
              <w:t xml:space="preserve">On-Demand</w:t>
            </w:r>
          </w:p>
        </w:tc>
        <w:tc>
          <w:tcPr>
            <w:tcW w:type="dxa" w:w="1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1A"/>
                <w:sz w:val="20"/>
                <w:szCs w:val="20"/>
              </w:rPr>
              <w:t xml:space="preserve">None</w:t>
            </w:r>
          </w:p>
        </w:tc>
        <w:tc>
          <w:tcPr>
            <w:tcW w:type="dxa" w:w="1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1A"/>
                <w:sz w:val="20"/>
                <w:szCs w:val="20"/>
              </w:rPr>
              <w:t xml:space="preserve">Baseline (0%)</w:t>
            </w:r>
          </w:p>
        </w:tc>
        <w:tc>
          <w:tcPr>
            <w:tcW w:type="dxa" w:w="19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1A"/>
                <w:sz w:val="20"/>
                <w:szCs w:val="20"/>
              </w:rPr>
              <w:t xml:space="preserve">Maximum — start/stop any time</w:t>
            </w:r>
          </w:p>
        </w:tc>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1A"/>
                <w:sz w:val="20"/>
                <w:szCs w:val="20"/>
              </w:rPr>
              <w:t xml:space="preserve">Dev/test, unpredictable spikes, short-term workloads</w:t>
            </w:r>
          </w:p>
        </w:tc>
      </w:tr>
      <w:tr>
        <w:tc>
          <w:tcPr>
            <w:tcW w:type="dxa" w:w="17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color w:val="1A1A1A"/>
                <w:sz w:val="20"/>
                <w:szCs w:val="20"/>
              </w:rPr>
              <w:t xml:space="preserve">Reserved Instances (1-yr)</w:t>
            </w:r>
          </w:p>
        </w:tc>
        <w:tc>
          <w:tcPr>
            <w:tcW w:type="dxa" w:w="14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color w:val="1A1A1A"/>
                <w:sz w:val="20"/>
                <w:szCs w:val="20"/>
              </w:rPr>
              <w:t xml:space="preserve">1-year term</w:t>
            </w:r>
          </w:p>
        </w:tc>
        <w:tc>
          <w:tcPr>
            <w:tcW w:type="dxa" w:w="13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color w:val="1A1A1A"/>
                <w:sz w:val="20"/>
                <w:szCs w:val="20"/>
              </w:rPr>
              <w:t xml:space="preserve">Up to 38%</w:t>
            </w:r>
          </w:p>
        </w:tc>
        <w:tc>
          <w:tcPr>
            <w:tcW w:type="dxa" w:w="19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color w:val="1A1A1A"/>
                <w:sz w:val="20"/>
                <w:szCs w:val="20"/>
              </w:rPr>
              <w:t xml:space="preserve">High — specific instance family/region</w:t>
            </w:r>
          </w:p>
        </w:tc>
        <w:tc>
          <w:tcPr>
            <w:tcW w:type="dxa" w:w="20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color w:val="1A1A1A"/>
                <w:sz w:val="20"/>
                <w:szCs w:val="20"/>
              </w:rPr>
              <w:t xml:space="preserve">Steady-state production, databases, 12-month planning</w:t>
            </w:r>
          </w:p>
        </w:tc>
      </w:tr>
      <w:tr>
        <w:tc>
          <w:tcPr>
            <w:tcW w:type="dxa" w:w="17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1A"/>
                <w:sz w:val="20"/>
                <w:szCs w:val="20"/>
              </w:rPr>
              <w:t xml:space="preserve">Reserved Instances (3-yr)</w:t>
            </w:r>
          </w:p>
        </w:tc>
        <w:tc>
          <w:tcPr>
            <w:tcW w:type="dxa" w:w="1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1A"/>
                <w:sz w:val="20"/>
                <w:szCs w:val="20"/>
              </w:rPr>
              <w:t xml:space="preserve">3-year term</w:t>
            </w:r>
          </w:p>
        </w:tc>
        <w:tc>
          <w:tcPr>
            <w:tcW w:type="dxa" w:w="1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1A"/>
                <w:sz w:val="20"/>
                <w:szCs w:val="20"/>
              </w:rPr>
              <w:t xml:space="preserve">Up to 62%</w:t>
            </w:r>
          </w:p>
        </w:tc>
        <w:tc>
          <w:tcPr>
            <w:tcW w:type="dxa" w:w="19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1A"/>
                <w:sz w:val="20"/>
                <w:szCs w:val="20"/>
              </w:rPr>
              <w:t xml:space="preserve">Medium — locked to instance type/region</w:t>
            </w:r>
          </w:p>
        </w:tc>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1A"/>
                <w:sz w:val="20"/>
                <w:szCs w:val="20"/>
              </w:rPr>
              <w:t xml:space="preserve">Long-term stable workloads with predictable compute needs</w:t>
            </w:r>
          </w:p>
        </w:tc>
      </w:tr>
      <w:tr>
        <w:tc>
          <w:tcPr>
            <w:tcW w:type="dxa" w:w="17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color w:val="1A1A1A"/>
                <w:sz w:val="20"/>
                <w:szCs w:val="20"/>
              </w:rPr>
              <w:t xml:space="preserve">Savings Plans (1-yr)</w:t>
            </w:r>
          </w:p>
        </w:tc>
        <w:tc>
          <w:tcPr>
            <w:tcW w:type="dxa" w:w="14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color w:val="1A1A1A"/>
                <w:sz w:val="20"/>
                <w:szCs w:val="20"/>
              </w:rPr>
              <w:t xml:space="preserve">1-year, $/hr spend commit</w:t>
            </w:r>
          </w:p>
        </w:tc>
        <w:tc>
          <w:tcPr>
            <w:tcW w:type="dxa" w:w="13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color w:val="1A1A1A"/>
                <w:sz w:val="20"/>
                <w:szCs w:val="20"/>
              </w:rPr>
              <w:t xml:space="preserve">Up to 40%</w:t>
            </w:r>
          </w:p>
        </w:tc>
        <w:tc>
          <w:tcPr>
            <w:tcW w:type="dxa" w:w="19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color w:val="1A1A1A"/>
                <w:sz w:val="20"/>
                <w:szCs w:val="20"/>
              </w:rPr>
              <w:t xml:space="preserve">High — applies across instance families, regions</w:t>
            </w:r>
          </w:p>
        </w:tc>
        <w:tc>
          <w:tcPr>
            <w:tcW w:type="dxa" w:w="20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color w:val="1A1A1A"/>
                <w:sz w:val="20"/>
                <w:szCs w:val="20"/>
              </w:rPr>
              <w:t xml:space="preserve">Organizations with consistent spend but varied instance types</w:t>
            </w:r>
          </w:p>
        </w:tc>
      </w:tr>
      <w:tr>
        <w:tc>
          <w:tcPr>
            <w:tcW w:type="dxa" w:w="17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1A"/>
                <w:sz w:val="20"/>
                <w:szCs w:val="20"/>
              </w:rPr>
              <w:t xml:space="preserve">Spot Instances</w:t>
            </w:r>
          </w:p>
        </w:tc>
        <w:tc>
          <w:tcPr>
            <w:tcW w:type="dxa" w:w="1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1A"/>
                <w:sz w:val="20"/>
                <w:szCs w:val="20"/>
              </w:rPr>
              <w:t xml:space="preserve">None (interruptible)</w:t>
            </w:r>
          </w:p>
        </w:tc>
        <w:tc>
          <w:tcPr>
            <w:tcW w:type="dxa" w:w="1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1A"/>
                <w:sz w:val="20"/>
                <w:szCs w:val="20"/>
              </w:rPr>
              <w:t xml:space="preserve">Up to 90%</w:t>
            </w:r>
          </w:p>
        </w:tc>
        <w:tc>
          <w:tcPr>
            <w:tcW w:type="dxa" w:w="19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1A"/>
                <w:sz w:val="20"/>
                <w:szCs w:val="20"/>
              </w:rPr>
              <w:t xml:space="preserve">Low — can be reclaimed with 2-min warning</w:t>
            </w:r>
          </w:p>
        </w:tc>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1A"/>
                <w:sz w:val="20"/>
                <w:szCs w:val="20"/>
              </w:rPr>
              <w:t xml:space="preserve">Batch jobs, ML training, CI/CD workers, stateless web tier</w:t>
            </w:r>
          </w:p>
        </w:tc>
      </w:tr>
      <w:tr>
        <w:tc>
          <w:tcPr>
            <w:tcW w:type="dxa" w:w="17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color w:val="1A1A1A"/>
                <w:sz w:val="20"/>
                <w:szCs w:val="20"/>
              </w:rPr>
              <w:t xml:space="preserve">Dedicated Hosts</w:t>
            </w:r>
          </w:p>
        </w:tc>
        <w:tc>
          <w:tcPr>
            <w:tcW w:type="dxa" w:w="14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color w:val="1A1A1A"/>
                <w:sz w:val="20"/>
                <w:szCs w:val="20"/>
              </w:rPr>
              <w:t xml:space="preserve">On-Demand or 1–3 yr</w:t>
            </w:r>
          </w:p>
        </w:tc>
        <w:tc>
          <w:tcPr>
            <w:tcW w:type="dxa" w:w="13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color w:val="1A1A1A"/>
                <w:sz w:val="20"/>
                <w:szCs w:val="20"/>
              </w:rPr>
              <w:t xml:space="preserve">Varies (premium for isolation)</w:t>
            </w:r>
          </w:p>
        </w:tc>
        <w:tc>
          <w:tcPr>
            <w:tcW w:type="dxa" w:w="19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color w:val="1A1A1A"/>
                <w:sz w:val="20"/>
                <w:szCs w:val="20"/>
              </w:rPr>
              <w:t xml:space="preserve">Low — physical host dedicated to single customer</w:t>
            </w:r>
          </w:p>
        </w:tc>
        <w:tc>
          <w:tcPr>
            <w:tcW w:type="dxa" w:w="20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color w:val="1A1A1A"/>
                <w:sz w:val="20"/>
                <w:szCs w:val="20"/>
              </w:rPr>
              <w:t xml:space="preserve">BYOL licensing, regulatory isolation, compliance requirements</w:t>
            </w:r>
          </w:p>
        </w:tc>
      </w:tr>
    </w:tbl>
    <w:p>
      <w:pPr>
        <w:spacing w:after="80" w:before="0"/>
      </w:pPr>
      <w:r>
        <w:t xml:space="preserve"/>
      </w:r>
    </w:p>
    <w:p>
      <w:pPr>
        <w:pStyle w:val="Heading2"/>
        <w:pBdr>
          <w:bottom w:val="single" w:color="2E75B6" w:sz="4" w:space="4"/>
        </w:pBdr>
        <w:spacing w:after="120" w:before="280"/>
      </w:pPr>
      <w:r>
        <w:rPr>
          <w:rFonts w:ascii="Arial" w:cs="Arial" w:eastAsia="Arial" w:hAnsi="Arial"/>
          <w:b/>
          <w:bCs/>
          <w:color w:val="2E75B6"/>
          <w:sz w:val="28"/>
          <w:szCs w:val="28"/>
        </w:rPr>
        <w:t xml:space="preserve">Layered Commitment Strategy</w:t>
      </w:r>
    </w:p>
    <w:p>
      <w:pPr>
        <w:spacing w:after="80" w:before="60"/>
      </w:pPr>
      <w:r>
        <w:rPr>
          <w:rFonts w:ascii="Arial" w:cs="Arial" w:eastAsia="Arial" w:hAnsi="Arial"/>
          <w:color w:val="1A1A1A"/>
          <w:sz w:val="22"/>
          <w:szCs w:val="22"/>
        </w:rPr>
        <w:t xml:space="preserve">Leading AWS customers use a systematic approach to cost optimization by layering pricing models:</w:t>
      </w:r>
    </w:p>
    <w:p>
      <w:pPr>
        <w:spacing w:after="80" w:before="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2E75B6" w:sz="8"/>
              <w:left w:val="single" w:color="2E75B6" w:sz="24"/>
              <w:bottom w:val="single" w:color="CCCCCC" w:sz="1"/>
              <w:right w:val="single" w:color="CCCCCC" w:sz="1"/>
            </w:tcBorders>
            <w:shd w:fill="D6E4F0" w:val="clear"/>
            <w:tcMar>
              <w:top w:type="dxa" w:w="120"/>
              <w:left w:type="dxa" w:w="200"/>
              <w:bottom w:type="dxa" w:w="120"/>
              <w:right w:type="dxa" w:w="160"/>
            </w:tcMar>
          </w:tcPr>
          <w:p>
            <w:pPr>
              <w:spacing w:after="60" w:before="0"/>
            </w:pPr>
            <w:r>
              <w:rPr>
                <w:rFonts w:ascii="Arial" w:cs="Arial" w:eastAsia="Arial" w:hAnsi="Arial"/>
                <w:b/>
                <w:bCs/>
                <w:color w:val="1F4E79"/>
                <w:sz w:val="20"/>
                <w:szCs w:val="20"/>
              </w:rPr>
              <w:t xml:space="preserve">Step 1 — Establish baseline with Reserved Instances or Savings Plans</w:t>
            </w:r>
          </w:p>
          <w:p>
            <w:pPr>
              <w:spacing w:after="0" w:before="0"/>
            </w:pPr>
            <w:r>
              <w:rPr>
                <w:rFonts w:ascii="Arial" w:cs="Arial" w:eastAsia="Arial" w:hAnsi="Arial"/>
                <w:color w:val="1A1A1A"/>
                <w:sz w:val="22"/>
                <w:szCs w:val="22"/>
              </w:rPr>
              <w:t xml:space="preserve">Analyse your last 3–6 months of compute usage. Identify the minimum consistent usage (the "baseline") — the compute that runs 24/7 regardless of demand. Commit this baseline via Reserved Instances or Savings Plans for 1–3 years. Typical savings: 40–62% on baseline costs.</w:t>
            </w:r>
          </w:p>
        </w:tc>
      </w:tr>
    </w:tbl>
    <w:p>
      <w:pPr>
        <w:spacing w:after="80" w:before="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2E75B6" w:sz="8"/>
              <w:left w:val="single" w:color="2E75B6" w:sz="24"/>
              <w:bottom w:val="single" w:color="CCCCCC" w:sz="1"/>
              <w:right w:val="single" w:color="CCCCCC" w:sz="1"/>
            </w:tcBorders>
            <w:shd w:fill="FCE4D6" w:val="clear"/>
            <w:tcMar>
              <w:top w:type="dxa" w:w="120"/>
              <w:left w:type="dxa" w:w="200"/>
              <w:bottom w:type="dxa" w:w="120"/>
              <w:right w:type="dxa" w:w="160"/>
            </w:tcMar>
          </w:tcPr>
          <w:p>
            <w:pPr>
              <w:spacing w:after="60" w:before="0"/>
            </w:pPr>
            <w:r>
              <w:rPr>
                <w:rFonts w:ascii="Arial" w:cs="Arial" w:eastAsia="Arial" w:hAnsi="Arial"/>
                <w:b/>
                <w:bCs/>
                <w:color w:val="C55A11"/>
                <w:sz w:val="20"/>
                <w:szCs w:val="20"/>
              </w:rPr>
              <w:t xml:space="preserve">Step 2 — Handle variable demand with On-Demand</w:t>
            </w:r>
          </w:p>
          <w:p>
            <w:pPr>
              <w:spacing w:after="0" w:before="0"/>
            </w:pPr>
            <w:r>
              <w:rPr>
                <w:rFonts w:ascii="Arial" w:cs="Arial" w:eastAsia="Arial" w:hAnsi="Arial"/>
                <w:color w:val="1A1A1A"/>
                <w:sz w:val="22"/>
                <w:szCs w:val="22"/>
              </w:rPr>
              <w:t xml:space="preserve">Workloads that vary above your baseline are handled with On-Demand instances. These provide maximum flexibility — you pay the full rate but only when needed. This tier typically represents 20–40% of total compute.</w:t>
            </w:r>
          </w:p>
        </w:tc>
      </w:tr>
    </w:tbl>
    <w:p>
      <w:pPr>
        <w:spacing w:after="80" w:before="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2E75B6" w:sz="8"/>
              <w:left w:val="single" w:color="2E75B6" w:sz="24"/>
              <w:bottom w:val="single" w:color="CCCCCC" w:sz="1"/>
              <w:right w:val="single" w:color="CCCCCC" w:sz="1"/>
            </w:tcBorders>
            <w:shd w:fill="E2EFDA" w:val="clear"/>
            <w:tcMar>
              <w:top w:type="dxa" w:w="120"/>
              <w:left w:type="dxa" w:w="200"/>
              <w:bottom w:type="dxa" w:w="120"/>
              <w:right w:type="dxa" w:w="160"/>
            </w:tcMar>
          </w:tcPr>
          <w:p>
            <w:pPr>
              <w:spacing w:after="60" w:before="0"/>
            </w:pPr>
            <w:r>
              <w:rPr>
                <w:rFonts w:ascii="Arial" w:cs="Arial" w:eastAsia="Arial" w:hAnsi="Arial"/>
                <w:b/>
                <w:bCs/>
                <w:color w:val="1E4620"/>
                <w:sz w:val="20"/>
                <w:szCs w:val="20"/>
              </w:rPr>
              <w:t xml:space="preserve">Step 3 — Shift fault-tolerant workloads to Spot</w:t>
            </w:r>
          </w:p>
          <w:p>
            <w:pPr>
              <w:spacing w:after="0" w:before="0"/>
            </w:pPr>
            <w:r>
              <w:rPr>
                <w:rFonts w:ascii="Arial" w:cs="Arial" w:eastAsia="Arial" w:hAnsi="Arial"/>
                <w:color w:val="1A1A1A"/>
                <w:sz w:val="22"/>
                <w:szCs w:val="22"/>
              </w:rPr>
              <w:t xml:space="preserve">Any workload that can tolerate interruption — batch processing, ML training, data pipeline runs, CI/CD workers — should run on Spot Instances. At 70–90% savings, even small Spot adoption generates significant cost reduction. Airbnb saves 75% on their ML compute using this approach.</w:t>
            </w:r>
          </w:p>
        </w:tc>
      </w:tr>
    </w:tbl>
    <w:p>
      <w:pPr>
        <w:spacing w:after="80" w:before="0"/>
      </w:pPr>
      <w:r>
        <w:t xml:space="preserve"/>
      </w:r>
    </w:p>
    <w:p>
      <w:pPr>
        <w:pStyle w:val="Heading2"/>
        <w:pBdr>
          <w:bottom w:val="single" w:color="2E75B6" w:sz="4" w:space="4"/>
        </w:pBdr>
        <w:spacing w:after="120" w:before="280"/>
      </w:pPr>
      <w:r>
        <w:rPr>
          <w:rFonts w:ascii="Arial" w:cs="Arial" w:eastAsia="Arial" w:hAnsi="Arial"/>
          <w:b/>
          <w:bCs/>
          <w:color w:val="2E75B6"/>
          <w:sz w:val="28"/>
          <w:szCs w:val="28"/>
        </w:rPr>
        <w:t xml:space="preserve">Cost Comparison: On-Premises vs EC2 (m5.xlarge equivalent)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2180"/>
        <w:gridCol w:w="2180"/>
        <w:gridCol w:w="2200"/>
      </w:tblGrid>
      <w:tr>
        <w:tc>
          <w:tcPr>
            <w:tcW w:type="dxa" w:w="280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r>
              <w:rPr>
                <w:rFonts w:ascii="Arial" w:cs="Arial" w:eastAsia="Arial" w:hAnsi="Arial"/>
                <w:b/>
                <w:bCs/>
                <w:color w:val="FFFFFF"/>
                <w:sz w:val="20"/>
                <w:szCs w:val="20"/>
              </w:rPr>
              <w:t xml:space="preserve">Cost Category</w:t>
            </w:r>
          </w:p>
        </w:tc>
        <w:tc>
          <w:tcPr>
            <w:tcW w:type="dxa" w:w="218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r>
              <w:rPr>
                <w:rFonts w:ascii="Arial" w:cs="Arial" w:eastAsia="Arial" w:hAnsi="Arial"/>
                <w:b/>
                <w:bCs/>
                <w:color w:val="FFFFFF"/>
                <w:sz w:val="20"/>
                <w:szCs w:val="20"/>
              </w:rPr>
              <w:t xml:space="preserve">On-Premises (3-year)</w:t>
            </w:r>
          </w:p>
        </w:tc>
        <w:tc>
          <w:tcPr>
            <w:tcW w:type="dxa" w:w="218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r>
              <w:rPr>
                <w:rFonts w:ascii="Arial" w:cs="Arial" w:eastAsia="Arial" w:hAnsi="Arial"/>
                <w:b/>
                <w:bCs/>
                <w:color w:val="FFFFFF"/>
                <w:sz w:val="20"/>
                <w:szCs w:val="20"/>
              </w:rPr>
              <w:t xml:space="preserve">EC2 On-Demand (3-year)</w:t>
            </w:r>
          </w:p>
        </w:tc>
        <w:tc>
          <w:tcPr>
            <w:tcW w:type="dxa" w:w="220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r>
              <w:rPr>
                <w:rFonts w:ascii="Arial" w:cs="Arial" w:eastAsia="Arial" w:hAnsi="Arial"/>
                <w:b/>
                <w:bCs/>
                <w:color w:val="FFFFFF"/>
                <w:sz w:val="20"/>
                <w:szCs w:val="20"/>
              </w:rPr>
              <w:t xml:space="preserve">EC2 Reserved 3-yr</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1A"/>
                <w:sz w:val="20"/>
                <w:szCs w:val="20"/>
              </w:rPr>
              <w:t xml:space="preserve">Compute hardware</w:t>
            </w:r>
          </w:p>
        </w:tc>
        <w:tc>
          <w:tcPr>
            <w:tcW w:type="dxa" w:w="21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1A"/>
                <w:sz w:val="20"/>
                <w:szCs w:val="20"/>
              </w:rPr>
              <w:t xml:space="preserve">$12,000+</w:t>
            </w:r>
          </w:p>
        </w:tc>
        <w:tc>
          <w:tcPr>
            <w:tcW w:type="dxa" w:w="21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1A"/>
                <w:sz w:val="20"/>
                <w:szCs w:val="20"/>
              </w:rPr>
              <w:t xml:space="preserve">Included</w:t>
            </w:r>
          </w:p>
        </w:tc>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1A"/>
                <w:sz w:val="20"/>
                <w:szCs w:val="20"/>
              </w:rPr>
              <w:t xml:space="preserve">Included</w:t>
            </w:r>
          </w:p>
        </w:tc>
      </w:tr>
      <w:tr>
        <w:tc>
          <w:tcPr>
            <w:tcW w:type="dxa" w:w="28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color w:val="1A1A1A"/>
                <w:sz w:val="20"/>
                <w:szCs w:val="20"/>
              </w:rPr>
              <w:t xml:space="preserve">Rack space / colocation</w:t>
            </w:r>
          </w:p>
        </w:tc>
        <w:tc>
          <w:tcPr>
            <w:tcW w:type="dxa" w:w="218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color w:val="1A1A1A"/>
                <w:sz w:val="20"/>
                <w:szCs w:val="20"/>
              </w:rPr>
              <w:t xml:space="preserve">$3,000+</w:t>
            </w:r>
          </w:p>
        </w:tc>
        <w:tc>
          <w:tcPr>
            <w:tcW w:type="dxa" w:w="218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color w:val="1A1A1A"/>
                <w:sz w:val="20"/>
                <w:szCs w:val="20"/>
              </w:rPr>
              <w:t xml:space="preserve">Included</w:t>
            </w:r>
          </w:p>
        </w:tc>
        <w:tc>
          <w:tcPr>
            <w:tcW w:type="dxa" w:w="22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color w:val="1A1A1A"/>
                <w:sz w:val="20"/>
                <w:szCs w:val="20"/>
              </w:rPr>
              <w:t xml:space="preserve">Included</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1A"/>
                <w:sz w:val="20"/>
                <w:szCs w:val="20"/>
              </w:rPr>
              <w:t xml:space="preserve">Power and cooling</w:t>
            </w:r>
          </w:p>
        </w:tc>
        <w:tc>
          <w:tcPr>
            <w:tcW w:type="dxa" w:w="21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1A"/>
                <w:sz w:val="20"/>
                <w:szCs w:val="20"/>
              </w:rPr>
              <w:t xml:space="preserve">$2,400+</w:t>
            </w:r>
          </w:p>
        </w:tc>
        <w:tc>
          <w:tcPr>
            <w:tcW w:type="dxa" w:w="21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1A"/>
                <w:sz w:val="20"/>
                <w:szCs w:val="20"/>
              </w:rPr>
              <w:t xml:space="preserve">Included</w:t>
            </w:r>
          </w:p>
        </w:tc>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1A"/>
                <w:sz w:val="20"/>
                <w:szCs w:val="20"/>
              </w:rPr>
              <w:t xml:space="preserve">Included</w:t>
            </w:r>
          </w:p>
        </w:tc>
      </w:tr>
      <w:tr>
        <w:tc>
          <w:tcPr>
            <w:tcW w:type="dxa" w:w="28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color w:val="1A1A1A"/>
                <w:sz w:val="20"/>
                <w:szCs w:val="20"/>
              </w:rPr>
              <w:t xml:space="preserve">Network equipment</w:t>
            </w:r>
          </w:p>
        </w:tc>
        <w:tc>
          <w:tcPr>
            <w:tcW w:type="dxa" w:w="218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color w:val="1A1A1A"/>
                <w:sz w:val="20"/>
                <w:szCs w:val="20"/>
              </w:rPr>
              <w:t xml:space="preserve">$2,000+</w:t>
            </w:r>
          </w:p>
        </w:tc>
        <w:tc>
          <w:tcPr>
            <w:tcW w:type="dxa" w:w="218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color w:val="1A1A1A"/>
                <w:sz w:val="20"/>
                <w:szCs w:val="20"/>
              </w:rPr>
              <w:t xml:space="preserve">Included</w:t>
            </w:r>
          </w:p>
        </w:tc>
        <w:tc>
          <w:tcPr>
            <w:tcW w:type="dxa" w:w="22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color w:val="1A1A1A"/>
                <w:sz w:val="20"/>
                <w:szCs w:val="20"/>
              </w:rPr>
              <w:t xml:space="preserve">Included</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1A"/>
                <w:sz w:val="20"/>
                <w:szCs w:val="20"/>
              </w:rPr>
              <w:t xml:space="preserve">IT staff (infrastructure)</w:t>
            </w:r>
          </w:p>
        </w:tc>
        <w:tc>
          <w:tcPr>
            <w:tcW w:type="dxa" w:w="21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1A"/>
                <w:sz w:val="20"/>
                <w:szCs w:val="20"/>
              </w:rPr>
              <w:t xml:space="preserve">$30,000+ (pro-rated)</w:t>
            </w:r>
          </w:p>
        </w:tc>
        <w:tc>
          <w:tcPr>
            <w:tcW w:type="dxa" w:w="21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1A"/>
                <w:sz w:val="20"/>
                <w:szCs w:val="20"/>
              </w:rPr>
              <w:t xml:space="preserve">Included (managed)</w:t>
            </w:r>
          </w:p>
        </w:tc>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1A"/>
                <w:sz w:val="20"/>
                <w:szCs w:val="20"/>
              </w:rPr>
              <w:t xml:space="preserve">Included (managed)</w:t>
            </w:r>
          </w:p>
        </w:tc>
      </w:tr>
      <w:tr>
        <w:tc>
          <w:tcPr>
            <w:tcW w:type="dxa" w:w="28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color w:val="1A1A1A"/>
                <w:sz w:val="20"/>
                <w:szCs w:val="20"/>
              </w:rPr>
              <w:t xml:space="preserve">Hardware replacement / refresh</w:t>
            </w:r>
          </w:p>
        </w:tc>
        <w:tc>
          <w:tcPr>
            <w:tcW w:type="dxa" w:w="218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color w:val="1A1A1A"/>
                <w:sz w:val="20"/>
                <w:szCs w:val="20"/>
              </w:rPr>
              <w:t xml:space="preserve">$6,000+</w:t>
            </w:r>
          </w:p>
        </w:tc>
        <w:tc>
          <w:tcPr>
            <w:tcW w:type="dxa" w:w="218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color w:val="1A1A1A"/>
                <w:sz w:val="20"/>
                <w:szCs w:val="20"/>
              </w:rPr>
              <w:t xml:space="preserve">Included (automatic)</w:t>
            </w:r>
          </w:p>
        </w:tc>
        <w:tc>
          <w:tcPr>
            <w:tcW w:type="dxa" w:w="22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color w:val="1A1A1A"/>
                <w:sz w:val="20"/>
                <w:szCs w:val="20"/>
              </w:rPr>
              <w:t xml:space="preserve">Included (automatic)</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1A"/>
                <w:sz w:val="20"/>
                <w:szCs w:val="20"/>
              </w:rPr>
              <w:t xml:space="preserve">Total 3-year estimate</w:t>
            </w:r>
          </w:p>
        </w:tc>
        <w:tc>
          <w:tcPr>
            <w:tcW w:type="dxa" w:w="21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1A"/>
                <w:sz w:val="20"/>
                <w:szCs w:val="20"/>
              </w:rPr>
              <w:t xml:space="preserve">$55,000+</w:t>
            </w:r>
          </w:p>
        </w:tc>
        <w:tc>
          <w:tcPr>
            <w:tcW w:type="dxa" w:w="21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1A"/>
                <w:sz w:val="20"/>
                <w:szCs w:val="20"/>
              </w:rPr>
              <w:t xml:space="preserve">$15,000–20,000</w:t>
            </w:r>
          </w:p>
        </w:tc>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1A"/>
                <w:sz w:val="20"/>
                <w:szCs w:val="20"/>
              </w:rPr>
              <w:t xml:space="preserve">$5,500–7,500</w:t>
            </w:r>
          </w:p>
        </w:tc>
      </w:tr>
      <w:tr>
        <w:tc>
          <w:tcPr>
            <w:tcW w:type="dxa" w:w="28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color w:val="1A1A1A"/>
                <w:sz w:val="20"/>
                <w:szCs w:val="20"/>
              </w:rPr>
              <w:t xml:space="preserve">Savings vs on-premises</w:t>
            </w:r>
          </w:p>
        </w:tc>
        <w:tc>
          <w:tcPr>
            <w:tcW w:type="dxa" w:w="218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color w:val="1A1A1A"/>
                <w:sz w:val="20"/>
                <w:szCs w:val="20"/>
              </w:rPr>
              <w:t xml:space="preserve">—</w:t>
            </w:r>
          </w:p>
        </w:tc>
        <w:tc>
          <w:tcPr>
            <w:tcW w:type="dxa" w:w="218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color w:val="1A1A1A"/>
                <w:sz w:val="20"/>
                <w:szCs w:val="20"/>
              </w:rPr>
              <w:t xml:space="preserve">60–70% savings</w:t>
            </w:r>
          </w:p>
        </w:tc>
        <w:tc>
          <w:tcPr>
            <w:tcW w:type="dxa" w:w="22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color w:val="1A1A1A"/>
                <w:sz w:val="20"/>
                <w:szCs w:val="20"/>
              </w:rPr>
              <w:t xml:space="preserve">85–90% savings</w:t>
            </w:r>
          </w:p>
        </w:tc>
      </w:tr>
    </w:tbl>
    <w:p>
      <w:pPr>
        <w:spacing w:after="160" w:before="0"/>
      </w:pPr>
      <w:r>
        <w:t xml:space="preserve"/>
      </w:r>
    </w:p>
    <w:p>
      <w:r>
        <w:br w:type="pag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2E75B6" w:val="clear"/>
            <w:tcMar>
              <w:top w:type="dxa" w:w="120"/>
              <w:left w:type="dxa" w:w="200"/>
              <w:bottom w:type="dxa" w:w="120"/>
              <w:right w:type="dxa" w:w="200"/>
            </w:tcMar>
          </w:tcPr>
          <w:p>
            <w:pPr>
              <w:jc w:val="left"/>
            </w:pPr>
            <w:r>
              <w:rPr>
                <w:rFonts w:ascii="Arial" w:cs="Arial" w:eastAsia="Arial" w:hAnsi="Arial"/>
                <w:b/>
                <w:bCs/>
                <w:color w:val="FFFFFF"/>
                <w:sz w:val="26"/>
                <w:szCs w:val="26"/>
              </w:rPr>
              <w:t xml:space="preserve">Section 5: Key Takeaways &amp; Strategic Conclusions</w:t>
            </w:r>
          </w:p>
        </w:tc>
      </w:tr>
    </w:tbl>
    <w:p>
      <w:pPr>
        <w:spacing w:after="80" w:before="0"/>
      </w:pPr>
      <w:r>
        <w:t xml:space="preserve"/>
      </w:r>
    </w:p>
    <w:p>
      <w:pPr>
        <w:pStyle w:val="Heading2"/>
        <w:pBdr>
          <w:bottom w:val="single" w:color="2E75B6" w:sz="4" w:space="4"/>
        </w:pBdr>
        <w:spacing w:after="120" w:before="280"/>
      </w:pPr>
      <w:r>
        <w:rPr>
          <w:rFonts w:ascii="Arial" w:cs="Arial" w:eastAsia="Arial" w:hAnsi="Arial"/>
          <w:b/>
          <w:bCs/>
          <w:color w:val="2E75B6"/>
          <w:sz w:val="28"/>
          <w:szCs w:val="28"/>
        </w:rPr>
        <w:t xml:space="preserve">What the Case Studies Teach Us</w:t>
      </w:r>
    </w:p>
    <w:p>
      <w:pPr>
        <w:pStyle w:val="Heading3"/>
        <w:spacing w:after="80" w:before="200"/>
      </w:pPr>
      <w:r>
        <w:rPr>
          <w:rFonts w:ascii="Arial" w:cs="Arial" w:eastAsia="Arial" w:hAnsi="Arial"/>
          <w:b/>
          <w:bCs/>
          <w:color w:val="C55A11"/>
          <w:sz w:val="24"/>
          <w:szCs w:val="24"/>
        </w:rPr>
        <w:t xml:space="preserve">1. Elasticity is the primary value driver</w:t>
      </w:r>
    </w:p>
    <w:p>
      <w:pPr>
        <w:spacing w:after="80" w:before="60"/>
      </w:pPr>
      <w:r>
        <w:rPr>
          <w:rFonts w:ascii="Arial" w:cs="Arial" w:eastAsia="Arial" w:hAnsi="Arial"/>
          <w:color w:val="1A1A1A"/>
          <w:sz w:val="22"/>
          <w:szCs w:val="22"/>
        </w:rPr>
        <w:t xml:space="preserve">Across all four case studies, the ability to scale precisely to demand — and immediately release unused capacity — delivered more business value than the raw cost savings alone. Netflix scales from 500K to 15M streams instantly. NASA stood up 160 servers in hours for a one-time event. Airbnb handles New Year's Eve without over-provisioning for the rest of the year. Expedia processes 100M daily searches without idle hardware.</w:t>
      </w:r>
    </w:p>
    <w:p>
      <w:pPr>
        <w:pStyle w:val="Heading3"/>
        <w:spacing w:after="80" w:before="200"/>
      </w:pPr>
      <w:r>
        <w:rPr>
          <w:rFonts w:ascii="Arial" w:cs="Arial" w:eastAsia="Arial" w:hAnsi="Arial"/>
          <w:b/>
          <w:bCs/>
          <w:color w:val="C55A11"/>
          <w:sz w:val="24"/>
          <w:szCs w:val="24"/>
        </w:rPr>
        <w:t xml:space="preserve">2. EC2 enables a fundamentally different development model</w:t>
      </w:r>
    </w:p>
    <w:p>
      <w:pPr>
        <w:spacing w:after="80" w:before="60"/>
      </w:pPr>
      <w:r>
        <w:rPr>
          <w:rFonts w:ascii="Arial" w:cs="Arial" w:eastAsia="Arial" w:hAnsi="Arial"/>
          <w:color w:val="1A1A1A"/>
          <w:sz w:val="22"/>
          <w:szCs w:val="22"/>
        </w:rPr>
        <w:t xml:space="preserve">All four organizations achieved dramatic improvements in engineering velocity — from quarterly to weekly or daily deployments. EC2's API-driven infrastructure means developers can provision test environments in seconds, experiment freely, and tear down resources without cost when experiments end. This reduces the organizational overhead of infrastructure from a bottleneck to an enabler.</w:t>
      </w:r>
    </w:p>
    <w:p>
      <w:pPr>
        <w:pStyle w:val="Heading3"/>
        <w:spacing w:after="80" w:before="200"/>
      </w:pPr>
      <w:r>
        <w:rPr>
          <w:rFonts w:ascii="Arial" w:cs="Arial" w:eastAsia="Arial" w:hAnsi="Arial"/>
          <w:b/>
          <w:bCs/>
          <w:color w:val="C55A11"/>
          <w:sz w:val="24"/>
          <w:szCs w:val="24"/>
        </w:rPr>
        <w:t xml:space="preserve">3. The cost model transforms financial decision-making</w:t>
      </w:r>
    </w:p>
    <w:p>
      <w:pPr>
        <w:spacing w:after="80" w:before="60"/>
      </w:pPr>
      <w:r>
        <w:rPr>
          <w:rFonts w:ascii="Arial" w:cs="Arial" w:eastAsia="Arial" w:hAnsi="Arial"/>
          <w:color w:val="1A1A1A"/>
          <w:sz w:val="22"/>
          <w:szCs w:val="22"/>
        </w:rPr>
        <w:t xml:space="preserve">Moving from CapEx (buying servers) to OpEx (renting compute) fundamentally changes how organizations can invest in technology. Startup Airbnb accessed enterprise-grade infrastructure from day one with no upfront capital. NASA ran a mission-critical workload for a few thousand dollars instead of millions. These economics open capabilities to organizations that could previously never afford them.</w:t>
      </w:r>
    </w:p>
    <w:p>
      <w:pPr>
        <w:pStyle w:val="Heading3"/>
        <w:spacing w:after="80" w:before="200"/>
      </w:pPr>
      <w:r>
        <w:rPr>
          <w:rFonts w:ascii="Arial" w:cs="Arial" w:eastAsia="Arial" w:hAnsi="Arial"/>
          <w:b/>
          <w:bCs/>
          <w:color w:val="C55A11"/>
          <w:sz w:val="24"/>
          <w:szCs w:val="24"/>
        </w:rPr>
        <w:t xml:space="preserve">4. Multi-AZ and geographic distribution are not optional</w:t>
      </w:r>
    </w:p>
    <w:p>
      <w:pPr>
        <w:spacing w:after="80" w:before="60"/>
      </w:pPr>
      <w:r>
        <w:rPr>
          <w:rFonts w:ascii="Arial" w:cs="Arial" w:eastAsia="Arial" w:hAnsi="Arial"/>
          <w:color w:val="1A1A1A"/>
          <w:sz w:val="22"/>
          <w:szCs w:val="22"/>
        </w:rPr>
        <w:t xml:space="preserve">Every production workload in these case studies deploys across multiple Availability Zones. The Netflix outage that triggered their AWS migration was a cautionary tale of single-point-of-failure architecture. Modern EC2 deployments treat failure as an expected event to be designed around, not a rare exception to be prevented.</w:t>
      </w:r>
    </w:p>
    <w:p>
      <w:pPr>
        <w:pStyle w:val="Heading3"/>
        <w:spacing w:after="80" w:before="200"/>
      </w:pPr>
      <w:r>
        <w:rPr>
          <w:rFonts w:ascii="Arial" w:cs="Arial" w:eastAsia="Arial" w:hAnsi="Arial"/>
          <w:b/>
          <w:bCs/>
          <w:color w:val="C55A11"/>
          <w:sz w:val="24"/>
          <w:szCs w:val="24"/>
        </w:rPr>
        <w:t xml:space="preserve">5. Instance type selection is a performance and cost multiplier</w:t>
      </w:r>
    </w:p>
    <w:p>
      <w:pPr>
        <w:spacing w:after="80" w:before="60"/>
      </w:pPr>
      <w:r>
        <w:rPr>
          <w:rFonts w:ascii="Arial" w:cs="Arial" w:eastAsia="Arial" w:hAnsi="Arial"/>
          <w:color w:val="1A1A1A"/>
          <w:sz w:val="22"/>
          <w:szCs w:val="22"/>
        </w:rPr>
        <w:t xml:space="preserve">Expedia's 20% improvement from switching to Graviton3 for Java workloads, Netflix's cost reductions from using Spot Instances for transcoding, and Airbnb's 75% ML cost reduction from Spot training — all came from matching the right instance type to the workload. Generic compute choices leave significant performance and cost value unrealized.</w:t>
      </w:r>
    </w:p>
    <w:p>
      <w:pPr>
        <w:spacing w:after="80" w:before="0"/>
      </w:pPr>
      <w:r>
        <w:t xml:space="preserve"/>
      </w:r>
    </w:p>
    <w:p>
      <w:pPr>
        <w:pStyle w:val="Heading2"/>
        <w:pBdr>
          <w:bottom w:val="single" w:color="2E75B6" w:sz="4" w:space="4"/>
        </w:pBdr>
        <w:spacing w:after="120" w:before="280"/>
      </w:pPr>
      <w:r>
        <w:rPr>
          <w:rFonts w:ascii="Arial" w:cs="Arial" w:eastAsia="Arial" w:hAnsi="Arial"/>
          <w:b/>
          <w:bCs/>
          <w:color w:val="2E75B6"/>
          <w:sz w:val="28"/>
          <w:szCs w:val="28"/>
        </w:rPr>
        <w:t xml:space="preserve">EC2 vs Competitors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900"/>
        <w:gridCol w:w="2115"/>
        <w:gridCol w:w="2115"/>
        <w:gridCol w:w="2115"/>
        <w:gridCol w:w="1115"/>
      </w:tblGrid>
      <w:tr>
        <w:tc>
          <w:tcPr>
            <w:tcW w:type="dxa" w:w="190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r>
              <w:rPr>
                <w:rFonts w:ascii="Arial" w:cs="Arial" w:eastAsia="Arial" w:hAnsi="Arial"/>
                <w:b/>
                <w:bCs/>
                <w:color w:val="FFFFFF"/>
                <w:sz w:val="20"/>
                <w:szCs w:val="20"/>
              </w:rPr>
              <w:t xml:space="preserve">Capability</w:t>
            </w:r>
          </w:p>
        </w:tc>
        <w:tc>
          <w:tcPr>
            <w:tcW w:type="dxa" w:w="2115"/>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r>
              <w:rPr>
                <w:rFonts w:ascii="Arial" w:cs="Arial" w:eastAsia="Arial" w:hAnsi="Arial"/>
                <w:b/>
                <w:bCs/>
                <w:color w:val="FFFFFF"/>
                <w:sz w:val="20"/>
                <w:szCs w:val="20"/>
              </w:rPr>
              <w:t xml:space="preserve">Amazon EC2</w:t>
            </w:r>
          </w:p>
        </w:tc>
        <w:tc>
          <w:tcPr>
            <w:tcW w:type="dxa" w:w="2115"/>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r>
              <w:rPr>
                <w:rFonts w:ascii="Arial" w:cs="Arial" w:eastAsia="Arial" w:hAnsi="Arial"/>
                <w:b/>
                <w:bCs/>
                <w:color w:val="FFFFFF"/>
                <w:sz w:val="20"/>
                <w:szCs w:val="20"/>
              </w:rPr>
              <w:t xml:space="preserve">Azure VMs</w:t>
            </w:r>
          </w:p>
        </w:tc>
        <w:tc>
          <w:tcPr>
            <w:tcW w:type="dxa" w:w="2115"/>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r>
              <w:rPr>
                <w:rFonts w:ascii="Arial" w:cs="Arial" w:eastAsia="Arial" w:hAnsi="Arial"/>
                <w:b/>
                <w:bCs/>
                <w:color w:val="FFFFFF"/>
                <w:sz w:val="20"/>
                <w:szCs w:val="20"/>
              </w:rPr>
              <w:t xml:space="preserve">Google Compute Engine</w:t>
            </w:r>
          </w:p>
        </w:tc>
      </w:tr>
      <w:tr>
        <w:tc>
          <w:tcPr>
            <w:tcW w:type="dxa" w:w="19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1A"/>
                <w:sz w:val="20"/>
                <w:szCs w:val="20"/>
              </w:rPr>
              <w:t xml:space="preserve">Instance variety</w:t>
            </w:r>
          </w:p>
        </w:tc>
        <w:tc>
          <w:tcPr>
            <w:tcW w:type="dxa" w:w="2115"/>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1A"/>
                <w:sz w:val="20"/>
                <w:szCs w:val="20"/>
              </w:rPr>
              <w:t xml:space="preserve">750+ types — broadest selection</w:t>
            </w:r>
          </w:p>
        </w:tc>
        <w:tc>
          <w:tcPr>
            <w:tcW w:type="dxa" w:w="2115"/>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1A"/>
                <w:sz w:val="20"/>
                <w:szCs w:val="20"/>
              </w:rPr>
              <w:t xml:space="preserve">400+ types</w:t>
            </w:r>
          </w:p>
        </w:tc>
        <w:tc>
          <w:tcPr>
            <w:tcW w:type="dxa" w:w="2115"/>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1A"/>
                <w:sz w:val="20"/>
                <w:szCs w:val="20"/>
              </w:rPr>
              <w:t xml:space="preserve">~100 machine types</w:t>
            </w:r>
          </w:p>
        </w:tc>
      </w:tr>
      <w:tr>
        <w:tc>
          <w:tcPr>
            <w:tcW w:type="dxa" w:w="19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color w:val="1A1A1A"/>
                <w:sz w:val="20"/>
                <w:szCs w:val="20"/>
              </w:rPr>
              <w:t xml:space="preserve">Custom silicon</w:t>
            </w:r>
          </w:p>
        </w:tc>
        <w:tc>
          <w:tcPr>
            <w:tcW w:type="dxa" w:w="2115"/>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color w:val="1A1A1A"/>
                <w:sz w:val="20"/>
                <w:szCs w:val="20"/>
              </w:rPr>
              <w:t xml:space="preserve">Graviton4, Trainium, Inferentia</w:t>
            </w:r>
          </w:p>
        </w:tc>
        <w:tc>
          <w:tcPr>
            <w:tcW w:type="dxa" w:w="2115"/>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color w:val="1A1A1A"/>
                <w:sz w:val="20"/>
                <w:szCs w:val="20"/>
              </w:rPr>
              <w:t xml:space="preserve">Cobalt 100 (Arm)</w:t>
            </w:r>
          </w:p>
        </w:tc>
        <w:tc>
          <w:tcPr>
            <w:tcW w:type="dxa" w:w="2115"/>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color w:val="1A1A1A"/>
                <w:sz w:val="20"/>
                <w:szCs w:val="20"/>
              </w:rPr>
              <w:t xml:space="preserve">Axion (Arm), TPUs</w:t>
            </w:r>
          </w:p>
        </w:tc>
      </w:tr>
      <w:tr>
        <w:tc>
          <w:tcPr>
            <w:tcW w:type="dxa" w:w="19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1A"/>
                <w:sz w:val="20"/>
                <w:szCs w:val="20"/>
              </w:rPr>
              <w:t xml:space="preserve">Spot/preemptible</w:t>
            </w:r>
          </w:p>
        </w:tc>
        <w:tc>
          <w:tcPr>
            <w:tcW w:type="dxa" w:w="2115"/>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1A"/>
                <w:sz w:val="20"/>
                <w:szCs w:val="20"/>
              </w:rPr>
              <w:t xml:space="preserve">Up to 90% off, 2-min warning</w:t>
            </w:r>
          </w:p>
        </w:tc>
        <w:tc>
          <w:tcPr>
            <w:tcW w:type="dxa" w:w="2115"/>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1A"/>
                <w:sz w:val="20"/>
                <w:szCs w:val="20"/>
              </w:rPr>
              <w:t xml:space="preserve">Up to 90% off, 30-sec warning</w:t>
            </w:r>
          </w:p>
        </w:tc>
        <w:tc>
          <w:tcPr>
            <w:tcW w:type="dxa" w:w="2115"/>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1A"/>
                <w:sz w:val="20"/>
                <w:szCs w:val="20"/>
              </w:rPr>
              <w:t xml:space="preserve">Up to 91% off, 30-sec warning</w:t>
            </w:r>
          </w:p>
        </w:tc>
      </w:tr>
      <w:tr>
        <w:tc>
          <w:tcPr>
            <w:tcW w:type="dxa" w:w="19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color w:val="1A1A1A"/>
                <w:sz w:val="20"/>
                <w:szCs w:val="20"/>
              </w:rPr>
              <w:t xml:space="preserve">Global regions</w:t>
            </w:r>
          </w:p>
        </w:tc>
        <w:tc>
          <w:tcPr>
            <w:tcW w:type="dxa" w:w="2115"/>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color w:val="1A1A1A"/>
                <w:sz w:val="20"/>
                <w:szCs w:val="20"/>
              </w:rPr>
              <w:t xml:space="preserve">34 regions, 108 AZs</w:t>
            </w:r>
          </w:p>
        </w:tc>
        <w:tc>
          <w:tcPr>
            <w:tcW w:type="dxa" w:w="2115"/>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color w:val="1A1A1A"/>
                <w:sz w:val="20"/>
                <w:szCs w:val="20"/>
              </w:rPr>
              <w:t xml:space="preserve">60+ regions</w:t>
            </w:r>
          </w:p>
        </w:tc>
        <w:tc>
          <w:tcPr>
            <w:tcW w:type="dxa" w:w="2115"/>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color w:val="1A1A1A"/>
                <w:sz w:val="20"/>
                <w:szCs w:val="20"/>
              </w:rPr>
              <w:t xml:space="preserve">40+ regions</w:t>
            </w:r>
          </w:p>
        </w:tc>
      </w:tr>
      <w:tr>
        <w:tc>
          <w:tcPr>
            <w:tcW w:type="dxa" w:w="19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1A"/>
                <w:sz w:val="20"/>
                <w:szCs w:val="20"/>
              </w:rPr>
              <w:t xml:space="preserve">Market position</w:t>
            </w:r>
          </w:p>
        </w:tc>
        <w:tc>
          <w:tcPr>
            <w:tcW w:type="dxa" w:w="2115"/>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1A"/>
                <w:sz w:val="20"/>
                <w:szCs w:val="20"/>
              </w:rPr>
              <w:t xml:space="preserve">31% cloud market share (leader)</w:t>
            </w:r>
          </w:p>
        </w:tc>
        <w:tc>
          <w:tcPr>
            <w:tcW w:type="dxa" w:w="2115"/>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1A"/>
                <w:sz w:val="20"/>
                <w:szCs w:val="20"/>
              </w:rPr>
              <w:t xml:space="preserve">21% market share</w:t>
            </w:r>
          </w:p>
        </w:tc>
        <w:tc>
          <w:tcPr>
            <w:tcW w:type="dxa" w:w="2115"/>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1A"/>
                <w:sz w:val="20"/>
                <w:szCs w:val="20"/>
              </w:rPr>
              <w:t xml:space="preserve">11% market share</w:t>
            </w:r>
          </w:p>
        </w:tc>
      </w:tr>
      <w:tr>
        <w:tc>
          <w:tcPr>
            <w:tcW w:type="dxa" w:w="19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color w:val="1A1A1A"/>
                <w:sz w:val="20"/>
                <w:szCs w:val="20"/>
              </w:rPr>
              <w:t xml:space="preserve">Strength</w:t>
            </w:r>
          </w:p>
        </w:tc>
        <w:tc>
          <w:tcPr>
            <w:tcW w:type="dxa" w:w="2115"/>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color w:val="1A1A1A"/>
                <w:sz w:val="20"/>
                <w:szCs w:val="20"/>
              </w:rPr>
              <w:t xml:space="preserve">Broadest ecosystem, most mature</w:t>
            </w:r>
          </w:p>
        </w:tc>
        <w:tc>
          <w:tcPr>
            <w:tcW w:type="dxa" w:w="2115"/>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color w:val="1A1A1A"/>
                <w:sz w:val="20"/>
                <w:szCs w:val="20"/>
              </w:rPr>
              <w:t xml:space="preserve">Windows / enterprise integration</w:t>
            </w:r>
          </w:p>
        </w:tc>
        <w:tc>
          <w:tcPr>
            <w:tcW w:type="dxa" w:w="2115"/>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color w:val="1A1A1A"/>
                <w:sz w:val="20"/>
                <w:szCs w:val="20"/>
              </w:rPr>
              <w:t xml:space="preserve">Networking performance, Kubernetes</w:t>
            </w:r>
          </w:p>
        </w:tc>
      </w:tr>
    </w:tbl>
    <w:p>
      <w:pPr>
        <w:spacing w:after="80" w:before="0"/>
      </w:pPr>
      <w:r>
        <w:t xml:space="preserve"/>
      </w:r>
    </w:p>
    <w:p>
      <w:pPr>
        <w:pStyle w:val="Heading2"/>
        <w:pBdr>
          <w:bottom w:val="single" w:color="2E75B6" w:sz="4" w:space="4"/>
        </w:pBdr>
        <w:spacing w:after="120" w:before="280"/>
      </w:pPr>
      <w:r>
        <w:rPr>
          <w:rFonts w:ascii="Arial" w:cs="Arial" w:eastAsia="Arial" w:hAnsi="Arial"/>
          <w:b/>
          <w:bCs/>
          <w:color w:val="2E75B6"/>
          <w:sz w:val="28"/>
          <w:szCs w:val="28"/>
        </w:rPr>
        <w:t xml:space="preserve">Conclusion</w:t>
      </w:r>
    </w:p>
    <w:p>
      <w:pPr>
        <w:spacing w:after="80" w:before="60"/>
      </w:pPr>
      <w:r>
        <w:rPr>
          <w:rFonts w:ascii="Arial" w:cs="Arial" w:eastAsia="Arial" w:hAnsi="Arial"/>
          <w:color w:val="1A1A1A"/>
          <w:sz w:val="22"/>
          <w:szCs w:val="22"/>
        </w:rPr>
        <w:t xml:space="preserve">Amazon EC2 transformed computing from a capital-intensive, slow-moving discipline into an elastic, API-driven utility. The case studies presented here — Netflix, NASA, Airbnb, and Expedia — represent a fraction of the millions of organizations that have adopted EC2 to solve real business problems.</w:t>
      </w:r>
    </w:p>
    <w:p>
      <w:pPr>
        <w:spacing w:after="80" w:before="0"/>
      </w:pPr>
      <w:r>
        <w:t xml:space="preserve"/>
      </w:r>
    </w:p>
    <w:p>
      <w:pPr>
        <w:spacing w:after="80" w:before="60"/>
      </w:pPr>
      <w:r>
        <w:rPr>
          <w:rFonts w:ascii="Arial" w:cs="Arial" w:eastAsia="Arial" w:hAnsi="Arial"/>
          <w:color w:val="1A1A1A"/>
          <w:sz w:val="22"/>
          <w:szCs w:val="22"/>
        </w:rPr>
        <w:t xml:space="preserve">The common thread across all case studies is not the technology itself but what the technology enables: faster experimentation, lower risk, global reach without global infrastructure investment, and the ability to match resources precisely to need rather than to anticipated peak demand.</w:t>
      </w:r>
    </w:p>
    <w:p>
      <w:pPr>
        <w:spacing w:after="80" w:before="0"/>
      </w:pPr>
      <w:r>
        <w:t xml:space="preserve"/>
      </w:r>
    </w:p>
    <w:p>
      <w:pPr>
        <w:spacing w:after="80" w:before="60"/>
      </w:pPr>
      <w:r>
        <w:rPr>
          <w:rFonts w:ascii="Arial" w:cs="Arial" w:eastAsia="Arial" w:hAnsi="Arial"/>
          <w:color w:val="1A1A1A"/>
          <w:sz w:val="22"/>
          <w:szCs w:val="22"/>
        </w:rPr>
        <w:t xml:space="preserve">As Amazon continues to invest in custom silicon (Graviton, Trainium, Inferentia), new instance families, and expanded global regions, EC2 remains the foundational compute layer not just for AWS's 31% cloud market share, but for a significant fraction of the modern internet.</w:t>
      </w:r>
    </w:p>
    <w:p>
      <w:pPr>
        <w:spacing w:after="160" w:before="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2E75B6" w:sz="8"/>
              <w:left w:val="single" w:color="2E75B6" w:sz="24"/>
              <w:bottom w:val="single" w:color="CCCCCC" w:sz="1"/>
              <w:right w:val="single" w:color="CCCCCC" w:sz="1"/>
            </w:tcBorders>
            <w:shd w:fill="F2F2F2" w:val="clear"/>
            <w:tcMar>
              <w:top w:type="dxa" w:w="120"/>
              <w:left w:type="dxa" w:w="200"/>
              <w:bottom w:type="dxa" w:w="120"/>
              <w:right w:type="dxa" w:w="160"/>
            </w:tcMar>
          </w:tcPr>
          <w:p>
            <w:pPr>
              <w:spacing w:after="60" w:before="0"/>
            </w:pPr>
            <w:r>
              <w:rPr>
                <w:rFonts w:ascii="Arial" w:cs="Arial" w:eastAsia="Arial" w:hAnsi="Arial"/>
                <w:b/>
                <w:bCs/>
                <w:color w:val="444444"/>
                <w:sz w:val="20"/>
                <w:szCs w:val="20"/>
              </w:rPr>
              <w:t xml:space="preserve">Document Information</w:t>
            </w:r>
          </w:p>
          <w:p>
            <w:pPr>
              <w:spacing w:after="0" w:before="0"/>
            </w:pPr>
            <w:r>
              <w:rPr>
                <w:rFonts w:ascii="Arial" w:cs="Arial" w:eastAsia="Arial" w:hAnsi="Arial"/>
                <w:color w:val="1A1A1A"/>
                <w:sz w:val="22"/>
                <w:szCs w:val="22"/>
              </w:rPr>
              <w:t xml:space="preserve">Prepared by: Technical Research Team  |  Document version: 1.0  |  Date: May 2026  |  Classification: General Reference  |  Data sources: AWS Case Studies, AWS Documentation, IDC Cloud Market Reports, company public disclosures</w:t>
            </w:r>
          </w:p>
        </w:tc>
      </w:tr>
    </w:tbl>
    <w:sectPr>
      <w:headerReference w:type="default" r:id="rId7"/>
      <w:footerReference w:type="default" r:id="rId8"/>
      <w:pgSz w:w="12240" w:h="15840" w:orient="portrait"/>
      <w:pgMar w:top="1080" w:right="1080" w:bottom="1080" w:left="108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CCCCCC" w:sz="4" w:space="4"/>
      </w:pBdr>
      <w:spacing w:before="80"/>
      <w:jc w:val="center"/>
    </w:pPr>
    <w:r>
      <w:rPr>
        <w:rFonts w:ascii="Arial" w:cs="Arial" w:eastAsia="Arial" w:hAnsi="Arial"/>
        <w:color w:val="888888"/>
        <w:sz w:val="18"/>
        <w:szCs w:val="18"/>
      </w:rPr>
      <w:t xml:space="preserve">Page </w:t>
    </w:r>
    <w:r>
      <w:rPr>
        <w:rFonts w:ascii="Arial" w:cs="Arial" w:eastAsia="Arial" w:hAnsi="Arial"/>
        <w:color w:val="888888"/>
        <w:sz w:val="18"/>
        <w:szCs w:val="18"/>
      </w:rPr>
      <w:fldChar w:fldCharType="begin"/>
      <w:instrText xml:space="preserve">PAGE</w:instrText>
      <w:fldChar w:fldCharType="separate"/>
      <w:fldChar w:fldCharType="end"/>
    </w:r>
    <w:r>
      <w:rPr>
        <w:rFonts w:ascii="Arial" w:cs="Arial" w:eastAsia="Arial" w:hAnsi="Arial"/>
        <w:color w:val="888888"/>
        <w:sz w:val="18"/>
        <w:szCs w:val="18"/>
      </w:rPr>
      <w:t xml:space="preserve"> of </w:t>
    </w:r>
    <w:r>
      <w:rPr>
        <w:rFonts w:ascii="Arial" w:cs="Arial" w:eastAsia="Arial" w:hAnsi="Arial"/>
        <w:color w:val="888888"/>
        <w:sz w:val="18"/>
        <w:szCs w:val="18"/>
      </w:rPr>
      <w:fldChar w:fldCharType="begin"/>
      <w:instrText xml:space="preserve">NUMPAGES</w:instrText>
      <w:fldChar w:fldCharType="separate"/>
      <w:fldChar w:fldCharType="end"/>
    </w:r>
    <w:r>
      <w:rPr>
        <w:rFonts w:ascii="Arial" w:cs="Arial" w:eastAsia="Arial" w:hAnsi="Arial"/>
        <w:color w:val="888888"/>
        <w:sz w:val="18"/>
        <w:szCs w:val="18"/>
      </w:rPr>
      <w:t xml:space="preserve">   |   Amazon Web Services, Inc.   |   Confidential</w:t>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7200"/>
      <w:gridCol w:w="2880"/>
    </w:tblGrid>
    <w:tr>
      <w:tc>
        <w:tcPr>
          <w:tcW w:type="dxa" w:w="7200"/>
          <w:tcBorders>
            <w:top w:val="none" w:color="FFFFFF" w:sz="0"/>
            <w:left w:val="none" w:color="FFFFFF" w:sz="0"/>
            <w:bottom w:val="single" w:color="2E75B6" w:sz="4"/>
            <w:right w:val="none" w:color="FFFFFF" w:sz="0"/>
          </w:tcBorders>
          <w:tcMar>
            <w:top w:type="dxa" w:w="60"/>
            <w:left w:type="dxa" w:w="0"/>
            <w:bottom w:type="dxa" w:w="60"/>
            <w:right w:type="dxa" w:w="0"/>
          </w:tcMar>
        </w:tcPr>
        <w:p>
          <w:r>
            <w:rPr>
              <w:rFonts w:ascii="Arial" w:cs="Arial" w:eastAsia="Arial" w:hAnsi="Arial"/>
              <w:b/>
              <w:bCs/>
              <w:color w:val="2E75B6"/>
              <w:sz w:val="18"/>
              <w:szCs w:val="18"/>
            </w:rPr>
            <w:t xml:space="preserve">Amazon EC2 — Detailed Case Study</w:t>
          </w:r>
        </w:p>
      </w:tc>
      <w:tc>
        <w:tcPr>
          <w:tcW w:type="dxa" w:w="2880"/>
          <w:tcBorders>
            <w:top w:val="none" w:color="FFFFFF" w:sz="0"/>
            <w:left w:val="none" w:color="FFFFFF" w:sz="0"/>
            <w:bottom w:val="single" w:color="2E75B6" w:sz="4"/>
            <w:right w:val="none" w:color="FFFFFF" w:sz="0"/>
          </w:tcBorders>
          <w:tcMar>
            <w:top w:type="dxa" w:w="60"/>
            <w:left w:type="dxa" w:w="0"/>
            <w:bottom w:type="dxa" w:w="60"/>
            <w:right w:type="dxa" w:w="0"/>
          </w:tcMar>
        </w:tcPr>
        <w:p>
          <w:pPr>
            <w:jc w:val="right"/>
          </w:pPr>
          <w:r>
            <w:rPr>
              <w:rFonts w:ascii="Arial" w:cs="Arial" w:eastAsia="Arial" w:hAnsi="Arial"/>
              <w:color w:val="888888"/>
              <w:sz w:val="18"/>
              <w:szCs w:val="18"/>
            </w:rPr>
            <w:t xml:space="preserve">Elastic Compute Cloud  |  AWS</w:t>
          </w:r>
        </w:p>
      </w:tc>
    </w:tr>
  </w:tbl>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080" w:hanging="3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60" w:before="360"/>
      <w:outlineLvl w:val="0"/>
    </w:pPr>
    <w:rPr>
      <w:rFonts w:ascii="Arial" w:cs="Arial" w:eastAsia="Arial" w:hAnsi="Arial"/>
      <w:b/>
      <w:bCs/>
      <w:color w:val="1F4E79"/>
      <w:sz w:val="36"/>
      <w:szCs w:val="36"/>
    </w:rPr>
  </w:style>
  <w:style w:type="paragraph" w:styleId="Heading2">
    <w:name w:val="Heading 2"/>
    <w:basedOn w:val="Normal"/>
    <w:next w:val="Normal"/>
    <w:qFormat/>
    <w:pPr>
      <w:spacing w:after="120" w:before="280"/>
      <w:outlineLvl w:val="1"/>
    </w:pPr>
    <w:rPr>
      <w:rFonts w:ascii="Arial" w:cs="Arial" w:eastAsia="Arial" w:hAnsi="Arial"/>
      <w:b/>
      <w:bCs/>
      <w:color w:val="2E75B6"/>
      <w:sz w:val="28"/>
      <w:szCs w:val="28"/>
    </w:rPr>
  </w:style>
  <w:style w:type="paragraph" w:styleId="Heading3">
    <w:name w:val="Heading 3"/>
    <w:basedOn w:val="Normal"/>
    <w:next w:val="Normal"/>
    <w:qFormat/>
    <w:pPr>
      <w:spacing w:after="80" w:before="200"/>
      <w:outlineLvl w:val="2"/>
    </w:pPr>
    <w:rPr>
      <w:rFonts w:ascii="Arial" w:cs="Arial" w:eastAsia="Arial" w:hAnsi="Arial"/>
      <w:b/>
      <w:bCs/>
      <w:color w:val="C55A11"/>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2026-05-11T02:19:27.642Z</dcterms:created>
  <dcterms:modified xsi:type="dcterms:W3CDTF">2026-05-11T02:19:27.642Z</dcterms:modified>
</cp:coreProperties>
</file>

<file path=docProps/custom.xml><?xml version="1.0" encoding="utf-8"?>
<Properties xmlns="http://schemas.openxmlformats.org/officeDocument/2006/custom-properties" xmlns:vt="http://schemas.openxmlformats.org/officeDocument/2006/docPropsVTypes"/>
</file>