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Union Budget 2025-26</w:t>
      </w:r>
    </w:p>
    <w:p>
      <w:pPr>
        <w:jc w:val="center"/>
      </w:pPr>
      <w:r>
        <w:rPr>
          <w:i/>
          <w:sz w:val="26"/>
        </w:rPr>
        <w:t>A Detailed Report</w:t>
      </w:r>
    </w:p>
    <w:p>
      <w:pPr>
        <w:pBdr>
          <w:bottom w:val="single" w:sz="6" w:space="1" w:color="4472C4"/>
        </w:pBdr>
        <w:spacing w:after="120"/>
      </w:pPr>
    </w:p>
    <w:tbl>
      <w:tblPr>
        <w:tblStyle w:val="TableGrid"/>
        <w:tblW w:type="auto" w:w="0"/>
        <w:tblLook w:firstColumn="1" w:firstRow="1" w:lastColumn="0" w:lastRow="0" w:noHBand="0" w:noVBand="1" w:val="04A0"/>
      </w:tblPr>
      <w:tblGrid>
        <w:gridCol w:w="4536"/>
        <w:gridCol w:w="4536"/>
      </w:tblGrid>
      <w:tr>
        <w:tc>
          <w:tcPr>
            <w:tcW w:type="dxa" w:w="2835"/>
            <w:shd w:val="clear" w:color="auto" w:fill="EBF0FA"/>
          </w:tcPr>
          <w:p>
            <w:r>
              <w:rPr>
                <w:b/>
                <w:sz w:val="22"/>
              </w:rPr>
              <w:t>Name</w:t>
            </w:r>
          </w:p>
        </w:tc>
        <w:tc>
          <w:tcPr>
            <w:tcW w:type="dxa" w:w="6236"/>
            <w:shd w:val="clear" w:color="auto" w:fill="EBF0FA"/>
          </w:tcPr>
          <w:p>
            <w:r>
              <w:rPr>
                <w:sz w:val="22"/>
              </w:rPr>
              <w:t>Prajwal Sharma</w:t>
            </w:r>
          </w:p>
        </w:tc>
      </w:tr>
      <w:tr>
        <w:tc>
          <w:tcPr>
            <w:tcW w:type="dxa" w:w="2835"/>
            <w:shd w:val="clear" w:color="auto" w:fill="EBF0FA"/>
          </w:tcPr>
          <w:p>
            <w:r>
              <w:rPr>
                <w:b/>
                <w:sz w:val="22"/>
              </w:rPr>
              <w:t>Department</w:t>
            </w:r>
          </w:p>
        </w:tc>
        <w:tc>
          <w:tcPr>
            <w:tcW w:type="dxa" w:w="6236"/>
            <w:shd w:val="clear" w:color="auto" w:fill="EBF0FA"/>
          </w:tcPr>
          <w:p>
            <w:r>
              <w:rPr>
                <w:sz w:val="22"/>
              </w:rPr>
              <w:t>CSE D</w:t>
            </w:r>
          </w:p>
        </w:tc>
      </w:tr>
      <w:tr>
        <w:tc>
          <w:tcPr>
            <w:tcW w:type="dxa" w:w="2835"/>
            <w:shd w:val="clear" w:color="auto" w:fill="EBF0FA"/>
          </w:tcPr>
          <w:p>
            <w:r>
              <w:rPr>
                <w:b/>
                <w:sz w:val="22"/>
              </w:rPr>
              <w:t>Roll Number</w:t>
            </w:r>
          </w:p>
        </w:tc>
        <w:tc>
          <w:tcPr>
            <w:tcW w:type="dxa" w:w="6236"/>
            <w:shd w:val="clear" w:color="auto" w:fill="EBF0FA"/>
          </w:tcPr>
          <w:p>
            <w:r>
              <w:rPr>
                <w:sz w:val="22"/>
              </w:rPr>
              <w:t>24303301</w:t>
            </w:r>
          </w:p>
        </w:tc>
      </w:tr>
      <w:tr>
        <w:tc>
          <w:tcPr>
            <w:tcW w:type="dxa" w:w="2835"/>
            <w:shd w:val="clear" w:color="auto" w:fill="EBF0FA"/>
          </w:tcPr>
          <w:p>
            <w:r>
              <w:rPr>
                <w:b/>
                <w:sz w:val="22"/>
              </w:rPr>
              <w:t>Subject</w:t>
            </w:r>
          </w:p>
        </w:tc>
        <w:tc>
          <w:tcPr>
            <w:tcW w:type="dxa" w:w="6236"/>
            <w:shd w:val="clear" w:color="auto" w:fill="EBF0FA"/>
          </w:tcPr>
          <w:p>
            <w:r>
              <w:rPr>
                <w:sz w:val="22"/>
              </w:rPr>
              <w:t>Effective Technical Communication (ETC)</w:t>
            </w:r>
          </w:p>
        </w:tc>
      </w:tr>
    </w:tbl>
    <w:p>
      <w:pPr>
        <w:pBdr>
          <w:bottom w:val="single" w:sz="6" w:space="1" w:color="4472C4"/>
        </w:pBdr>
        <w:spacing w:after="120"/>
      </w:pPr>
    </w:p>
    <w:p>
      <w:pPr>
        <w:pStyle w:val="Heading1"/>
        <w:spacing w:before="200" w:after="80"/>
      </w:pPr>
      <w:r>
        <w:t>1. Introduction</w:t>
      </w:r>
    </w:p>
    <w:p>
      <w:pPr>
        <w:spacing w:after="80"/>
      </w:pPr>
      <w:r>
        <w:rPr>
          <w:sz w:val="22"/>
        </w:rPr>
        <w:t>The **Union Budget** is basically the annual financial statement of the Government of India. It is presented every year by the Finance Minister in the Parliament, usually on the 1st of February. The budget lays out how much money the government expects to earn (through taxes, duties, and other sources) and how it plans to spend that money across different sectors like education, defence, health, infrastructure, and so on.</w:t>
      </w:r>
    </w:p>
    <w:p>
      <w:pPr>
        <w:spacing w:after="80"/>
      </w:pPr>
      <w:r>
        <w:rPr>
          <w:sz w:val="22"/>
        </w:rPr>
        <w:t>In simple words, it is like a household budget but at a national scale — the government decides how much to save, how much to spend, and where to invest, for the entire country.</w:t>
      </w:r>
    </w:p>
    <w:p>
      <w:pPr>
        <w:pStyle w:val="Heading2"/>
        <w:spacing w:before="200" w:after="80"/>
      </w:pPr>
      <w:r>
        <w:t>Why is it Important?</w:t>
      </w:r>
    </w:p>
    <w:p>
      <w:pPr>
        <w:pStyle w:val="ListBullet"/>
        <w:spacing w:after="40"/>
        <w:ind w:left="360"/>
      </w:pPr>
      <w:r>
        <w:rPr>
          <w:b w:val="0"/>
          <w:sz w:val="22"/>
        </w:rPr>
        <w:t xml:space="preserve">It </w:t>
      </w:r>
      <w:r>
        <w:rPr>
          <w:b/>
          <w:sz w:val="22"/>
        </w:rPr>
        <w:t>shapes the economy</w:t>
      </w:r>
      <w:r>
        <w:rPr>
          <w:b w:val="0"/>
          <w:sz w:val="22"/>
        </w:rPr>
        <w:t xml:space="preserve"> by deciding how resources are distributed across sectors.</w:t>
      </w:r>
    </w:p>
    <w:p>
      <w:pPr>
        <w:pStyle w:val="ListBullet"/>
        <w:spacing w:after="40"/>
        <w:ind w:left="360"/>
      </w:pPr>
      <w:r>
        <w:rPr>
          <w:b w:val="0"/>
          <w:sz w:val="22"/>
        </w:rPr>
        <w:t xml:space="preserve">It directly affects </w:t>
      </w:r>
      <w:r>
        <w:rPr>
          <w:b/>
          <w:sz w:val="22"/>
        </w:rPr>
        <w:t>common citizens</w:t>
      </w:r>
      <w:r>
        <w:rPr>
          <w:b w:val="0"/>
          <w:sz w:val="22"/>
        </w:rPr>
        <w:t xml:space="preserve"> through changes in income tax slabs, subsidies, and prices of goods.</w:t>
      </w:r>
    </w:p>
    <w:p>
      <w:pPr>
        <w:pStyle w:val="ListBullet"/>
        <w:spacing w:after="40"/>
        <w:ind w:left="360"/>
      </w:pPr>
      <w:r>
        <w:rPr>
          <w:b w:val="0"/>
          <w:sz w:val="22"/>
        </w:rPr>
        <w:t xml:space="preserve">It signals the government's </w:t>
      </w:r>
      <w:r>
        <w:rPr>
          <w:b/>
          <w:sz w:val="22"/>
        </w:rPr>
        <w:t>priorities and vision</w:t>
      </w:r>
      <w:r>
        <w:rPr>
          <w:b w:val="0"/>
          <w:sz w:val="22"/>
        </w:rPr>
        <w:t xml:space="preserve"> — for example, whether it wants to focus more on rural development or technology.</w:t>
      </w:r>
    </w:p>
    <w:p>
      <w:pPr>
        <w:pStyle w:val="ListBullet"/>
        <w:spacing w:after="40"/>
        <w:ind w:left="360"/>
      </w:pPr>
      <w:r>
        <w:rPr>
          <w:b w:val="0"/>
          <w:sz w:val="22"/>
        </w:rPr>
        <w:t xml:space="preserve">It influences </w:t>
      </w:r>
      <w:r>
        <w:rPr>
          <w:b/>
          <w:sz w:val="22"/>
        </w:rPr>
        <w:t>business decisions</w:t>
      </w:r>
      <w:r>
        <w:rPr>
          <w:b w:val="0"/>
          <w:sz w:val="22"/>
        </w:rPr>
        <w:t>, stock markets, and foreign investments.</w:t>
      </w:r>
    </w:p>
    <w:p>
      <w:pPr>
        <w:pStyle w:val="ListBullet"/>
        <w:spacing w:after="40"/>
        <w:ind w:left="360"/>
      </w:pPr>
      <w:r>
        <w:rPr>
          <w:b w:val="0"/>
          <w:sz w:val="22"/>
        </w:rPr>
        <w:t xml:space="preserve">For students like us in the tech field, it is important because budget allocations towards </w:t>
      </w:r>
      <w:r>
        <w:rPr>
          <w:b/>
          <w:sz w:val="22"/>
        </w:rPr>
        <w:t>education and digital infrastructure</w:t>
      </w:r>
      <w:r>
        <w:rPr>
          <w:b w:val="0"/>
          <w:sz w:val="22"/>
        </w:rPr>
        <w:t xml:space="preserve"> directly affect opportunities available to us.</w:t>
      </w:r>
    </w:p>
    <w:p>
      <w:pPr>
        <w:spacing w:after="80"/>
      </w:pPr>
      <w:r>
        <w:rPr>
          <w:sz w:val="22"/>
        </w:rPr>
        <w:t>The Union Budget 2025-26 was presented by Finance Minister **Nirmala Sitharaman** on **1st February 2025**. It is her **eighth consecutive budget** and was presented with a strong focus on making India a developed nation ("Viksit Bharat") by 2047.</w:t>
      </w:r>
    </w:p>
    <w:p>
      <w:pPr>
        <w:pBdr>
          <w:bottom w:val="single" w:sz="6" w:space="1" w:color="4472C4"/>
        </w:pBdr>
        <w:spacing w:after="120"/>
      </w:pPr>
    </w:p>
    <w:p>
      <w:pPr>
        <w:pStyle w:val="Heading1"/>
        <w:spacing w:before="200" w:after="80"/>
      </w:pPr>
      <w:r>
        <w:t>2. Key Highlights of Union Budget 2025-26</w:t>
      </w:r>
    </w:p>
    <w:p>
      <w:pPr>
        <w:pStyle w:val="Heading2"/>
        <w:spacing w:before="200" w:after="80"/>
      </w:pPr>
      <w:r>
        <w:t>2.1 Education</w:t>
      </w:r>
    </w:p>
    <w:p>
      <w:pPr>
        <w:pStyle w:val="ListBullet"/>
        <w:spacing w:after="40"/>
        <w:ind w:left="360"/>
      </w:pPr>
      <w:r>
        <w:rPr>
          <w:b w:val="0"/>
          <w:sz w:val="22"/>
        </w:rPr>
      </w:r>
      <w:r>
        <w:rPr>
          <w:b/>
          <w:sz w:val="22"/>
        </w:rPr>
        <w:t>₹1.28 lakh crore</w:t>
      </w:r>
      <w:r>
        <w:rPr>
          <w:b w:val="0"/>
          <w:sz w:val="22"/>
        </w:rPr>
        <w:t xml:space="preserve"> allocated to the education sector — a noticeable increase from the previous year.</w:t>
      </w:r>
    </w:p>
    <w:p>
      <w:pPr>
        <w:pStyle w:val="ListBullet"/>
        <w:spacing w:after="40"/>
        <w:ind w:left="360"/>
      </w:pPr>
      <w:r>
        <w:rPr>
          <w:b w:val="0"/>
          <w:sz w:val="22"/>
        </w:rPr>
        <w:t xml:space="preserve">The </w:t>
      </w:r>
      <w:r>
        <w:rPr>
          <w:b/>
          <w:sz w:val="22"/>
        </w:rPr>
        <w:t>PM Vidyalaxmi Scheme</w:t>
      </w:r>
      <w:r>
        <w:rPr>
          <w:b w:val="0"/>
          <w:sz w:val="22"/>
        </w:rPr>
        <w:t xml:space="preserve"> was expanded to provide financial support to meritorious students from economically weaker sections pursuing higher education.</w:t>
      </w:r>
    </w:p>
    <w:p>
      <w:pPr>
        <w:pStyle w:val="ListBullet"/>
        <w:spacing w:after="40"/>
        <w:ind w:left="360"/>
      </w:pPr>
      <w:r>
        <w:rPr>
          <w:b w:val="0"/>
          <w:sz w:val="22"/>
        </w:rPr>
        <w:t xml:space="preserve">Establishment of </w:t>
      </w:r>
      <w:r>
        <w:rPr>
          <w:b/>
          <w:sz w:val="22"/>
        </w:rPr>
        <w:t>50,000 new Atal Tinkering Labs</w:t>
      </w:r>
      <w:r>
        <w:rPr>
          <w:b w:val="0"/>
          <w:sz w:val="22"/>
        </w:rPr>
        <w:t xml:space="preserve"> in government schools to promote innovation and critical thinking from an early age.</w:t>
      </w:r>
    </w:p>
    <w:p>
      <w:pPr>
        <w:pStyle w:val="ListBullet"/>
        <w:spacing w:after="40"/>
        <w:ind w:left="360"/>
      </w:pPr>
      <w:r>
        <w:rPr>
          <w:b w:val="0"/>
          <w:sz w:val="22"/>
        </w:rPr>
        <w:t xml:space="preserve">Focus on </w:t>
      </w:r>
      <w:r>
        <w:rPr>
          <w:b/>
          <w:sz w:val="22"/>
        </w:rPr>
        <w:t>skilling programs</w:t>
      </w:r>
      <w:r>
        <w:rPr>
          <w:b w:val="0"/>
          <w:sz w:val="22"/>
        </w:rPr>
        <w:t xml:space="preserve"> — 20 lakh youth are to be skilled over the next 5 years, with industry partnerships.</w:t>
      </w:r>
    </w:p>
    <w:p>
      <w:pPr>
        <w:pStyle w:val="ListBullet"/>
        <w:spacing w:after="40"/>
        <w:ind w:left="360"/>
      </w:pPr>
      <w:r>
        <w:rPr>
          <w:b w:val="0"/>
          <w:sz w:val="22"/>
        </w:rPr>
      </w:r>
      <w:r>
        <w:rPr>
          <w:b/>
          <w:sz w:val="22"/>
        </w:rPr>
        <w:t>IITs and IIMs</w:t>
      </w:r>
      <w:r>
        <w:rPr>
          <w:b w:val="0"/>
          <w:sz w:val="22"/>
        </w:rPr>
        <w:t xml:space="preserve"> are to receive additional funding for research and infrastructure upgrades.</w:t>
      </w:r>
    </w:p>
    <w:p>
      <w:pPr>
        <w:pStyle w:val="ListBullet"/>
        <w:spacing w:after="40"/>
        <w:ind w:left="360"/>
      </w:pPr>
      <w:r>
        <w:rPr>
          <w:b w:val="0"/>
          <w:sz w:val="22"/>
        </w:rPr>
      </w:r>
      <w:r>
        <w:rPr>
          <w:b/>
          <w:sz w:val="22"/>
        </w:rPr>
        <w:t>National Education Policy (NEP) 2020</w:t>
      </w:r>
      <w:r>
        <w:rPr>
          <w:b w:val="0"/>
          <w:sz w:val="22"/>
        </w:rPr>
        <w:t xml:space="preserve"> implementation to be accelerated, with a focus on multilingual education and coding from school level.</w:t>
      </w:r>
    </w:p>
    <w:p>
      <w:pPr>
        <w:pStyle w:val="Heading2"/>
        <w:spacing w:before="200" w:after="80"/>
      </w:pPr>
      <w:r>
        <w:t>2.2 Technology &amp; IT</w:t>
      </w:r>
    </w:p>
    <w:p>
      <w:pPr>
        <w:pStyle w:val="ListBullet"/>
        <w:spacing w:after="40"/>
        <w:ind w:left="360"/>
      </w:pPr>
      <w:r>
        <w:rPr>
          <w:b w:val="0"/>
          <w:sz w:val="22"/>
        </w:rPr>
        <w:t xml:space="preserve">A dedicated </w:t>
      </w:r>
      <w:r>
        <w:rPr>
          <w:b/>
          <w:sz w:val="22"/>
        </w:rPr>
        <w:t>₹500 crore fund for AI/ML research and development</w:t>
      </w:r>
      <w:r>
        <w:rPr>
          <w:b w:val="0"/>
          <w:sz w:val="22"/>
        </w:rPr>
        <w:t xml:space="preserve"> was announced.</w:t>
      </w:r>
    </w:p>
    <w:p>
      <w:pPr>
        <w:pStyle w:val="ListBullet"/>
        <w:spacing w:after="40"/>
        <w:ind w:left="360"/>
      </w:pPr>
      <w:r>
        <w:rPr>
          <w:b w:val="0"/>
          <w:sz w:val="22"/>
        </w:rPr>
      </w:r>
      <w:r>
        <w:rPr>
          <w:b/>
          <w:sz w:val="22"/>
        </w:rPr>
        <w:t>Digital India Mission</w:t>
      </w:r>
      <w:r>
        <w:rPr>
          <w:b w:val="0"/>
          <w:sz w:val="22"/>
        </w:rPr>
        <w:t xml:space="preserve"> received enhanced funding — focus on expanding digital public infrastructure (DPI).</w:t>
      </w:r>
    </w:p>
    <w:p>
      <w:pPr>
        <w:pStyle w:val="ListBullet"/>
        <w:spacing w:after="40"/>
        <w:ind w:left="360"/>
      </w:pPr>
      <w:r>
        <w:rPr>
          <w:b w:val="0"/>
          <w:sz w:val="22"/>
        </w:rPr>
      </w:r>
      <w:r>
        <w:rPr>
          <w:b/>
          <w:sz w:val="22"/>
        </w:rPr>
        <w:t>Centre of Excellence in AI</w:t>
      </w:r>
      <w:r>
        <w:rPr>
          <w:b w:val="0"/>
          <w:sz w:val="22"/>
        </w:rPr>
        <w:t xml:space="preserve"> to be set up in leading educational institutions.</w:t>
      </w:r>
    </w:p>
    <w:p>
      <w:pPr>
        <w:pStyle w:val="ListBullet"/>
        <w:spacing w:after="40"/>
        <w:ind w:left="360"/>
      </w:pPr>
      <w:r>
        <w:rPr>
          <w:b w:val="0"/>
          <w:sz w:val="22"/>
        </w:rPr>
      </w:r>
      <w:r>
        <w:rPr>
          <w:b/>
          <w:sz w:val="22"/>
        </w:rPr>
        <w:t>Quantum Computing and Semiconductor missions</w:t>
      </w:r>
      <w:r>
        <w:rPr>
          <w:b w:val="0"/>
          <w:sz w:val="22"/>
        </w:rPr>
        <w:t xml:space="preserve"> received continued support with multi-year funding roadmaps.</w:t>
      </w:r>
    </w:p>
    <w:p>
      <w:pPr>
        <w:pStyle w:val="ListBullet"/>
        <w:spacing w:after="40"/>
        <w:ind w:left="360"/>
      </w:pPr>
      <w:r>
        <w:rPr>
          <w:b w:val="0"/>
          <w:sz w:val="22"/>
        </w:rPr>
        <w:t xml:space="preserve">Tax incentives extended for </w:t>
      </w:r>
      <w:r>
        <w:rPr>
          <w:b/>
          <w:sz w:val="22"/>
        </w:rPr>
        <w:t>startups</w:t>
      </w:r>
      <w:r>
        <w:rPr>
          <w:b w:val="0"/>
          <w:sz w:val="22"/>
        </w:rPr>
        <w:t>, especially those working in deep tech, agri-tech, and fintech.</w:t>
      </w:r>
    </w:p>
    <w:p>
      <w:pPr>
        <w:pStyle w:val="ListBullet"/>
        <w:spacing w:after="40"/>
        <w:ind w:left="360"/>
      </w:pPr>
      <w:r>
        <w:rPr>
          <w:b w:val="0"/>
          <w:sz w:val="22"/>
        </w:rPr>
      </w:r>
      <w:r>
        <w:rPr>
          <w:b/>
          <w:sz w:val="22"/>
        </w:rPr>
        <w:t>Cybersecurity</w:t>
      </w:r>
      <w:r>
        <w:rPr>
          <w:b w:val="0"/>
          <w:sz w:val="22"/>
        </w:rPr>
        <w:t xml:space="preserve"> was identified as a priority area — budget for national cyber defence and infrastructure was increased.</w:t>
      </w:r>
    </w:p>
    <w:p>
      <w:pPr>
        <w:pStyle w:val="ListBullet"/>
        <w:spacing w:after="40"/>
        <w:ind w:left="360"/>
      </w:pPr>
      <w:r>
        <w:rPr>
          <w:b w:val="0"/>
          <w:sz w:val="22"/>
        </w:rPr>
        <w:t xml:space="preserve">Push for </w:t>
      </w:r>
      <w:r>
        <w:rPr>
          <w:b/>
          <w:sz w:val="22"/>
        </w:rPr>
        <w:t>Electronics Manufacturing in India</w:t>
      </w:r>
      <w:r>
        <w:rPr>
          <w:b w:val="0"/>
          <w:sz w:val="22"/>
        </w:rPr>
        <w:t xml:space="preserve"> — continued production-linked incentives (PLI) for hardware manufacturers.</w:t>
      </w:r>
    </w:p>
    <w:p>
      <w:pPr>
        <w:pStyle w:val="Heading2"/>
        <w:spacing w:before="200" w:after="80"/>
      </w:pPr>
      <w:r>
        <w:t>2.3 Infrastructure</w:t>
      </w:r>
    </w:p>
    <w:p>
      <w:pPr>
        <w:pStyle w:val="ListBullet"/>
        <w:spacing w:after="40"/>
        <w:ind w:left="360"/>
      </w:pPr>
      <w:r>
        <w:rPr>
          <w:b w:val="0"/>
          <w:sz w:val="22"/>
        </w:rPr>
        <w:t xml:space="preserve">Total </w:t>
      </w:r>
      <w:r>
        <w:rPr>
          <w:b/>
          <w:sz w:val="22"/>
        </w:rPr>
        <w:t>capital expenditure (capex)</w:t>
      </w:r>
      <w:r>
        <w:rPr>
          <w:b w:val="0"/>
          <w:sz w:val="22"/>
        </w:rPr>
        <w:t xml:space="preserve"> of </w:t>
      </w:r>
      <w:r>
        <w:rPr>
          <w:b/>
          <w:sz w:val="22"/>
        </w:rPr>
        <w:t>₹11.21 lakh crore</w:t>
      </w:r>
      <w:r>
        <w:rPr>
          <w:b w:val="0"/>
          <w:sz w:val="22"/>
        </w:rPr>
        <w:t xml:space="preserve"> — maintained at a high level to push economic growth.</w:t>
      </w:r>
    </w:p>
    <w:p>
      <w:pPr>
        <w:pStyle w:val="ListBullet"/>
        <w:spacing w:after="40"/>
        <w:ind w:left="360"/>
      </w:pPr>
      <w:r>
        <w:rPr>
          <w:b w:val="0"/>
          <w:sz w:val="22"/>
        </w:rPr>
      </w:r>
      <w:r>
        <w:rPr>
          <w:b/>
          <w:sz w:val="22"/>
        </w:rPr>
        <w:t>National Highways</w:t>
      </w:r>
      <w:r>
        <w:rPr>
          <w:b w:val="0"/>
          <w:sz w:val="22"/>
        </w:rPr>
        <w:t>: 25,000 km of new roads to be built/upgraded.</w:t>
      </w:r>
    </w:p>
    <w:p>
      <w:pPr>
        <w:pStyle w:val="ListBullet"/>
        <w:spacing w:after="40"/>
        <w:ind w:left="360"/>
      </w:pPr>
      <w:r>
        <w:rPr>
          <w:b w:val="0"/>
          <w:sz w:val="22"/>
        </w:rPr>
      </w:r>
      <w:r>
        <w:rPr>
          <w:b/>
          <w:sz w:val="22"/>
        </w:rPr>
        <w:t>Railway sector</w:t>
      </w:r>
      <w:r>
        <w:rPr>
          <w:b w:val="0"/>
          <w:sz w:val="22"/>
        </w:rPr>
        <w:t>: ₹2.52 lakh crore allocated — focus on Vande Bharat Express expansion, station redevelopment, and safety upgrades.</w:t>
      </w:r>
    </w:p>
    <w:p>
      <w:pPr>
        <w:pStyle w:val="ListBullet"/>
        <w:spacing w:after="40"/>
        <w:ind w:left="360"/>
      </w:pPr>
      <w:r>
        <w:rPr>
          <w:b w:val="0"/>
          <w:sz w:val="22"/>
        </w:rPr>
      </w:r>
      <w:r>
        <w:rPr>
          <w:b/>
          <w:sz w:val="22"/>
        </w:rPr>
        <w:t>Smart Cities and Urban Development</w:t>
      </w:r>
      <w:r>
        <w:rPr>
          <w:b w:val="0"/>
          <w:sz w:val="22"/>
        </w:rPr>
        <w:t>: Funding increased for urban infrastructure under the AMRUT scheme.</w:t>
      </w:r>
    </w:p>
    <w:p>
      <w:pPr>
        <w:pStyle w:val="ListBullet"/>
        <w:spacing w:after="40"/>
        <w:ind w:left="360"/>
      </w:pPr>
      <w:r>
        <w:rPr>
          <w:b w:val="0"/>
          <w:sz w:val="22"/>
        </w:rPr>
      </w:r>
      <w:r>
        <w:rPr>
          <w:b/>
          <w:sz w:val="22"/>
        </w:rPr>
        <w:t>Green Energy</w:t>
      </w:r>
      <w:r>
        <w:rPr>
          <w:b w:val="0"/>
          <w:sz w:val="22"/>
        </w:rPr>
        <w:t>: Expanded allocation for solar energy, wind power, and green hydrogen projects under the National Green Hydrogen Mission.</w:t>
      </w:r>
    </w:p>
    <w:p>
      <w:pPr>
        <w:pStyle w:val="ListBullet"/>
        <w:spacing w:after="40"/>
        <w:ind w:left="360"/>
      </w:pPr>
      <w:r>
        <w:rPr>
          <w:b w:val="0"/>
          <w:sz w:val="22"/>
        </w:rPr>
      </w:r>
      <w:r>
        <w:rPr>
          <w:b/>
          <w:sz w:val="22"/>
        </w:rPr>
        <w:t>Logistics</w:t>
      </w:r>
      <w:r>
        <w:rPr>
          <w:b w:val="0"/>
          <w:sz w:val="22"/>
        </w:rPr>
        <w:t>: PM Gati Shakti National Master Plan to be further integrated with real-time data platforms.</w:t>
      </w:r>
    </w:p>
    <w:p>
      <w:pPr>
        <w:pBdr>
          <w:bottom w:val="single" w:sz="6" w:space="1" w:color="4472C4"/>
        </w:pBdr>
        <w:spacing w:after="120"/>
      </w:pPr>
    </w:p>
    <w:p>
      <w:pPr>
        <w:pStyle w:val="Heading1"/>
        <w:spacing w:before="200" w:after="80"/>
      </w:pPr>
      <w:r>
        <w:t>3. Comparison &amp; Review: Budget 2024-25 vs 2025-26</w:t>
      </w:r>
    </w:p>
    <w:p>
      <w:pPr>
        <w:spacing w:after="80"/>
      </w:pPr>
      <w:r>
        <w:rPr>
          <w:sz w:val="22"/>
        </w:rPr>
        <w:t>The table below compares key financial figures and focus areas between the two budget years: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3864"/>
            <w:vAlign w:val="center"/>
          </w:tcPr>
          <w:p>
            <w:pPr>
              <w:jc w:val="center"/>
            </w:pPr>
            <w:r>
              <w:rPr>
                <w:b/>
                <w:color w:val="FFFFFF"/>
                <w:sz w:val="20"/>
              </w:rPr>
              <w:t>Parameter</w:t>
            </w:r>
          </w:p>
        </w:tc>
        <w:tc>
          <w:tcPr>
            <w:tcW w:type="dxa" w:w="2381"/>
            <w:shd w:val="clear" w:color="auto" w:fill="1F3864"/>
            <w:vAlign w:val="center"/>
          </w:tcPr>
          <w:p>
            <w:pPr>
              <w:jc w:val="center"/>
            </w:pPr>
            <w:r>
              <w:rPr>
                <w:b/>
                <w:color w:val="FFFFFF"/>
                <w:sz w:val="20"/>
              </w:rPr>
              <w:t>Budget 2024-25</w:t>
            </w:r>
          </w:p>
        </w:tc>
        <w:tc>
          <w:tcPr>
            <w:tcW w:type="dxa" w:w="2381"/>
            <w:shd w:val="clear" w:color="auto" w:fill="1F3864"/>
            <w:vAlign w:val="center"/>
          </w:tcPr>
          <w:p>
            <w:pPr>
              <w:jc w:val="center"/>
            </w:pPr>
            <w:r>
              <w:rPr>
                <w:b/>
                <w:color w:val="FFFFFF"/>
                <w:sz w:val="20"/>
              </w:rPr>
              <w:t>Budget 2025-26</w:t>
            </w:r>
          </w:p>
        </w:tc>
        <w:tc>
          <w:tcPr>
            <w:tcW w:type="dxa" w:w="2041"/>
            <w:shd w:val="clear" w:color="auto" w:fill="1F3864"/>
            <w:vAlign w:val="center"/>
          </w:tcPr>
          <w:p>
            <w:pPr>
              <w:jc w:val="center"/>
            </w:pPr>
            <w:r>
              <w:rPr>
                <w:b/>
                <w:color w:val="FFFFFF"/>
                <w:sz w:val="20"/>
              </w:rPr>
              <w:t>Change</w:t>
            </w:r>
          </w:p>
        </w:tc>
      </w:tr>
      <w:tr>
        <w:tc>
          <w:tcPr>
            <w:tcW w:type="dxa" w:w="3402"/>
            <w:shd w:val="clear" w:color="auto" w:fill="EBF0FA"/>
            <w:vAlign w:val="center"/>
          </w:tcPr>
          <w:p>
            <w:pPr>
              <w:jc w:val="left"/>
            </w:pPr>
            <w:r>
              <w:rPr>
                <w:b w:val="0"/>
                <w:sz w:val="20"/>
              </w:rPr>
              <w:t>Total Budget Size</w:t>
            </w:r>
          </w:p>
        </w:tc>
        <w:tc>
          <w:tcPr>
            <w:tcW w:type="dxa" w:w="2381"/>
            <w:shd w:val="clear" w:color="auto" w:fill="EBF0FA"/>
            <w:vAlign w:val="center"/>
          </w:tcPr>
          <w:p>
            <w:pPr>
              <w:jc w:val="center"/>
            </w:pPr>
            <w:r>
              <w:rPr>
                <w:b w:val="0"/>
                <w:sz w:val="20"/>
              </w:rPr>
              <w:t>₹47.66 lakh crore</w:t>
            </w:r>
          </w:p>
        </w:tc>
        <w:tc>
          <w:tcPr>
            <w:tcW w:type="dxa" w:w="2381"/>
            <w:shd w:val="clear" w:color="auto" w:fill="EBF0FA"/>
            <w:vAlign w:val="center"/>
          </w:tcPr>
          <w:p>
            <w:pPr>
              <w:jc w:val="center"/>
            </w:pPr>
            <w:r>
              <w:rPr>
                <w:b w:val="0"/>
                <w:sz w:val="20"/>
              </w:rPr>
              <w:t>₹50.65 lakh crore</w:t>
            </w:r>
          </w:p>
        </w:tc>
        <w:tc>
          <w:tcPr>
            <w:tcW w:type="dxa" w:w="2041"/>
            <w:shd w:val="clear" w:color="auto" w:fill="EBF0FA"/>
            <w:vAlign w:val="center"/>
          </w:tcPr>
          <w:p>
            <w:pPr>
              <w:jc w:val="center"/>
            </w:pPr>
            <w:r>
              <w:rPr>
                <w:b w:val="0"/>
                <w:sz w:val="20"/>
              </w:rPr>
              <w:t>↑ Increased</w:t>
            </w:r>
          </w:p>
        </w:tc>
      </w:tr>
      <w:tr>
        <w:tc>
          <w:tcPr>
            <w:tcW w:type="dxa" w:w="3402"/>
            <w:vAlign w:val="center"/>
          </w:tcPr>
          <w:p>
            <w:pPr>
              <w:jc w:val="left"/>
            </w:pPr>
            <w:r>
              <w:rPr>
                <w:b w:val="0"/>
                <w:sz w:val="20"/>
              </w:rPr>
              <w:t>Capital Expenditure (Capex)</w:t>
            </w:r>
          </w:p>
        </w:tc>
        <w:tc>
          <w:tcPr>
            <w:tcW w:type="dxa" w:w="2381"/>
            <w:vAlign w:val="center"/>
          </w:tcPr>
          <w:p>
            <w:pPr>
              <w:jc w:val="center"/>
            </w:pPr>
            <w:r>
              <w:rPr>
                <w:b w:val="0"/>
                <w:sz w:val="20"/>
              </w:rPr>
              <w:t>₹11.11 lakh crore</w:t>
            </w:r>
          </w:p>
        </w:tc>
        <w:tc>
          <w:tcPr>
            <w:tcW w:type="dxa" w:w="2381"/>
            <w:vAlign w:val="center"/>
          </w:tcPr>
          <w:p>
            <w:pPr>
              <w:jc w:val="center"/>
            </w:pPr>
            <w:r>
              <w:rPr>
                <w:b w:val="0"/>
                <w:sz w:val="20"/>
              </w:rPr>
              <w:t>₹11.21 lakh crore</w:t>
            </w:r>
          </w:p>
        </w:tc>
        <w:tc>
          <w:tcPr>
            <w:tcW w:type="dxa" w:w="2041"/>
            <w:vAlign w:val="center"/>
          </w:tcPr>
          <w:p>
            <w:pPr>
              <w:jc w:val="center"/>
            </w:pPr>
            <w:r>
              <w:rPr>
                <w:b w:val="0"/>
                <w:sz w:val="20"/>
              </w:rPr>
              <w:t>↑ Slightly Up</w:t>
            </w:r>
          </w:p>
        </w:tc>
      </w:tr>
      <w:tr>
        <w:tc>
          <w:tcPr>
            <w:tcW w:type="dxa" w:w="3402"/>
            <w:shd w:val="clear" w:color="auto" w:fill="EBF0FA"/>
            <w:vAlign w:val="center"/>
          </w:tcPr>
          <w:p>
            <w:pPr>
              <w:jc w:val="left"/>
            </w:pPr>
            <w:r>
              <w:rPr>
                <w:b w:val="0"/>
                <w:sz w:val="20"/>
              </w:rPr>
              <w:t>Education Allocation</w:t>
            </w:r>
          </w:p>
        </w:tc>
        <w:tc>
          <w:tcPr>
            <w:tcW w:type="dxa" w:w="2381"/>
            <w:shd w:val="clear" w:color="auto" w:fill="EBF0FA"/>
            <w:vAlign w:val="center"/>
          </w:tcPr>
          <w:p>
            <w:pPr>
              <w:jc w:val="center"/>
            </w:pPr>
            <w:r>
              <w:rPr>
                <w:b w:val="0"/>
                <w:sz w:val="20"/>
              </w:rPr>
              <w:t>₹1.20 lakh crore</w:t>
            </w:r>
          </w:p>
        </w:tc>
        <w:tc>
          <w:tcPr>
            <w:tcW w:type="dxa" w:w="2381"/>
            <w:shd w:val="clear" w:color="auto" w:fill="EBF0FA"/>
            <w:vAlign w:val="center"/>
          </w:tcPr>
          <w:p>
            <w:pPr>
              <w:jc w:val="center"/>
            </w:pPr>
            <w:r>
              <w:rPr>
                <w:b w:val="0"/>
                <w:sz w:val="20"/>
              </w:rPr>
              <w:t>₹1.28 lakh crore</w:t>
            </w:r>
          </w:p>
        </w:tc>
        <w:tc>
          <w:tcPr>
            <w:tcW w:type="dxa" w:w="2041"/>
            <w:shd w:val="clear" w:color="auto" w:fill="EBF0FA"/>
            <w:vAlign w:val="center"/>
          </w:tcPr>
          <w:p>
            <w:pPr>
              <w:jc w:val="center"/>
            </w:pPr>
            <w:r>
              <w:rPr>
                <w:b w:val="0"/>
                <w:sz w:val="20"/>
              </w:rPr>
              <w:t>↑ Increased</w:t>
            </w:r>
          </w:p>
        </w:tc>
      </w:tr>
      <w:tr>
        <w:tc>
          <w:tcPr>
            <w:tcW w:type="dxa" w:w="3402"/>
            <w:vAlign w:val="center"/>
          </w:tcPr>
          <w:p>
            <w:pPr>
              <w:jc w:val="left"/>
            </w:pPr>
            <w:r>
              <w:rPr>
                <w:b w:val="0"/>
                <w:sz w:val="20"/>
              </w:rPr>
              <w:t>Health Allocation</w:t>
            </w:r>
          </w:p>
        </w:tc>
        <w:tc>
          <w:tcPr>
            <w:tcW w:type="dxa" w:w="2381"/>
            <w:vAlign w:val="center"/>
          </w:tcPr>
          <w:p>
            <w:pPr>
              <w:jc w:val="center"/>
            </w:pPr>
            <w:r>
              <w:rPr>
                <w:b w:val="0"/>
                <w:sz w:val="20"/>
              </w:rPr>
              <w:t>₹90,659 crore</w:t>
            </w:r>
          </w:p>
        </w:tc>
        <w:tc>
          <w:tcPr>
            <w:tcW w:type="dxa" w:w="2381"/>
            <w:vAlign w:val="center"/>
          </w:tcPr>
          <w:p>
            <w:pPr>
              <w:jc w:val="center"/>
            </w:pPr>
            <w:r>
              <w:rPr>
                <w:b w:val="0"/>
                <w:sz w:val="20"/>
              </w:rPr>
              <w:t>₹98,311 crore</w:t>
            </w:r>
          </w:p>
        </w:tc>
        <w:tc>
          <w:tcPr>
            <w:tcW w:type="dxa" w:w="2041"/>
            <w:vAlign w:val="center"/>
          </w:tcPr>
          <w:p>
            <w:pPr>
              <w:jc w:val="center"/>
            </w:pPr>
            <w:r>
              <w:rPr>
                <w:b w:val="0"/>
                <w:sz w:val="20"/>
              </w:rPr>
              <w:t>↑ Increased</w:t>
            </w:r>
          </w:p>
        </w:tc>
      </w:tr>
      <w:tr>
        <w:tc>
          <w:tcPr>
            <w:tcW w:type="dxa" w:w="3402"/>
            <w:shd w:val="clear" w:color="auto" w:fill="EBF0FA"/>
            <w:vAlign w:val="center"/>
          </w:tcPr>
          <w:p>
            <w:pPr>
              <w:jc w:val="left"/>
            </w:pPr>
            <w:r>
              <w:rPr>
                <w:b w:val="0"/>
                <w:sz w:val="20"/>
              </w:rPr>
              <w:t>Defence Allocation</w:t>
            </w:r>
          </w:p>
        </w:tc>
        <w:tc>
          <w:tcPr>
            <w:tcW w:type="dxa" w:w="2381"/>
            <w:shd w:val="clear" w:color="auto" w:fill="EBF0FA"/>
            <w:vAlign w:val="center"/>
          </w:tcPr>
          <w:p>
            <w:pPr>
              <w:jc w:val="center"/>
            </w:pPr>
            <w:r>
              <w:rPr>
                <w:b w:val="0"/>
                <w:sz w:val="20"/>
              </w:rPr>
              <w:t>₹6.21 lakh crore</w:t>
            </w:r>
          </w:p>
        </w:tc>
        <w:tc>
          <w:tcPr>
            <w:tcW w:type="dxa" w:w="2381"/>
            <w:shd w:val="clear" w:color="auto" w:fill="EBF0FA"/>
            <w:vAlign w:val="center"/>
          </w:tcPr>
          <w:p>
            <w:pPr>
              <w:jc w:val="center"/>
            </w:pPr>
            <w:r>
              <w:rPr>
                <w:b w:val="0"/>
                <w:sz w:val="20"/>
              </w:rPr>
              <w:t>₹6.81 lakh crore</w:t>
            </w:r>
          </w:p>
        </w:tc>
        <w:tc>
          <w:tcPr>
            <w:tcW w:type="dxa" w:w="2041"/>
            <w:shd w:val="clear" w:color="auto" w:fill="EBF0FA"/>
            <w:vAlign w:val="center"/>
          </w:tcPr>
          <w:p>
            <w:pPr>
              <w:jc w:val="center"/>
            </w:pPr>
            <w:r>
              <w:rPr>
                <w:b w:val="0"/>
                <w:sz w:val="20"/>
              </w:rPr>
              <w:t>↑ Increased</w:t>
            </w:r>
          </w:p>
        </w:tc>
      </w:tr>
      <w:tr>
        <w:tc>
          <w:tcPr>
            <w:tcW w:type="dxa" w:w="3402"/>
            <w:vAlign w:val="center"/>
          </w:tcPr>
          <w:p>
            <w:pPr>
              <w:jc w:val="left"/>
            </w:pPr>
            <w:r>
              <w:rPr>
                <w:b w:val="0"/>
                <w:sz w:val="20"/>
              </w:rPr>
              <w:t>Railway Allocation</w:t>
            </w:r>
          </w:p>
        </w:tc>
        <w:tc>
          <w:tcPr>
            <w:tcW w:type="dxa" w:w="2381"/>
            <w:vAlign w:val="center"/>
          </w:tcPr>
          <w:p>
            <w:pPr>
              <w:jc w:val="center"/>
            </w:pPr>
            <w:r>
              <w:rPr>
                <w:b w:val="0"/>
                <w:sz w:val="20"/>
              </w:rPr>
              <w:t>₹2.55 lakh crore</w:t>
            </w:r>
          </w:p>
        </w:tc>
        <w:tc>
          <w:tcPr>
            <w:tcW w:type="dxa" w:w="2381"/>
            <w:vAlign w:val="center"/>
          </w:tcPr>
          <w:p>
            <w:pPr>
              <w:jc w:val="center"/>
            </w:pPr>
            <w:r>
              <w:rPr>
                <w:b w:val="0"/>
                <w:sz w:val="20"/>
              </w:rPr>
              <w:t>₹2.52 lakh crore</w:t>
            </w:r>
          </w:p>
        </w:tc>
        <w:tc>
          <w:tcPr>
            <w:tcW w:type="dxa" w:w="2041"/>
            <w:vAlign w:val="center"/>
          </w:tcPr>
          <w:p>
            <w:pPr>
              <w:jc w:val="center"/>
            </w:pPr>
            <w:r>
              <w:rPr>
                <w:b w:val="0"/>
                <w:sz w:val="20"/>
              </w:rPr>
              <w:t>↓ Slight Decrease</w:t>
            </w:r>
          </w:p>
        </w:tc>
      </w:tr>
      <w:tr>
        <w:tc>
          <w:tcPr>
            <w:tcW w:type="dxa" w:w="3402"/>
            <w:shd w:val="clear" w:color="auto" w:fill="EBF0FA"/>
            <w:vAlign w:val="center"/>
          </w:tcPr>
          <w:p>
            <w:pPr>
              <w:jc w:val="left"/>
            </w:pPr>
            <w:r>
              <w:rPr>
                <w:b w:val="0"/>
                <w:sz w:val="20"/>
              </w:rPr>
              <w:t>Rural Development</w:t>
            </w:r>
          </w:p>
        </w:tc>
        <w:tc>
          <w:tcPr>
            <w:tcW w:type="dxa" w:w="2381"/>
            <w:shd w:val="clear" w:color="auto" w:fill="EBF0FA"/>
            <w:vAlign w:val="center"/>
          </w:tcPr>
          <w:p>
            <w:pPr>
              <w:jc w:val="center"/>
            </w:pPr>
            <w:r>
              <w:rPr>
                <w:b w:val="0"/>
                <w:sz w:val="20"/>
              </w:rPr>
              <w:t>₹2.66 lakh crore</w:t>
            </w:r>
          </w:p>
        </w:tc>
        <w:tc>
          <w:tcPr>
            <w:tcW w:type="dxa" w:w="2381"/>
            <w:shd w:val="clear" w:color="auto" w:fill="EBF0FA"/>
            <w:vAlign w:val="center"/>
          </w:tcPr>
          <w:p>
            <w:pPr>
              <w:jc w:val="center"/>
            </w:pPr>
            <w:r>
              <w:rPr>
                <w:b w:val="0"/>
                <w:sz w:val="20"/>
              </w:rPr>
              <w:t>₹2.67 lakh crore</w:t>
            </w:r>
          </w:p>
        </w:tc>
        <w:tc>
          <w:tcPr>
            <w:tcW w:type="dxa" w:w="2041"/>
            <w:shd w:val="clear" w:color="auto" w:fill="EBF0FA"/>
            <w:vAlign w:val="center"/>
          </w:tcPr>
          <w:p>
            <w:pPr>
              <w:jc w:val="center"/>
            </w:pPr>
            <w:r>
              <w:rPr>
                <w:b w:val="0"/>
                <w:sz w:val="20"/>
              </w:rPr>
              <w:t>→ Nearly Stable</w:t>
            </w:r>
          </w:p>
        </w:tc>
      </w:tr>
      <w:tr>
        <w:tc>
          <w:tcPr>
            <w:tcW w:type="dxa" w:w="3402"/>
            <w:vAlign w:val="center"/>
          </w:tcPr>
          <w:p>
            <w:pPr>
              <w:jc w:val="left"/>
            </w:pPr>
            <w:r>
              <w:rPr>
                <w:b w:val="0"/>
                <w:sz w:val="20"/>
              </w:rPr>
              <w:t>Tax Rebate Limit (Income Tax)</w:t>
            </w:r>
          </w:p>
        </w:tc>
        <w:tc>
          <w:tcPr>
            <w:tcW w:type="dxa" w:w="2381"/>
            <w:vAlign w:val="center"/>
          </w:tcPr>
          <w:p>
            <w:pPr>
              <w:jc w:val="center"/>
            </w:pPr>
            <w:r>
              <w:rPr>
                <w:b w:val="0"/>
                <w:sz w:val="20"/>
              </w:rPr>
              <w:t>Up to ₹7 lakh</w:t>
            </w:r>
          </w:p>
        </w:tc>
        <w:tc>
          <w:tcPr>
            <w:tcW w:type="dxa" w:w="2381"/>
            <w:vAlign w:val="center"/>
          </w:tcPr>
          <w:p>
            <w:pPr>
              <w:jc w:val="center"/>
            </w:pPr>
            <w:r>
              <w:rPr>
                <w:b w:val="0"/>
                <w:sz w:val="20"/>
              </w:rPr>
              <w:t>Up to ₹12 lakh</w:t>
            </w:r>
          </w:p>
        </w:tc>
        <w:tc>
          <w:tcPr>
            <w:tcW w:type="dxa" w:w="2041"/>
            <w:vAlign w:val="center"/>
          </w:tcPr>
          <w:p>
            <w:pPr>
              <w:jc w:val="center"/>
            </w:pPr>
            <w:r>
              <w:rPr>
                <w:b w:val="0"/>
                <w:sz w:val="20"/>
              </w:rPr>
              <w:t>↑ Major Increase</w:t>
            </w:r>
          </w:p>
        </w:tc>
      </w:tr>
      <w:tr>
        <w:tc>
          <w:tcPr>
            <w:tcW w:type="dxa" w:w="3402"/>
            <w:shd w:val="clear" w:color="auto" w:fill="EBF0FA"/>
            <w:vAlign w:val="center"/>
          </w:tcPr>
          <w:p>
            <w:pPr>
              <w:jc w:val="left"/>
            </w:pPr>
            <w:r>
              <w:rPr>
                <w:b w:val="0"/>
                <w:sz w:val="20"/>
              </w:rPr>
              <w:t>Fiscal Deficit Target</w:t>
            </w:r>
          </w:p>
        </w:tc>
        <w:tc>
          <w:tcPr>
            <w:tcW w:type="dxa" w:w="2381"/>
            <w:shd w:val="clear" w:color="auto" w:fill="EBF0FA"/>
            <w:vAlign w:val="center"/>
          </w:tcPr>
          <w:p>
            <w:pPr>
              <w:jc w:val="center"/>
            </w:pPr>
            <w:r>
              <w:rPr>
                <w:b w:val="0"/>
                <w:sz w:val="20"/>
              </w:rPr>
              <w:t>5.1% of GDP</w:t>
            </w:r>
          </w:p>
        </w:tc>
        <w:tc>
          <w:tcPr>
            <w:tcW w:type="dxa" w:w="2381"/>
            <w:shd w:val="clear" w:color="auto" w:fill="EBF0FA"/>
            <w:vAlign w:val="center"/>
          </w:tcPr>
          <w:p>
            <w:pPr>
              <w:jc w:val="center"/>
            </w:pPr>
            <w:r>
              <w:rPr>
                <w:b w:val="0"/>
                <w:sz w:val="20"/>
              </w:rPr>
              <w:t>4.4% of GDP</w:t>
            </w:r>
          </w:p>
        </w:tc>
        <w:tc>
          <w:tcPr>
            <w:tcW w:type="dxa" w:w="2041"/>
            <w:shd w:val="clear" w:color="auto" w:fill="EBF0FA"/>
            <w:vAlign w:val="center"/>
          </w:tcPr>
          <w:p>
            <w:pPr>
              <w:jc w:val="center"/>
            </w:pPr>
            <w:r>
              <w:rPr>
                <w:b w:val="0"/>
                <w:sz w:val="20"/>
              </w:rPr>
              <w:t>↓ Reduced (Good)</w:t>
            </w:r>
          </w:p>
        </w:tc>
      </w:tr>
      <w:tr>
        <w:tc>
          <w:tcPr>
            <w:tcW w:type="dxa" w:w="3402"/>
            <w:vAlign w:val="center"/>
          </w:tcPr>
          <w:p>
            <w:pPr>
              <w:jc w:val="left"/>
            </w:pPr>
            <w:r>
              <w:rPr>
                <w:b w:val="0"/>
                <w:sz w:val="20"/>
              </w:rPr>
              <w:t>AI &amp; Deep Tech Funding</w:t>
            </w:r>
          </w:p>
        </w:tc>
        <w:tc>
          <w:tcPr>
            <w:tcW w:type="dxa" w:w="2381"/>
            <w:vAlign w:val="center"/>
          </w:tcPr>
          <w:p>
            <w:pPr>
              <w:jc w:val="center"/>
            </w:pPr>
            <w:r>
              <w:rPr>
                <w:b w:val="0"/>
                <w:sz w:val="20"/>
              </w:rPr>
              <w:t>₹300 crore (approx.)</w:t>
            </w:r>
          </w:p>
        </w:tc>
        <w:tc>
          <w:tcPr>
            <w:tcW w:type="dxa" w:w="2381"/>
            <w:vAlign w:val="center"/>
          </w:tcPr>
          <w:p>
            <w:pPr>
              <w:jc w:val="center"/>
            </w:pPr>
            <w:r>
              <w:rPr>
                <w:b w:val="0"/>
                <w:sz w:val="20"/>
              </w:rPr>
              <w:t>₹500 crore</w:t>
            </w:r>
          </w:p>
        </w:tc>
        <w:tc>
          <w:tcPr>
            <w:tcW w:type="dxa" w:w="2041"/>
            <w:vAlign w:val="center"/>
          </w:tcPr>
          <w:p>
            <w:pPr>
              <w:jc w:val="center"/>
            </w:pPr>
            <w:r>
              <w:rPr>
                <w:b w:val="0"/>
                <w:sz w:val="20"/>
              </w:rPr>
              <w:t>↑ Increased</w:t>
            </w:r>
          </w:p>
        </w:tc>
      </w:tr>
      <w:tr>
        <w:tc>
          <w:tcPr>
            <w:tcW w:type="dxa" w:w="3402"/>
            <w:shd w:val="clear" w:color="auto" w:fill="EBF0FA"/>
            <w:vAlign w:val="center"/>
          </w:tcPr>
          <w:p>
            <w:pPr>
              <w:jc w:val="left"/>
            </w:pPr>
            <w:r>
              <w:rPr>
                <w:b w:val="0"/>
                <w:sz w:val="20"/>
              </w:rPr>
              <w:t>Startup Tax Benefits</w:t>
            </w:r>
          </w:p>
        </w:tc>
        <w:tc>
          <w:tcPr>
            <w:tcW w:type="dxa" w:w="2381"/>
            <w:shd w:val="clear" w:color="auto" w:fill="EBF0FA"/>
            <w:vAlign w:val="center"/>
          </w:tcPr>
          <w:p>
            <w:pPr>
              <w:jc w:val="center"/>
            </w:pPr>
            <w:r>
              <w:rPr>
                <w:b w:val="0"/>
                <w:sz w:val="20"/>
              </w:rPr>
              <w:t>3-year tax holiday</w:t>
            </w:r>
          </w:p>
        </w:tc>
        <w:tc>
          <w:tcPr>
            <w:tcW w:type="dxa" w:w="2381"/>
            <w:shd w:val="clear" w:color="auto" w:fill="EBF0FA"/>
            <w:vAlign w:val="center"/>
          </w:tcPr>
          <w:p>
            <w:pPr>
              <w:jc w:val="center"/>
            </w:pPr>
            <w:r>
              <w:rPr>
                <w:b w:val="0"/>
                <w:sz w:val="20"/>
              </w:rPr>
              <w:t>Extended + new benefits</w:t>
            </w:r>
          </w:p>
        </w:tc>
        <w:tc>
          <w:tcPr>
            <w:tcW w:type="dxa" w:w="2041"/>
            <w:shd w:val="clear" w:color="auto" w:fill="EBF0FA"/>
            <w:vAlign w:val="center"/>
          </w:tcPr>
          <w:p>
            <w:pPr>
              <w:jc w:val="center"/>
            </w:pPr>
            <w:r>
              <w:rPr>
                <w:b w:val="0"/>
                <w:sz w:val="20"/>
              </w:rPr>
              <w:t>↑ Improved</w:t>
            </w:r>
          </w:p>
        </w:tc>
      </w:tr>
      <w:tr>
        <w:tc>
          <w:tcPr>
            <w:tcW w:type="dxa" w:w="3402"/>
            <w:vAlign w:val="center"/>
          </w:tcPr>
          <w:p>
            <w:pPr>
              <w:jc w:val="left"/>
            </w:pPr>
            <w:r>
              <w:rPr>
                <w:b w:val="0"/>
                <w:sz w:val="20"/>
              </w:rPr>
              <w:t>Subsidies (Food + Fertiliser)</w:t>
            </w:r>
          </w:p>
        </w:tc>
        <w:tc>
          <w:tcPr>
            <w:tcW w:type="dxa" w:w="2381"/>
            <w:vAlign w:val="center"/>
          </w:tcPr>
          <w:p>
            <w:pPr>
              <w:jc w:val="center"/>
            </w:pPr>
            <w:r>
              <w:rPr>
                <w:b w:val="0"/>
                <w:sz w:val="20"/>
              </w:rPr>
              <w:t>₹3.81 lakh crore</w:t>
            </w:r>
          </w:p>
        </w:tc>
        <w:tc>
          <w:tcPr>
            <w:tcW w:type="dxa" w:w="2381"/>
            <w:vAlign w:val="center"/>
          </w:tcPr>
          <w:p>
            <w:pPr>
              <w:jc w:val="center"/>
            </w:pPr>
            <w:r>
              <w:rPr>
                <w:b w:val="0"/>
                <w:sz w:val="20"/>
              </w:rPr>
              <w:t>₹3.77 lakh crore</w:t>
            </w:r>
          </w:p>
        </w:tc>
        <w:tc>
          <w:tcPr>
            <w:tcW w:type="dxa" w:w="2041"/>
            <w:vAlign w:val="center"/>
          </w:tcPr>
          <w:p>
            <w:pPr>
              <w:jc w:val="center"/>
            </w:pPr>
            <w:r>
              <w:rPr>
                <w:b w:val="0"/>
                <w:sz w:val="20"/>
              </w:rPr>
              <w:t>↓ Slightly Cut</w:t>
            </w:r>
          </w:p>
        </w:tc>
      </w:tr>
    </w:tbl>
    <w:p/>
    <w:p>
      <w:pPr>
        <w:pStyle w:val="Heading2"/>
        <w:spacing w:before="200" w:after="80"/>
      </w:pPr>
      <w:r>
        <w:t>Key Observations:</w:t>
      </w:r>
    </w:p>
    <w:p>
      <w:pPr>
        <w:pStyle w:val="ListBullet"/>
        <w:spacing w:after="40"/>
        <w:ind w:left="360"/>
      </w:pPr>
      <w:r>
        <w:rPr>
          <w:b w:val="0"/>
          <w:sz w:val="22"/>
        </w:rPr>
        <w:t xml:space="preserve">The biggest talking point was the </w:t>
      </w:r>
      <w:r>
        <w:rPr>
          <w:b/>
          <w:sz w:val="22"/>
        </w:rPr>
        <w:t>income tax relief</w:t>
      </w:r>
      <w:r>
        <w:rPr>
          <w:b w:val="0"/>
          <w:sz w:val="22"/>
        </w:rPr>
        <w:t xml:space="preserve"> — individuals earning up to ₹12 lakh per year will now pay </w:t>
      </w:r>
      <w:r>
        <w:rPr>
          <w:b/>
          <w:sz w:val="22"/>
        </w:rPr>
        <w:t>zero income tax</w:t>
      </w:r>
      <w:r>
        <w:rPr>
          <w:b w:val="0"/>
          <w:sz w:val="22"/>
        </w:rPr>
        <w:t xml:space="preserve"> under the new tax regime.</w:t>
      </w:r>
    </w:p>
    <w:p>
      <w:pPr>
        <w:pStyle w:val="ListBullet"/>
        <w:spacing w:after="40"/>
        <w:ind w:left="360"/>
      </w:pPr>
      <w:r>
        <w:rPr>
          <w:b w:val="0"/>
          <w:sz w:val="22"/>
        </w:rPr>
      </w:r>
      <w:r>
        <w:rPr>
          <w:b/>
          <w:sz w:val="22"/>
        </w:rPr>
        <w:t>Fiscal deficit</w:t>
      </w:r>
      <w:r>
        <w:rPr>
          <w:b w:val="0"/>
          <w:sz w:val="22"/>
        </w:rPr>
        <w:t xml:space="preserve"> has been brought down, showing the government's intent to maintain financial discipline.</w:t>
      </w:r>
    </w:p>
    <w:p>
      <w:pPr>
        <w:pStyle w:val="ListBullet"/>
        <w:spacing w:after="40"/>
        <w:ind w:left="360"/>
      </w:pPr>
      <w:r>
        <w:rPr>
          <w:b w:val="0"/>
          <w:sz w:val="22"/>
        </w:rPr>
      </w:r>
      <w:r>
        <w:rPr>
          <w:b/>
          <w:sz w:val="22"/>
        </w:rPr>
        <w:t>Defence and education</w:t>
      </w:r>
      <w:r>
        <w:rPr>
          <w:b w:val="0"/>
          <w:sz w:val="22"/>
        </w:rPr>
        <w:t xml:space="preserve"> both saw increases, reflecting priority areas for national development.</w:t>
      </w:r>
    </w:p>
    <w:p>
      <w:pPr>
        <w:pStyle w:val="ListBullet"/>
        <w:spacing w:after="40"/>
        <w:ind w:left="360"/>
      </w:pPr>
      <w:r>
        <w:rPr>
          <w:b w:val="0"/>
          <w:sz w:val="22"/>
        </w:rPr>
        <w:t xml:space="preserve">The </w:t>
      </w:r>
      <w:r>
        <w:rPr>
          <w:b/>
          <w:sz w:val="22"/>
        </w:rPr>
        <w:t>Railway allocation</w:t>
      </w:r>
      <w:r>
        <w:rPr>
          <w:b w:val="0"/>
          <w:sz w:val="22"/>
        </w:rPr>
        <w:t xml:space="preserve"> saw a minor dip compared to the previous year, which some experts found surprising.</w:t>
      </w:r>
    </w:p>
    <w:p>
      <w:pPr>
        <w:pBdr>
          <w:bottom w:val="single" w:sz="6" w:space="1" w:color="4472C4"/>
        </w:pBdr>
        <w:spacing w:after="120"/>
      </w:pPr>
    </w:p>
    <w:p>
      <w:pPr>
        <w:pStyle w:val="Heading1"/>
        <w:spacing w:before="200" w:after="80"/>
      </w:pPr>
      <w:r>
        <w:t>4. Flowchart Descriptions</w:t>
      </w:r>
    </w:p>
    <w:p>
      <w:pPr>
        <w:pStyle w:val="Heading2"/>
        <w:spacing w:before="200" w:after="80"/>
      </w:pPr>
      <w:r>
        <w:t>Flowchart A: Process of Budget Approval in India</w:t>
      </w:r>
    </w:p>
    <w:p>
      <w:pPr>
        <w:spacing w:after="80"/>
      </w:pPr>
      <w:r>
        <w:rPr>
          <w:sz w:val="22"/>
        </w:rPr>
        <w:t>Below is a step-by-step logic description that can be used to draw a flowchart:</w:t>
      </w:r>
    </w:p>
    <w:p>
      <w:pPr>
        <w:spacing w:after="0"/>
      </w:pPr>
      <w:r>
        <w:rPr>
          <w:rFonts w:ascii="Courier New" w:hAnsi="Courier New"/>
          <w:sz w:val="18"/>
        </w:rPr>
        <w:t>[START]</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[Finance Ministry prepares budget drafts with inputs from all ministries]</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[Pre-budget consultations with economists, industry bodies, and public]</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[Finance Minister presents the Union Budget in Lok Sabha on 1st February]</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[Budget is discussed in both Lok Sabha and Rajya Sabha]</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[Lok Sabha votes on Demands for Grants (individual ministry allocations)]</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[Finance Bill and Appropriation Bill are introduced and debated]</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[Both bills passed by Lok Sabha (Rajya Sabha can only suggest changes)]</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[Bills sent to the President of India for assent]</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[President gives assent — Budget becomes law]</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[Ministries begin spending as per the approved allocations]</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[CAG (Comptroller and Auditor General) audits the accounts at year-end]</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[END]</w:t>
      </w:r>
    </w:p>
    <w:p/>
    <w:p>
      <w:pPr>
        <w:pStyle w:val="Heading3"/>
        <w:spacing w:before="200" w:after="80"/>
      </w:pPr>
      <w:r>
        <w:t>Summary of key steps:</w:t>
      </w:r>
    </w:p>
    <w:p>
      <w:pPr>
        <w:pStyle w:val="ListNumber"/>
        <w:spacing w:after="40"/>
      </w:pPr>
      <w:r>
        <w:rPr>
          <w:b w:val="0"/>
          <w:sz w:val="22"/>
        </w:rPr>
        <w:t>Draft preparation by Finance Ministry</w:t>
      </w:r>
    </w:p>
    <w:p>
      <w:pPr>
        <w:pStyle w:val="ListNumber"/>
        <w:spacing w:after="40"/>
      </w:pPr>
      <w:r>
        <w:rPr>
          <w:b w:val="0"/>
          <w:sz w:val="22"/>
        </w:rPr>
        <w:t>Cabinet approval</w:t>
      </w:r>
    </w:p>
    <w:p>
      <w:pPr>
        <w:pStyle w:val="ListNumber"/>
        <w:spacing w:after="40"/>
      </w:pPr>
      <w:r>
        <w:rPr>
          <w:b w:val="0"/>
          <w:sz w:val="22"/>
        </w:rPr>
        <w:t>Presentation in Parliament (1st Feb)</w:t>
      </w:r>
    </w:p>
    <w:p>
      <w:pPr>
        <w:pStyle w:val="ListNumber"/>
        <w:spacing w:after="40"/>
      </w:pPr>
      <w:r>
        <w:rPr>
          <w:b w:val="0"/>
          <w:sz w:val="22"/>
        </w:rPr>
        <w:t>Discussion &amp; debate in both houses</w:t>
      </w:r>
    </w:p>
    <w:p>
      <w:pPr>
        <w:pStyle w:val="ListNumber"/>
        <w:spacing w:after="40"/>
      </w:pPr>
      <w:r>
        <w:rPr>
          <w:b w:val="0"/>
          <w:sz w:val="22"/>
        </w:rPr>
        <w:t>Lok Sabha approval via Appropriation Bill</w:t>
      </w:r>
    </w:p>
    <w:p>
      <w:pPr>
        <w:pStyle w:val="ListNumber"/>
        <w:spacing w:after="40"/>
      </w:pPr>
      <w:r>
        <w:rPr>
          <w:b w:val="0"/>
          <w:sz w:val="22"/>
        </w:rPr>
        <w:t>Presidential assent</w:t>
      </w:r>
    </w:p>
    <w:p>
      <w:pPr>
        <w:pStyle w:val="ListNumber"/>
        <w:spacing w:after="40"/>
      </w:pPr>
      <w:r>
        <w:rPr>
          <w:b w:val="0"/>
          <w:sz w:val="22"/>
        </w:rPr>
        <w:t>Implementation by ministries</w:t>
      </w:r>
    </w:p>
    <w:p>
      <w:pPr>
        <w:pStyle w:val="ListNumber"/>
        <w:spacing w:after="40"/>
      </w:pPr>
      <w:r>
        <w:rPr>
          <w:b w:val="0"/>
          <w:sz w:val="22"/>
        </w:rPr>
        <w:t>Year-end audit by CAG</w:t>
      </w:r>
    </w:p>
    <w:p>
      <w:pPr>
        <w:pBdr>
          <w:bottom w:val="single" w:sz="6" w:space="1" w:color="4472C4"/>
        </w:pBdr>
        <w:spacing w:after="120"/>
      </w:pPr>
    </w:p>
    <w:p>
      <w:pPr>
        <w:pStyle w:val="Heading2"/>
        <w:spacing w:before="200" w:after="80"/>
      </w:pPr>
      <w:r>
        <w:t>Flowchart B: How Budget Funds are Allocated (Sector-wise)</w:t>
      </w:r>
    </w:p>
    <w:p>
      <w:pPr>
        <w:spacing w:after="0"/>
      </w:pPr>
      <w:r>
        <w:rPr>
          <w:rFonts w:ascii="Courier New" w:hAnsi="Courier New"/>
          <w:sz w:val="18"/>
        </w:rPr>
        <w:t>[Total Budget Revenue Collected]</w:t>
      </w:r>
    </w:p>
    <w:p>
      <w:pPr>
        <w:spacing w:after="0"/>
      </w:pPr>
      <w:r>
        <w:rPr>
          <w:rFonts w:ascii="Courier New" w:hAnsi="Courier New"/>
          <w:sz w:val="18"/>
        </w:rPr>
        <w:t>(Taxes + Non-Tax Revenue + Borrowings)</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[Consolidated Fund of India]</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                      |</w:t>
      </w:r>
    </w:p>
    <w:p>
      <w:pPr>
        <w:spacing w:after="0"/>
      </w:pPr>
      <w:r>
        <w:rPr>
          <w:rFonts w:ascii="Courier New" w:hAnsi="Courier New"/>
          <w:sz w:val="18"/>
        </w:rPr>
        <w:t xml:space="preserve">    v                      v                      v</w:t>
      </w:r>
    </w:p>
    <w:p>
      <w:pPr>
        <w:spacing w:after="0"/>
      </w:pPr>
      <w:r>
        <w:rPr>
          <w:rFonts w:ascii="Courier New" w:hAnsi="Courier New"/>
          <w:sz w:val="18"/>
        </w:rPr>
        <w:t>[Mandatory/Fixed       [Discretionary         [Debt Repayment</w:t>
      </w:r>
    </w:p>
    <w:p>
      <w:pPr>
        <w:spacing w:after="0"/>
      </w:pPr>
      <w:r>
        <w:rPr>
          <w:rFonts w:ascii="Courier New" w:hAnsi="Courier New"/>
          <w:sz w:val="18"/>
        </w:rPr>
        <w:t xml:space="preserve"> Expenditure]           Expenditure]           &amp; Interest]</w:t>
      </w:r>
    </w:p>
    <w:p>
      <w:pPr>
        <w:spacing w:after="0"/>
      </w:pPr>
      <w:r>
        <w:rPr>
          <w:rFonts w:ascii="Courier New" w:hAnsi="Courier New"/>
          <w:sz w:val="18"/>
        </w:rPr>
        <w:t>(Salaries, Pensions,   (Planned Spending)</w:t>
      </w:r>
    </w:p>
    <w:p>
      <w:pPr>
        <w:spacing w:after="0"/>
      </w:pPr>
      <w:r>
        <w:rPr>
          <w:rFonts w:ascii="Courier New" w:hAnsi="Courier New"/>
          <w:sz w:val="18"/>
        </w:rPr>
        <w:t xml:space="preserve"> Interest Payments)</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[Divided across Major Sectors]</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          |          |          |          |</w:t>
      </w:r>
    </w:p>
    <w:p>
      <w:pPr>
        <w:spacing w:after="0"/>
      </w:pPr>
      <w:r>
        <w:rPr>
          <w:rFonts w:ascii="Courier New" w:hAnsi="Courier New"/>
          <w:sz w:val="18"/>
        </w:rPr>
        <w:t xml:space="preserve">    v          v          v          v          v          v</w:t>
      </w:r>
    </w:p>
    <w:p>
      <w:pPr>
        <w:spacing w:after="0"/>
      </w:pPr>
      <w:r>
        <w:rPr>
          <w:rFonts w:ascii="Courier New" w:hAnsi="Courier New"/>
          <w:sz w:val="18"/>
        </w:rPr>
        <w:t>[Defence] [Education] [Health] [Infra-   [Rural    [Others:</w:t>
      </w:r>
    </w:p>
    <w:p>
      <w:pPr>
        <w:spacing w:after="0"/>
      </w:pPr>
      <w:r>
        <w:rPr>
          <w:rFonts w:ascii="Courier New" w:hAnsi="Courier New"/>
          <w:sz w:val="18"/>
        </w:rPr>
        <w:t xml:space="preserve"> 6.81 L Cr  1.28 L Cr  98K Cr  structure] Dev.]   IT, Social</w:t>
      </w:r>
    </w:p>
    <w:p>
      <w:pPr>
        <w:spacing w:after="0"/>
      </w:pPr>
      <w:r>
        <w:rPr>
          <w:rFonts w:ascii="Courier New" w:hAnsi="Courier New"/>
          <w:sz w:val="18"/>
        </w:rPr>
        <w:t xml:space="preserve">                               11.21 L Cr 2.67 L Cr Welfare etc.]</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[Remaining Funds: Subsidies, State Transfers (Devolution), Grants-in-Aid]</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[State Governments receive their share (per Finance Commission)]</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[Spending implemented through Ministries, PSUs, and Schemes]</w:t>
      </w:r>
    </w:p>
    <w:p>
      <w:pPr>
        <w:spacing w:after="0"/>
      </w:pPr>
      <w:r>
        <w:rPr>
          <w:rFonts w:ascii="Courier New" w:hAnsi="Courier New"/>
          <w:sz w:val="18"/>
        </w:rPr>
        <w:t xml:space="preserve">    |</w:t>
      </w:r>
    </w:p>
    <w:p>
      <w:pPr>
        <w:spacing w:after="0"/>
      </w:pPr>
      <w:r>
        <w:rPr>
          <w:rFonts w:ascii="Courier New" w:hAnsi="Courier New"/>
          <w:sz w:val="18"/>
        </w:rPr>
        <w:t xml:space="preserve">    v</w:t>
      </w:r>
    </w:p>
    <w:p>
      <w:pPr>
        <w:spacing w:after="0"/>
      </w:pPr>
      <w:r>
        <w:rPr>
          <w:rFonts w:ascii="Courier New" w:hAnsi="Courier New"/>
          <w:sz w:val="18"/>
        </w:rPr>
        <w:t>[Monitored by Parliament, CAG, and Ministry of Finance]</w:t>
      </w:r>
    </w:p>
    <w:p/>
    <w:p>
      <w:pPr>
        <w:pStyle w:val="Heading3"/>
        <w:spacing w:before="200" w:after="80"/>
      </w:pPr>
      <w:r>
        <w:t>Key points:</w:t>
      </w:r>
    </w:p>
    <w:p>
      <w:pPr>
        <w:pStyle w:val="ListBullet"/>
        <w:spacing w:after="40"/>
        <w:ind w:left="360"/>
      </w:pPr>
      <w:r>
        <w:rPr>
          <w:b w:val="0"/>
          <w:sz w:val="22"/>
        </w:rPr>
        <w:t xml:space="preserve">Revenue first enters the </w:t>
      </w:r>
      <w:r>
        <w:rPr>
          <w:b/>
          <w:sz w:val="22"/>
        </w:rPr>
        <w:t>Consolidated Fund of India</w:t>
      </w:r>
      <w:r>
        <w:rPr>
          <w:b w:val="0"/>
          <w:sz w:val="22"/>
        </w:rPr>
      </w:r>
    </w:p>
    <w:p>
      <w:pPr>
        <w:pStyle w:val="ListBullet"/>
        <w:spacing w:after="40"/>
        <w:ind w:left="360"/>
      </w:pPr>
      <w:r>
        <w:rPr>
          <w:b w:val="0"/>
          <w:sz w:val="22"/>
        </w:rPr>
        <w:t xml:space="preserve">From there, funds are divided into </w:t>
      </w:r>
      <w:r>
        <w:rPr>
          <w:b/>
          <w:sz w:val="22"/>
        </w:rPr>
        <w:t>mandatory</w:t>
      </w:r>
      <w:r>
        <w:rPr>
          <w:b w:val="0"/>
          <w:sz w:val="22"/>
        </w:rPr>
        <w:t xml:space="preserve"> (non-negotiable) and </w:t>
      </w:r>
      <w:r>
        <w:rPr>
          <w:b/>
          <w:sz w:val="22"/>
        </w:rPr>
        <w:t>discretionary</w:t>
      </w:r>
      <w:r>
        <w:rPr>
          <w:b w:val="0"/>
          <w:sz w:val="22"/>
        </w:rPr>
        <w:t xml:space="preserve"> (planned) expenditure</w:t>
      </w:r>
    </w:p>
    <w:p>
      <w:pPr>
        <w:pStyle w:val="ListBullet"/>
        <w:spacing w:after="40"/>
        <w:ind w:left="360"/>
      </w:pPr>
      <w:r>
        <w:rPr>
          <w:b w:val="0"/>
          <w:sz w:val="22"/>
        </w:rPr>
        <w:t>Major sectors get their individual allocations</w:t>
      </w:r>
    </w:p>
    <w:p>
      <w:pPr>
        <w:pStyle w:val="ListBullet"/>
        <w:spacing w:after="40"/>
        <w:ind w:left="360"/>
      </w:pPr>
      <w:r>
        <w:rPr>
          <w:b w:val="0"/>
          <w:sz w:val="22"/>
        </w:rPr>
        <w:t>States receive their devolution share as mandated by the Finance Commission</w:t>
      </w:r>
    </w:p>
    <w:p>
      <w:pPr>
        <w:pStyle w:val="ListBullet"/>
        <w:spacing w:after="40"/>
        <w:ind w:left="360"/>
      </w:pPr>
      <w:r>
        <w:rPr>
          <w:b w:val="0"/>
          <w:sz w:val="22"/>
        </w:rPr>
        <w:t>The actual spending is tracked and audited</w:t>
      </w:r>
    </w:p>
    <w:p>
      <w:pPr>
        <w:pBdr>
          <w:bottom w:val="single" w:sz="6" w:space="1" w:color="4472C4"/>
        </w:pBdr>
        <w:spacing w:after="120"/>
      </w:pPr>
    </w:p>
    <w:p>
      <w:pPr>
        <w:pStyle w:val="Heading1"/>
        <w:spacing w:before="200" w:after="80"/>
      </w:pPr>
      <w:r>
        <w:t>5. Benefits (Pros) of the Union Budget 2025-26</w:t>
      </w:r>
    </w:p>
    <w:p>
      <w:pPr>
        <w:pStyle w:val="Heading2"/>
        <w:spacing w:before="200" w:after="80"/>
      </w:pPr>
      <w:r>
        <w:t>For the Common Man:</w:t>
      </w:r>
    </w:p>
    <w:p>
      <w:pPr>
        <w:pStyle w:val="ListBullet"/>
        <w:spacing w:after="40"/>
        <w:ind w:left="360"/>
      </w:pPr>
      <w:r>
        <w:rPr>
          <w:b w:val="0"/>
          <w:sz w:val="22"/>
        </w:rPr>
      </w:r>
      <w:r>
        <w:rPr>
          <w:b/>
          <w:sz w:val="22"/>
        </w:rPr>
        <w:t>Zero income tax up to ₹12 lakh</w:t>
      </w:r>
      <w:r>
        <w:rPr>
          <w:b w:val="0"/>
          <w:sz w:val="22"/>
        </w:rPr>
        <w:t xml:space="preserve"> — the biggest direct benefit for the salaried middle class. People in lower-middle income brackets will have significantly more disposable income.</w:t>
      </w:r>
    </w:p>
    <w:p>
      <w:pPr>
        <w:pStyle w:val="ListBullet"/>
        <w:spacing w:after="40"/>
        <w:ind w:left="360"/>
      </w:pPr>
      <w:r>
        <w:rPr>
          <w:b w:val="0"/>
          <w:sz w:val="22"/>
        </w:rPr>
      </w:r>
      <w:r>
        <w:rPr>
          <w:b/>
          <w:sz w:val="22"/>
        </w:rPr>
        <w:t>Lower customs duty on essential goods</w:t>
      </w:r>
      <w:r>
        <w:rPr>
          <w:b w:val="0"/>
          <w:sz w:val="22"/>
        </w:rPr>
        <w:t xml:space="preserve"> — items like medicines, certain electronics, and EV components are cheaper.</w:t>
      </w:r>
    </w:p>
    <w:p>
      <w:pPr>
        <w:pStyle w:val="ListBullet"/>
        <w:spacing w:after="40"/>
        <w:ind w:left="360"/>
      </w:pPr>
      <w:r>
        <w:rPr>
          <w:b w:val="0"/>
          <w:sz w:val="22"/>
        </w:rPr>
      </w:r>
      <w:r>
        <w:rPr>
          <w:b/>
          <w:sz w:val="22"/>
        </w:rPr>
        <w:t>MSME support</w:t>
      </w:r>
      <w:r>
        <w:rPr>
          <w:b w:val="0"/>
          <w:sz w:val="22"/>
        </w:rPr>
        <w:t xml:space="preserve"> — easier loans and enhanced credit guarantees for small businesses mean more local jobs and economic activity.</w:t>
      </w:r>
    </w:p>
    <w:p>
      <w:pPr>
        <w:pStyle w:val="ListBullet"/>
        <w:spacing w:after="40"/>
        <w:ind w:left="360"/>
      </w:pPr>
      <w:r>
        <w:rPr>
          <w:b w:val="0"/>
          <w:sz w:val="22"/>
        </w:rPr>
      </w:r>
      <w:r>
        <w:rPr>
          <w:b/>
          <w:sz w:val="22"/>
        </w:rPr>
        <w:t>Kisan Credit Card limit increased</w:t>
      </w:r>
      <w:r>
        <w:rPr>
          <w:b w:val="0"/>
          <w:sz w:val="22"/>
        </w:rPr>
        <w:t xml:space="preserve"> — farmers can access higher credit amounts, easing the burden on agricultural households.</w:t>
      </w:r>
    </w:p>
    <w:p>
      <w:pPr>
        <w:pStyle w:val="ListBullet"/>
        <w:spacing w:after="40"/>
        <w:ind w:left="360"/>
      </w:pPr>
      <w:r>
        <w:rPr>
          <w:b w:val="0"/>
          <w:sz w:val="22"/>
        </w:rPr>
      </w:r>
      <w:r>
        <w:rPr>
          <w:b/>
          <w:sz w:val="22"/>
        </w:rPr>
        <w:t>Social security schemes</w:t>
      </w:r>
      <w:r>
        <w:rPr>
          <w:b w:val="0"/>
          <w:sz w:val="22"/>
        </w:rPr>
        <w:t xml:space="preserve"> like PM Jan Dhan Yojana and Direct Benefit Transfer (DBT) received continued funding, ensuring the poorest sections still receive benefits.</w:t>
      </w:r>
    </w:p>
    <w:p>
      <w:pPr>
        <w:pStyle w:val="Heading2"/>
        <w:spacing w:before="200" w:after="80"/>
      </w:pPr>
      <w:r>
        <w:t>For the Tech/IT Sector:</w:t>
      </w:r>
    </w:p>
    <w:p>
      <w:pPr>
        <w:pStyle w:val="ListBullet"/>
        <w:spacing w:after="40"/>
        <w:ind w:left="360"/>
      </w:pPr>
      <w:r>
        <w:rPr>
          <w:b w:val="0"/>
          <w:sz w:val="22"/>
        </w:rPr>
      </w:r>
      <w:r>
        <w:rPr>
          <w:b/>
          <w:sz w:val="22"/>
        </w:rPr>
        <w:t>AI Research Fund</w:t>
      </w:r>
      <w:r>
        <w:rPr>
          <w:b w:val="0"/>
          <w:sz w:val="22"/>
        </w:rPr>
        <w:t xml:space="preserve"> of ₹500 crore will fuel innovation and give Indian AI startups a boost.</w:t>
      </w:r>
    </w:p>
    <w:p>
      <w:pPr>
        <w:pStyle w:val="ListBullet"/>
        <w:spacing w:after="40"/>
        <w:ind w:left="360"/>
      </w:pPr>
      <w:r>
        <w:rPr>
          <w:b w:val="0"/>
          <w:sz w:val="22"/>
        </w:rPr>
      </w:r>
      <w:r>
        <w:rPr>
          <w:b/>
          <w:sz w:val="22"/>
        </w:rPr>
        <w:t>Semiconductor Policy push</w:t>
      </w:r>
      <w:r>
        <w:rPr>
          <w:b w:val="0"/>
          <w:sz w:val="22"/>
        </w:rPr>
        <w:t xml:space="preserve"> — as India aims to become a global chip manufacturer, more domestic opportunities will open up for hardware and embedded systems engineers.</w:t>
      </w:r>
    </w:p>
    <w:p>
      <w:pPr>
        <w:pStyle w:val="ListBullet"/>
        <w:spacing w:after="40"/>
        <w:ind w:left="360"/>
      </w:pPr>
      <w:r>
        <w:rPr>
          <w:b w:val="0"/>
          <w:sz w:val="22"/>
        </w:rPr>
      </w:r>
      <w:r>
        <w:rPr>
          <w:b/>
          <w:sz w:val="22"/>
        </w:rPr>
        <w:t>Startup-friendly environment</w:t>
      </w:r>
      <w:r>
        <w:rPr>
          <w:b w:val="0"/>
          <w:sz w:val="22"/>
        </w:rPr>
        <w:t xml:space="preserve"> — extended tax holidays and easier registration processes benefit young entrepreneurs.</w:t>
      </w:r>
    </w:p>
    <w:p>
      <w:pPr>
        <w:pStyle w:val="ListBullet"/>
        <w:spacing w:after="40"/>
        <w:ind w:left="360"/>
      </w:pPr>
      <w:r>
        <w:rPr>
          <w:b w:val="0"/>
          <w:sz w:val="22"/>
        </w:rPr>
      </w:r>
      <w:r>
        <w:rPr>
          <w:b/>
          <w:sz w:val="22"/>
        </w:rPr>
        <w:t>Cybersecurity focus</w:t>
      </w:r>
      <w:r>
        <w:rPr>
          <w:b w:val="0"/>
          <w:sz w:val="22"/>
        </w:rPr>
        <w:t xml:space="preserve"> — increased budget for cyber defence means more jobs and opportunities in this domain, which is directly relevant to students studying CSE.</w:t>
      </w:r>
    </w:p>
    <w:p>
      <w:pPr>
        <w:pStyle w:val="ListBullet"/>
        <w:spacing w:after="40"/>
        <w:ind w:left="360"/>
      </w:pPr>
      <w:r>
        <w:rPr>
          <w:b w:val="0"/>
          <w:sz w:val="22"/>
        </w:rPr>
      </w:r>
      <w:r>
        <w:rPr>
          <w:b/>
          <w:sz w:val="22"/>
        </w:rPr>
        <w:t>Digital Public Infrastructure expansion</w:t>
      </w:r>
      <w:r>
        <w:rPr>
          <w:b w:val="0"/>
          <w:sz w:val="22"/>
        </w:rPr>
        <w:t xml:space="preserve"> — more digital services mean higher demand for developers, security professionals, and IT support.</w:t>
      </w:r>
    </w:p>
    <w:p>
      <w:pPr>
        <w:pStyle w:val="ListBullet"/>
        <w:spacing w:after="40"/>
        <w:ind w:left="360"/>
      </w:pPr>
      <w:r>
        <w:rPr>
          <w:b w:val="0"/>
          <w:sz w:val="22"/>
        </w:rPr>
      </w:r>
      <w:r>
        <w:rPr>
          <w:b/>
          <w:sz w:val="22"/>
        </w:rPr>
        <w:t>PLI scheme for electronics</w:t>
      </w:r>
      <w:r>
        <w:rPr>
          <w:b w:val="0"/>
          <w:sz w:val="22"/>
        </w:rPr>
        <w:t xml:space="preserve"> — more manufacturing units mean more tech jobs across the country.</w:t>
      </w:r>
    </w:p>
    <w:p>
      <w:pPr>
        <w:pBdr>
          <w:bottom w:val="single" w:sz="6" w:space="1" w:color="4472C4"/>
        </w:pBdr>
        <w:spacing w:after="120"/>
      </w:pPr>
    </w:p>
    <w:p>
      <w:pPr>
        <w:pStyle w:val="Heading1"/>
        <w:spacing w:before="200" w:after="80"/>
      </w:pPr>
      <w:r>
        <w:t>6. Negative Impacts (Cons) of the Union Budget 2025-26</w:t>
      </w:r>
    </w:p>
    <w:p>
      <w:pPr>
        <w:pStyle w:val="Heading2"/>
        <w:spacing w:before="200" w:after="80"/>
      </w:pPr>
      <w:r>
        <w:t>Potential Challenges:</w:t>
      </w:r>
    </w:p>
    <w:p>
      <w:pPr>
        <w:pStyle w:val="ListBullet"/>
        <w:spacing w:after="40"/>
        <w:ind w:left="360"/>
      </w:pPr>
      <w:r>
        <w:rPr>
          <w:b w:val="0"/>
          <w:sz w:val="22"/>
        </w:rPr>
      </w:r>
      <w:r>
        <w:rPr>
          <w:b/>
          <w:sz w:val="22"/>
        </w:rPr>
        <w:t>High fiscal borrowing</w:t>
      </w:r>
      <w:r>
        <w:rPr>
          <w:b w:val="0"/>
          <w:sz w:val="22"/>
        </w:rPr>
        <w:t xml:space="preserve"> — the government is borrowing heavily to fund expenditure. While the fiscal deficit is being reduced, the absolute borrowing number is still large, which could lead to </w:t>
      </w:r>
      <w:r>
        <w:rPr>
          <w:b/>
          <w:sz w:val="22"/>
        </w:rPr>
        <w:t>inflationary pressures</w:t>
      </w:r>
      <w:r>
        <w:rPr>
          <w:b w:val="0"/>
          <w:sz w:val="22"/>
        </w:rPr>
        <w:t xml:space="preserve"> over time.</w:t>
      </w:r>
    </w:p>
    <w:p>
      <w:pPr>
        <w:pStyle w:val="ListBullet"/>
        <w:spacing w:after="40"/>
        <w:ind w:left="360"/>
      </w:pPr>
      <w:r>
        <w:rPr>
          <w:b w:val="0"/>
          <w:sz w:val="22"/>
        </w:rPr>
      </w:r>
      <w:r>
        <w:rPr>
          <w:b/>
          <w:sz w:val="22"/>
        </w:rPr>
        <w:t>Subsidy reduction risk</w:t>
      </w:r>
      <w:r>
        <w:rPr>
          <w:b w:val="0"/>
          <w:sz w:val="22"/>
        </w:rPr>
        <w:t xml:space="preserve"> — slight cuts in food and fertiliser subsidies may seem small on paper but can have a significant impact on </w:t>
      </w:r>
      <w:r>
        <w:rPr>
          <w:b/>
          <w:sz w:val="22"/>
        </w:rPr>
        <w:t>low-income rural households</w:t>
      </w:r>
      <w:r>
        <w:rPr>
          <w:b w:val="0"/>
          <w:sz w:val="22"/>
        </w:rPr>
        <w:t xml:space="preserve"> who depend heavily on these.</w:t>
      </w:r>
    </w:p>
    <w:p>
      <w:pPr>
        <w:pStyle w:val="ListBullet"/>
        <w:spacing w:after="40"/>
        <w:ind w:left="360"/>
      </w:pPr>
      <w:r>
        <w:rPr>
          <w:b w:val="0"/>
          <w:sz w:val="22"/>
        </w:rPr>
      </w:r>
      <w:r>
        <w:rPr>
          <w:b/>
          <w:sz w:val="22"/>
        </w:rPr>
        <w:t>Railway funding reduced</w:t>
      </w:r>
      <w:r>
        <w:rPr>
          <w:b w:val="0"/>
          <w:sz w:val="22"/>
        </w:rPr>
        <w:t xml:space="preserve"> — given the growing passenger demand and safety issues in Indian Railways, a slight dip in allocation could slow down important safety and modernisation projects.</w:t>
      </w:r>
    </w:p>
    <w:p>
      <w:pPr>
        <w:pStyle w:val="ListBullet"/>
        <w:spacing w:after="40"/>
        <w:ind w:left="360"/>
      </w:pPr>
      <w:r>
        <w:rPr>
          <w:b w:val="0"/>
          <w:sz w:val="22"/>
        </w:rPr>
      </w:r>
      <w:r>
        <w:rPr>
          <w:b/>
          <w:sz w:val="22"/>
        </w:rPr>
        <w:t>Health sector still under-funded</w:t>
      </w:r>
      <w:r>
        <w:rPr>
          <w:b w:val="0"/>
          <w:sz w:val="22"/>
        </w:rPr>
        <w:t xml:space="preserve"> — India ideally needs to spend 2.5% of GDP on health (per National Health Policy), but actual spending remains well below that.</w:t>
      </w:r>
    </w:p>
    <w:p>
      <w:pPr>
        <w:pStyle w:val="ListBullet"/>
        <w:spacing w:after="40"/>
        <w:ind w:left="360"/>
      </w:pPr>
      <w:r>
        <w:rPr>
          <w:b w:val="0"/>
          <w:sz w:val="22"/>
        </w:rPr>
      </w:r>
      <w:r>
        <w:rPr>
          <w:b/>
          <w:sz w:val="22"/>
        </w:rPr>
        <w:t>Education quality vs. quantity</w:t>
      </w:r>
      <w:r>
        <w:rPr>
          <w:b w:val="0"/>
          <w:sz w:val="22"/>
        </w:rPr>
        <w:t xml:space="preserve"> — while the number of Atal Tinkering Labs and schemes sounds impressive, experts have pointed out that </w:t>
      </w:r>
      <w:r>
        <w:rPr>
          <w:b/>
          <w:sz w:val="22"/>
        </w:rPr>
        <w:t>implementation quality</w:t>
      </w:r>
      <w:r>
        <w:rPr>
          <w:b w:val="0"/>
          <w:sz w:val="22"/>
        </w:rPr>
        <w:t xml:space="preserve"> and teacher training remain weak links in the system.</w:t>
      </w:r>
    </w:p>
    <w:p>
      <w:pPr>
        <w:pStyle w:val="ListBullet"/>
        <w:spacing w:after="40"/>
        <w:ind w:left="360"/>
      </w:pPr>
      <w:r>
        <w:rPr>
          <w:b w:val="0"/>
          <w:sz w:val="22"/>
        </w:rPr>
      </w:r>
      <w:r>
        <w:rPr>
          <w:b/>
          <w:sz w:val="22"/>
        </w:rPr>
        <w:t>Middle-class vs. lower class</w:t>
      </w:r>
      <w:r>
        <w:rPr>
          <w:b w:val="0"/>
          <w:sz w:val="22"/>
        </w:rPr>
        <w:t xml:space="preserve"> — while the income tax relief is a big win for salaried employees, it doesn't directly benefit daily wage workers, informal sector workers, or rural labourers who don't pay income tax but face rising costs of living.</w:t>
      </w:r>
    </w:p>
    <w:p>
      <w:pPr>
        <w:pStyle w:val="ListBullet"/>
        <w:spacing w:after="40"/>
        <w:ind w:left="360"/>
      </w:pPr>
      <w:r>
        <w:rPr>
          <w:b w:val="0"/>
          <w:sz w:val="22"/>
        </w:rPr>
      </w:r>
      <w:r>
        <w:rPr>
          <w:b/>
          <w:sz w:val="22"/>
        </w:rPr>
        <w:t>Environmental concerns</w:t>
      </w:r>
      <w:r>
        <w:rPr>
          <w:b w:val="0"/>
          <w:sz w:val="22"/>
        </w:rPr>
        <w:t xml:space="preserve"> — despite the green energy push, funding for pollution control, waste management, and urban sustainability was not as prominent as expected.</w:t>
      </w:r>
    </w:p>
    <w:p>
      <w:pPr>
        <w:pStyle w:val="ListBullet"/>
        <w:spacing w:after="40"/>
        <w:ind w:left="360"/>
      </w:pPr>
      <w:r>
        <w:rPr>
          <w:b w:val="0"/>
          <w:sz w:val="22"/>
        </w:rPr>
      </w:r>
      <w:r>
        <w:rPr>
          <w:b/>
          <w:sz w:val="22"/>
        </w:rPr>
        <w:t>Defence vs. development trade-off</w:t>
      </w:r>
      <w:r>
        <w:rPr>
          <w:b w:val="0"/>
          <w:sz w:val="22"/>
        </w:rPr>
        <w:t xml:space="preserve"> — the large defence allocation, while necessary, means fewer resources for social welfare in an already resource-constrained budget.</w:t>
      </w:r>
    </w:p>
    <w:p>
      <w:pPr>
        <w:pBdr>
          <w:bottom w:val="single" w:sz="6" w:space="1" w:color="4472C4"/>
        </w:pBdr>
        <w:spacing w:after="120"/>
      </w:pPr>
    </w:p>
    <w:p>
      <w:pPr>
        <w:pStyle w:val="Heading1"/>
        <w:spacing w:before="200" w:after="80"/>
      </w:pPr>
      <w:r>
        <w:t>7. Conclusion</w:t>
      </w:r>
    </w:p>
    <w:p>
      <w:pPr>
        <w:spacing w:after="80"/>
      </w:pPr>
      <w:r>
        <w:rPr>
          <w:sz w:val="22"/>
        </w:rPr>
        <w:t>The Union Budget 2025-26 is, in many ways, an ambitious and thoughtful document that tries to balance growth, welfare, and fiscal responsibility. The headline announcement of **zero income tax up to ₹12 lakh** has understandably generated a lot of public enthusiasm and will genuinely benefit millions of salaried individuals.</w:t>
      </w:r>
    </w:p>
    <w:p>
      <w:pPr>
        <w:spacing w:after="80"/>
      </w:pPr>
      <w:r>
        <w:rPr>
          <w:sz w:val="22"/>
        </w:rPr>
        <w:t>From a student's perspective, especially someone from a technical background, the budget feels fairly encouraging. The increased focus on AI, cybersecurity, semiconductor manufacturing, and digital infrastructure points to a future where there will be **more opportunities in the tech sector** than ever before. The investment in Atal Tinkering Labs and skilling programmes also shows that the government is at least thinking about preparing the next generation for real-world challenges.</w:t>
      </w:r>
    </w:p>
    <w:p>
      <w:pPr>
        <w:spacing w:after="80"/>
      </w:pPr>
      <w:r>
        <w:rPr>
          <w:sz w:val="22"/>
        </w:rPr>
        <w:t>However, every budget comes with its trade-offs. The reduction in railway safety budgets, the still-low health spending, and the incomplete focus on rural welfare are areas where the government could have done better. The large-scale borrowing, if not managed carefully, could create long-term economic challenges.</w:t>
      </w:r>
    </w:p>
    <w:p>
      <w:pPr>
        <w:spacing w:after="80"/>
      </w:pPr>
      <w:r>
        <w:rPr>
          <w:sz w:val="22"/>
        </w:rPr>
        <w:t>Overall, the 2025-26 Union Budget appears to be a **forward-looking, growth-oriented document** that prioritises the middle class and technology-driven development. Whether it truly delivers on its promises will depend on how effectively the government implements its schemes — and that, as we have often seen in the past, is the harder part.</w:t>
      </w:r>
    </w:p>
    <w:p>
      <w:pPr>
        <w:spacing w:after="80"/>
      </w:pPr>
      <w:r>
        <w:rPr>
          <w:sz w:val="22"/>
        </w:rPr>
        <w:t>As a country aiming to become the **world's third-largest economy by 2030**, the steps taken in this budget lay a reasonable foundation. But sustained effort, good governance, and transparent implementation will be the real keys to success.</w:t>
      </w:r>
    </w:p>
    <w:p>
      <w:pPr>
        <w:pBdr>
          <w:bottom w:val="single" w:sz="6" w:space="1" w:color="4472C4"/>
        </w:pBdr>
        <w:spacing w:after="120"/>
      </w:pPr>
    </w:p>
    <w:p>
      <w:pPr>
        <w:jc w:val="center"/>
      </w:pPr>
      <w:r>
        <w:rPr>
          <w:i/>
          <w:color w:val="505050"/>
          <w:sz w:val="20"/>
        </w:rPr>
        <w:t>Report prepared by: Prajwal Sharma  |  Roll No: 24303301  |  CSE D  |  Subject: ETC</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