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ECFDAD">
      <w:pPr>
        <w:spacing w:before="200" w:after="60"/>
        <w:jc w:val="left"/>
      </w:pPr>
      <w:r>
        <w:rPr>
          <w:rFonts w:ascii="Arial" w:hAnsi="Arial" w:eastAsia="Arial" w:cs="Arial"/>
          <w:b/>
          <w:bCs/>
          <w:color w:val="1E3A5F"/>
          <w:sz w:val="36"/>
          <w:szCs w:val="36"/>
        </w:rPr>
        <w:t>CONSUMER DUTY RISK BRIEFING</w:t>
      </w:r>
    </w:p>
    <w:p w14:paraId="1459340A">
      <w:pPr>
        <w:spacing w:before="0" w:after="160"/>
      </w:pPr>
      <w:r>
        <w:rPr>
          <w:rFonts w:ascii="Arial" w:hAnsi="Arial" w:eastAsia="Arial" w:cs="Arial"/>
          <w:i/>
          <w:iCs/>
          <w:color w:val="2E5F9F"/>
          <w:sz w:val="24"/>
          <w:szCs w:val="24"/>
        </w:rPr>
        <w:t xml:space="preserve">UK Financial Services Complaints Intelligence </w:t>
      </w:r>
      <w:r>
        <w:rPr>
          <w:rFonts w:hint="default" w:cs="Arial"/>
          <w:i/>
          <w:iCs/>
          <w:color w:val="2E5F9F"/>
          <w:sz w:val="24"/>
          <w:szCs w:val="24"/>
          <w:lang w:val="en-US"/>
        </w:rPr>
        <w:t>-</w:t>
      </w:r>
      <w:r>
        <w:rPr>
          <w:rFonts w:ascii="Arial" w:hAnsi="Arial" w:eastAsia="Arial" w:cs="Arial"/>
          <w:i/>
          <w:iCs/>
          <w:color w:val="2E5F9F"/>
          <w:sz w:val="24"/>
          <w:szCs w:val="24"/>
        </w:rPr>
        <w:t xml:space="preserve"> 2022 to 2024</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00"/>
        <w:gridCol w:w="2546"/>
      </w:tblGrid>
      <w:tr w14:paraId="5A9D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nil"/>
              <w:left w:val="nil"/>
              <w:bottom w:val="nil"/>
              <w:right w:val="nil"/>
            </w:tcBorders>
            <w:shd w:val="clear" w:color="auto" w:fill="EFF6FF"/>
            <w:tcMar>
              <w:top w:w="100" w:type="dxa"/>
              <w:left w:w="140" w:type="dxa"/>
              <w:bottom w:w="100" w:type="dxa"/>
              <w:right w:w="140" w:type="dxa"/>
            </w:tcMar>
          </w:tcPr>
          <w:p w14:paraId="4521FBA4">
            <w:r>
              <w:rPr>
                <w:rFonts w:ascii="Arial" w:hAnsi="Arial" w:eastAsia="Arial" w:cs="Arial"/>
                <w:b/>
                <w:bCs/>
                <w:caps/>
                <w:color w:val="1E3A5F"/>
                <w:sz w:val="16"/>
                <w:szCs w:val="16"/>
              </w:rPr>
              <w:t>PREPARED BY</w:t>
            </w:r>
          </w:p>
          <w:p w14:paraId="06A0C235">
            <w:r>
              <w:rPr>
                <w:rFonts w:ascii="Arial" w:hAnsi="Arial" w:eastAsia="Arial" w:cs="Arial"/>
                <w:color w:val="1E293B"/>
                <w:sz w:val="19"/>
                <w:szCs w:val="19"/>
              </w:rPr>
              <w:t>Prajwal Lawankar</w:t>
            </w:r>
          </w:p>
        </w:tc>
        <w:tc>
          <w:tcPr>
            <w:tcW w:w="2400" w:type="dxa"/>
            <w:tcBorders>
              <w:top w:val="nil"/>
              <w:left w:val="nil"/>
              <w:bottom w:val="nil"/>
              <w:right w:val="nil"/>
            </w:tcBorders>
            <w:shd w:val="clear" w:color="auto" w:fill="EFF6FF"/>
            <w:tcMar>
              <w:top w:w="100" w:type="dxa"/>
              <w:left w:w="140" w:type="dxa"/>
              <w:bottom w:w="100" w:type="dxa"/>
              <w:right w:w="140" w:type="dxa"/>
            </w:tcMar>
          </w:tcPr>
          <w:p w14:paraId="20E9049B">
            <w:r>
              <w:rPr>
                <w:rFonts w:ascii="Arial" w:hAnsi="Arial" w:eastAsia="Arial" w:cs="Arial"/>
                <w:b/>
                <w:bCs/>
                <w:caps/>
                <w:color w:val="1E3A5F"/>
                <w:sz w:val="16"/>
                <w:szCs w:val="16"/>
              </w:rPr>
              <w:t>DATA SOURCE</w:t>
            </w:r>
          </w:p>
          <w:p w14:paraId="0E582437">
            <w:r>
              <w:rPr>
                <w:rFonts w:ascii="Arial" w:hAnsi="Arial" w:eastAsia="Arial" w:cs="Arial"/>
                <w:color w:val="1E293B"/>
                <w:sz w:val="19"/>
                <w:szCs w:val="19"/>
              </w:rPr>
              <w:t>FCA Published Firm-Level Data</w:t>
            </w:r>
          </w:p>
        </w:tc>
        <w:tc>
          <w:tcPr>
            <w:tcW w:w="2400" w:type="dxa"/>
            <w:tcBorders>
              <w:top w:val="nil"/>
              <w:left w:val="nil"/>
              <w:bottom w:val="nil"/>
              <w:right w:val="nil"/>
            </w:tcBorders>
            <w:shd w:val="clear" w:color="auto" w:fill="EFF6FF"/>
            <w:tcMar>
              <w:top w:w="100" w:type="dxa"/>
              <w:left w:w="140" w:type="dxa"/>
              <w:bottom w:w="100" w:type="dxa"/>
              <w:right w:w="140" w:type="dxa"/>
            </w:tcMar>
          </w:tcPr>
          <w:p w14:paraId="070C3AB5">
            <w:r>
              <w:rPr>
                <w:rFonts w:ascii="Arial" w:hAnsi="Arial" w:eastAsia="Arial" w:cs="Arial"/>
                <w:b/>
                <w:bCs/>
                <w:caps/>
                <w:color w:val="1E3A5F"/>
                <w:sz w:val="16"/>
                <w:szCs w:val="16"/>
              </w:rPr>
              <w:t>PERIOD COVERED</w:t>
            </w:r>
          </w:p>
          <w:p w14:paraId="6D666247">
            <w:r>
              <w:rPr>
                <w:rFonts w:ascii="Arial" w:hAnsi="Arial" w:eastAsia="Arial" w:cs="Arial"/>
                <w:color w:val="1E293B"/>
                <w:sz w:val="19"/>
                <w:szCs w:val="19"/>
              </w:rPr>
              <w:t>H1 2022 – H1 2024 (5 periods)</w:t>
            </w:r>
          </w:p>
        </w:tc>
        <w:tc>
          <w:tcPr>
            <w:tcW w:w="2546" w:type="dxa"/>
            <w:tcBorders>
              <w:top w:val="nil"/>
              <w:left w:val="nil"/>
              <w:bottom w:val="nil"/>
              <w:right w:val="nil"/>
            </w:tcBorders>
            <w:shd w:val="clear" w:color="auto" w:fill="EFF6FF"/>
            <w:tcMar>
              <w:top w:w="100" w:type="dxa"/>
              <w:left w:w="140" w:type="dxa"/>
              <w:bottom w:w="100" w:type="dxa"/>
              <w:right w:w="140" w:type="dxa"/>
            </w:tcMar>
          </w:tcPr>
          <w:p w14:paraId="5F0C40BF">
            <w:r>
              <w:rPr>
                <w:rFonts w:ascii="Arial" w:hAnsi="Arial" w:eastAsia="Arial" w:cs="Arial"/>
                <w:b/>
                <w:bCs/>
                <w:caps/>
                <w:color w:val="1E3A5F"/>
                <w:sz w:val="16"/>
                <w:szCs w:val="16"/>
              </w:rPr>
              <w:t>CLASSIFICATION</w:t>
            </w:r>
          </w:p>
          <w:p w14:paraId="46DF96C4">
            <w:r>
              <w:rPr>
                <w:rFonts w:ascii="Arial" w:hAnsi="Arial" w:eastAsia="Arial" w:cs="Arial"/>
                <w:color w:val="1E293B"/>
                <w:sz w:val="19"/>
                <w:szCs w:val="19"/>
              </w:rPr>
              <w:t>Internal Use Only</w:t>
            </w:r>
          </w:p>
        </w:tc>
      </w:tr>
    </w:tbl>
    <w:p w14:paraId="2ECDB064">
      <w:pPr>
        <w:spacing w:before="200" w:after="200"/>
      </w:pPr>
    </w:p>
    <w:p w14:paraId="3FF77254">
      <w:pPr>
        <w:pBdr>
          <w:bottom w:val="single" w:color="1E3A5F" w:sz="4" w:space="4"/>
        </w:pBdr>
        <w:spacing w:before="240" w:after="100"/>
      </w:pPr>
      <w:r>
        <w:rPr>
          <w:rFonts w:ascii="Arial" w:hAnsi="Arial" w:eastAsia="Arial" w:cs="Arial"/>
          <w:b/>
          <w:bCs/>
          <w:caps/>
          <w:color w:val="1E3A5F"/>
          <w:sz w:val="22"/>
          <w:szCs w:val="22"/>
        </w:rPr>
        <w:t>Executive Summary</w:t>
      </w:r>
    </w:p>
    <w:p w14:paraId="38A9A38D">
      <w:pPr>
        <w:spacing w:before="80" w:after="80"/>
      </w:pPr>
    </w:p>
    <w:p w14:paraId="57913F44">
      <w:pPr>
        <w:spacing w:before="80" w:after="80"/>
        <w:jc w:val="both"/>
      </w:pPr>
      <w:r>
        <w:rPr>
          <w:rFonts w:ascii="Arial" w:hAnsi="Arial" w:eastAsia="Arial" w:cs="Arial"/>
          <w:b w:val="0"/>
          <w:bCs w:val="0"/>
          <w:i w:val="0"/>
          <w:iCs w:val="0"/>
          <w:color w:val="1E293B"/>
          <w:sz w:val="20"/>
          <w:szCs w:val="20"/>
        </w:rPr>
        <w:t>This briefing summarises findings from an independent analysis of FCA-published firm-level complaints data spanning five reporting periods from H1 2022 to H1 2024. The analysis covers 283 regulated firms and over 6.9 million individual complaint records across five product categories.</w:t>
      </w:r>
    </w:p>
    <w:p w14:paraId="69E25C4A">
      <w:pPr>
        <w:spacing w:before="80" w:after="80"/>
        <w:jc w:val="both"/>
      </w:pPr>
      <w:r>
        <w:rPr>
          <w:rFonts w:ascii="Arial" w:hAnsi="Arial" w:eastAsia="Arial" w:cs="Arial"/>
          <w:b w:val="0"/>
          <w:bCs w:val="0"/>
          <w:i w:val="0"/>
          <w:iCs w:val="0"/>
          <w:color w:val="1E293B"/>
          <w:sz w:val="20"/>
          <w:szCs w:val="20"/>
        </w:rPr>
        <w:t xml:space="preserve">Consumer Duty came into force on 31 July 2023, requiring firms to demonstrate good outcomes for retail customers. Complaints data is the primary publicly available signal of whether firms are meeting this requirement. This analysis applies a composite Consumer Duty Risk Index to identify firms </w:t>
      </w:r>
      <w:r>
        <w:rPr>
          <w:rFonts w:cs="Arial"/>
          <w:b w:val="0"/>
          <w:bCs w:val="0"/>
          <w:i w:val="0"/>
          <w:iCs w:val="0"/>
          <w:color w:val="1E293B"/>
          <w:sz w:val="20"/>
          <w:szCs w:val="20"/>
          <w:lang w:val="en-US"/>
        </w:rPr>
        <w:t xml:space="preserve">that warrant </w:t>
      </w:r>
      <w:r>
        <w:rPr>
          <w:rFonts w:ascii="Arial" w:hAnsi="Arial" w:eastAsia="Arial" w:cs="Arial"/>
          <w:b w:val="0"/>
          <w:bCs w:val="0"/>
          <w:i w:val="0"/>
          <w:iCs w:val="0"/>
          <w:color w:val="1E293B"/>
          <w:sz w:val="20"/>
          <w:szCs w:val="20"/>
        </w:rPr>
        <w:t>supervisory attention.</w:t>
      </w:r>
    </w:p>
    <w:p w14:paraId="70F7FEBE">
      <w:pPr>
        <w:spacing w:before="100" w:after="100"/>
      </w:pP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6"/>
        <w:gridCol w:w="2436"/>
        <w:gridCol w:w="2437"/>
        <w:gridCol w:w="2437"/>
      </w:tblGrid>
      <w:tr w14:paraId="35B7D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36" w:type="dxa"/>
            <w:tcBorders>
              <w:top w:val="single" w:color="E2E8F0" w:sz="0" w:space="0"/>
              <w:left w:val="single" w:color="E2E8F0" w:sz="0" w:space="0"/>
              <w:bottom w:val="single" w:color="E2E8F0" w:sz="0" w:space="0"/>
              <w:right w:val="single" w:color="E2E8F0" w:sz="0" w:space="0"/>
            </w:tcBorders>
            <w:shd w:val="clear" w:color="auto" w:fill="1E3A5F"/>
            <w:tcMar>
              <w:top w:w="160" w:type="dxa"/>
              <w:left w:w="140" w:type="dxa"/>
              <w:bottom w:w="160" w:type="dxa"/>
              <w:right w:w="140" w:type="dxa"/>
            </w:tcMar>
            <w:vAlign w:val="center"/>
          </w:tcPr>
          <w:p w14:paraId="28F10531">
            <w:pPr>
              <w:spacing w:before="40" w:after="40"/>
              <w:jc w:val="center"/>
            </w:pPr>
            <w:r>
              <w:rPr>
                <w:rFonts w:ascii="Arial" w:hAnsi="Arial" w:eastAsia="Arial" w:cs="Arial"/>
                <w:b/>
                <w:bCs/>
                <w:color w:val="FFFFFF"/>
                <w:sz w:val="40"/>
                <w:szCs w:val="40"/>
              </w:rPr>
              <w:t>283</w:t>
            </w:r>
          </w:p>
          <w:p w14:paraId="342DF9ED">
            <w:pPr>
              <w:jc w:val="center"/>
            </w:pPr>
            <w:r>
              <w:rPr>
                <w:rFonts w:ascii="Arial" w:hAnsi="Arial" w:eastAsia="Arial" w:cs="Arial"/>
                <w:color w:val="CBD5E1"/>
                <w:sz w:val="16"/>
                <w:szCs w:val="16"/>
              </w:rPr>
              <w:t>Regulated Firms Analysed</w:t>
            </w:r>
          </w:p>
        </w:tc>
        <w:tc>
          <w:tcPr>
            <w:tcW w:w="2436" w:type="dxa"/>
            <w:tcBorders>
              <w:top w:val="single" w:color="E2E8F0" w:sz="0" w:space="0"/>
              <w:left w:val="single" w:color="E2E8F0" w:sz="0" w:space="0"/>
              <w:bottom w:val="single" w:color="E2E8F0" w:sz="0" w:space="0"/>
              <w:right w:val="single" w:color="E2E8F0" w:sz="0" w:space="0"/>
            </w:tcBorders>
            <w:shd w:val="clear" w:color="auto" w:fill="1E3A5F"/>
            <w:tcMar>
              <w:top w:w="160" w:type="dxa"/>
              <w:left w:w="140" w:type="dxa"/>
              <w:bottom w:w="160" w:type="dxa"/>
              <w:right w:w="140" w:type="dxa"/>
            </w:tcMar>
            <w:vAlign w:val="center"/>
          </w:tcPr>
          <w:p w14:paraId="3239B937">
            <w:pPr>
              <w:spacing w:before="40" w:after="40"/>
              <w:jc w:val="center"/>
            </w:pPr>
            <w:r>
              <w:rPr>
                <w:rFonts w:ascii="Arial" w:hAnsi="Arial" w:eastAsia="Arial" w:cs="Arial"/>
                <w:b/>
                <w:bCs/>
                <w:color w:val="FFFFFF"/>
                <w:sz w:val="40"/>
                <w:szCs w:val="40"/>
              </w:rPr>
              <w:t>6.9M+</w:t>
            </w:r>
          </w:p>
          <w:p w14:paraId="1794B292">
            <w:pPr>
              <w:jc w:val="center"/>
            </w:pPr>
            <w:r>
              <w:rPr>
                <w:rFonts w:ascii="Arial" w:hAnsi="Arial" w:eastAsia="Arial" w:cs="Arial"/>
                <w:color w:val="CBD5E1"/>
                <w:sz w:val="16"/>
                <w:szCs w:val="16"/>
              </w:rPr>
              <w:t>Complaints in Dataset</w:t>
            </w:r>
          </w:p>
        </w:tc>
        <w:tc>
          <w:tcPr>
            <w:tcW w:w="2436" w:type="dxa"/>
            <w:tcBorders>
              <w:top w:val="single" w:color="E2E8F0" w:sz="0" w:space="0"/>
              <w:left w:val="single" w:color="E2E8F0" w:sz="0" w:space="0"/>
              <w:bottom w:val="single" w:color="E2E8F0" w:sz="0" w:space="0"/>
              <w:right w:val="single" w:color="E2E8F0" w:sz="0" w:space="0"/>
            </w:tcBorders>
            <w:shd w:val="clear" w:color="auto" w:fill="1E3A5F"/>
            <w:tcMar>
              <w:top w:w="160" w:type="dxa"/>
              <w:left w:w="140" w:type="dxa"/>
              <w:bottom w:w="160" w:type="dxa"/>
              <w:right w:w="140" w:type="dxa"/>
            </w:tcMar>
            <w:vAlign w:val="center"/>
          </w:tcPr>
          <w:p w14:paraId="7D80D3FC">
            <w:pPr>
              <w:spacing w:before="40" w:after="40"/>
              <w:jc w:val="center"/>
            </w:pPr>
            <w:r>
              <w:rPr>
                <w:rFonts w:ascii="Arial" w:hAnsi="Arial" w:eastAsia="Arial" w:cs="Arial"/>
                <w:b/>
                <w:bCs/>
                <w:color w:val="FFFFFF"/>
                <w:sz w:val="40"/>
                <w:szCs w:val="40"/>
              </w:rPr>
              <w:t>17</w:t>
            </w:r>
          </w:p>
          <w:p w14:paraId="2397FC09">
            <w:pPr>
              <w:jc w:val="center"/>
            </w:pPr>
            <w:r>
              <w:rPr>
                <w:rFonts w:ascii="Arial" w:hAnsi="Arial" w:eastAsia="Arial" w:cs="Arial"/>
                <w:color w:val="CBD5E1"/>
                <w:sz w:val="16"/>
                <w:szCs w:val="16"/>
              </w:rPr>
              <w:t>Danger Quadrant Firms</w:t>
            </w:r>
          </w:p>
        </w:tc>
        <w:tc>
          <w:tcPr>
            <w:tcW w:w="2436" w:type="dxa"/>
            <w:tcBorders>
              <w:top w:val="single" w:color="E2E8F0" w:sz="0" w:space="0"/>
              <w:left w:val="single" w:color="E2E8F0" w:sz="0" w:space="0"/>
              <w:bottom w:val="single" w:color="E2E8F0" w:sz="0" w:space="0"/>
              <w:right w:val="single" w:color="E2E8F0" w:sz="0" w:space="0"/>
            </w:tcBorders>
            <w:shd w:val="clear" w:color="auto" w:fill="1E3A5F"/>
            <w:tcMar>
              <w:top w:w="160" w:type="dxa"/>
              <w:left w:w="140" w:type="dxa"/>
              <w:bottom w:w="160" w:type="dxa"/>
              <w:right w:w="140" w:type="dxa"/>
            </w:tcMar>
            <w:vAlign w:val="center"/>
          </w:tcPr>
          <w:p w14:paraId="7809B180">
            <w:pPr>
              <w:spacing w:before="40" w:after="40"/>
              <w:jc w:val="center"/>
            </w:pPr>
            <w:r>
              <w:rPr>
                <w:rFonts w:ascii="Arial" w:hAnsi="Arial" w:eastAsia="Arial" w:cs="Arial"/>
                <w:b/>
                <w:bCs/>
                <w:color w:val="FFFFFF"/>
                <w:sz w:val="40"/>
                <w:szCs w:val="40"/>
              </w:rPr>
              <w:t>5 of 7</w:t>
            </w:r>
          </w:p>
          <w:p w14:paraId="46538CED">
            <w:pPr>
              <w:jc w:val="center"/>
            </w:pPr>
            <w:r>
              <w:rPr>
                <w:rFonts w:ascii="Arial" w:hAnsi="Arial" w:eastAsia="Arial" w:cs="Arial"/>
                <w:color w:val="CBD5E1"/>
                <w:sz w:val="16"/>
                <w:szCs w:val="16"/>
              </w:rPr>
              <w:t>Sectors Improved Post-Duty</w:t>
            </w:r>
          </w:p>
        </w:tc>
      </w:tr>
    </w:tbl>
    <w:p w14:paraId="0C4EFC78">
      <w:pPr>
        <w:spacing w:before="200" w:after="200"/>
      </w:pPr>
    </w:p>
    <w:p w14:paraId="02C0B222">
      <w:pPr>
        <w:pBdr>
          <w:bottom w:val="single" w:color="1E3A5F" w:sz="4" w:space="4"/>
        </w:pBdr>
        <w:spacing w:before="240" w:after="100"/>
      </w:pPr>
      <w:r>
        <w:rPr>
          <w:rFonts w:ascii="Arial" w:hAnsi="Arial" w:eastAsia="Arial" w:cs="Arial"/>
          <w:b/>
          <w:bCs/>
          <w:caps/>
          <w:color w:val="1E3A5F"/>
          <w:sz w:val="22"/>
          <w:szCs w:val="22"/>
        </w:rPr>
        <w:t>Regulatory Context</w:t>
      </w:r>
    </w:p>
    <w:p w14:paraId="14F93D2E">
      <w:pPr>
        <w:spacing w:before="80" w:after="80"/>
      </w:pPr>
    </w:p>
    <w:p w14:paraId="74D67E6F">
      <w:pPr>
        <w:spacing w:before="80" w:after="80"/>
        <w:jc w:val="both"/>
      </w:pPr>
      <w:r>
        <w:rPr>
          <w:rFonts w:ascii="Arial" w:hAnsi="Arial" w:eastAsia="Arial" w:cs="Arial"/>
          <w:b w:val="0"/>
          <w:bCs w:val="0"/>
          <w:i w:val="0"/>
          <w:iCs w:val="0"/>
          <w:color w:val="1E293B"/>
          <w:sz w:val="20"/>
          <w:szCs w:val="20"/>
        </w:rPr>
        <w:t>The FCA’s Consumer Duty represents the most significant regulatory shift in UK retail financial services in over a decade. It places a positive obligation on firms to deliver good outcomes across four areas: products and services, price and value, consumer understanding, and consumer support.</w:t>
      </w:r>
    </w:p>
    <w:p w14:paraId="2DF2A18E">
      <w:pPr>
        <w:spacing w:before="80" w:after="80"/>
        <w:jc w:val="both"/>
      </w:pPr>
      <w:r>
        <w:rPr>
          <w:rFonts w:ascii="Arial" w:hAnsi="Arial" w:eastAsia="Arial" w:cs="Arial"/>
          <w:b w:val="0"/>
          <w:bCs w:val="0"/>
          <w:i w:val="0"/>
          <w:iCs w:val="0"/>
          <w:color w:val="1E293B"/>
          <w:sz w:val="20"/>
          <w:szCs w:val="20"/>
        </w:rPr>
        <w:t xml:space="preserve">Complaints data is explicitly referenced in FCA guidance as a primary metric for assessing compliance. A persistently high uphold rate </w:t>
      </w:r>
      <w:r>
        <w:rPr>
          <w:rFonts w:hint="default" w:cs="Arial"/>
          <w:b w:val="0"/>
          <w:bCs w:val="0"/>
          <w:i w:val="0"/>
          <w:iCs w:val="0"/>
          <w:color w:val="1E293B"/>
          <w:sz w:val="20"/>
          <w:szCs w:val="20"/>
          <w:lang w:val="en-US"/>
        </w:rPr>
        <w:t>-</w:t>
      </w:r>
      <w:r>
        <w:rPr>
          <w:rFonts w:ascii="Arial" w:hAnsi="Arial" w:eastAsia="Arial" w:cs="Arial"/>
          <w:b w:val="0"/>
          <w:bCs w:val="0"/>
          <w:i w:val="0"/>
          <w:iCs w:val="0"/>
          <w:color w:val="1E293B"/>
          <w:sz w:val="20"/>
          <w:szCs w:val="20"/>
        </w:rPr>
        <w:t xml:space="preserve"> where a firm agrees it was at fault for the majority of complaints it receives </w:t>
      </w:r>
      <w:r>
        <w:rPr>
          <w:rFonts w:hint="default" w:cs="Arial"/>
          <w:b w:val="0"/>
          <w:bCs w:val="0"/>
          <w:i w:val="0"/>
          <w:iCs w:val="0"/>
          <w:color w:val="1E293B"/>
          <w:sz w:val="20"/>
          <w:szCs w:val="20"/>
          <w:lang w:val="en-US"/>
        </w:rPr>
        <w:t>-</w:t>
      </w:r>
      <w:r>
        <w:rPr>
          <w:rFonts w:ascii="Arial" w:hAnsi="Arial" w:eastAsia="Arial" w:cs="Arial"/>
          <w:b w:val="0"/>
          <w:bCs w:val="0"/>
          <w:i w:val="0"/>
          <w:iCs w:val="0"/>
          <w:color w:val="1E293B"/>
          <w:sz w:val="20"/>
          <w:szCs w:val="20"/>
        </w:rPr>
        <w:t xml:space="preserve"> is the strongest available public signal of systemic customer detriment.</w:t>
      </w:r>
    </w:p>
    <w:p w14:paraId="62D4FA3C">
      <w:pPr>
        <w:spacing w:before="80" w:after="80"/>
        <w:jc w:val="both"/>
      </w:pPr>
      <w:r>
        <w:rPr>
          <w:rFonts w:ascii="Arial" w:hAnsi="Arial" w:eastAsia="Arial" w:cs="Arial"/>
          <w:b w:val="0"/>
          <w:bCs w:val="0"/>
          <w:i w:val="0"/>
          <w:iCs w:val="0"/>
          <w:color w:val="1E293B"/>
          <w:sz w:val="20"/>
          <w:szCs w:val="20"/>
        </w:rPr>
        <w:t>This analysis focuses specifically on the uphold rate trajectory and complaint volume growth as early-warning indicators, rather than redress amounts, which are not published at firm level.</w:t>
      </w:r>
    </w:p>
    <w:p w14:paraId="4BCBF494">
      <w:pPr>
        <w:spacing w:before="200" w:after="200"/>
      </w:pPr>
    </w:p>
    <w:p w14:paraId="411363BF">
      <w:pPr>
        <w:pBdr>
          <w:bottom w:val="single" w:color="1E3A5F" w:sz="4" w:space="4"/>
        </w:pBdr>
        <w:spacing w:before="240" w:after="100"/>
      </w:pPr>
      <w:r>
        <w:rPr>
          <w:rFonts w:ascii="Arial" w:hAnsi="Arial" w:eastAsia="Arial" w:cs="Arial"/>
          <w:b/>
          <w:bCs/>
          <w:caps/>
          <w:color w:val="1E3A5F"/>
          <w:sz w:val="22"/>
          <w:szCs w:val="22"/>
        </w:rPr>
        <w:t>Key Findings</w:t>
      </w:r>
    </w:p>
    <w:p w14:paraId="314C794E">
      <w:pPr>
        <w:spacing w:before="100" w:after="100"/>
      </w:pP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7"/>
        <w:gridCol w:w="5551"/>
        <w:gridCol w:w="2776"/>
        <w:gridCol w:w="992"/>
      </w:tblGrid>
      <w:tr w14:paraId="11409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E2E8F0" w:sz="0" w:space="0"/>
              <w:left w:val="single" w:color="E2E8F0" w:sz="0" w:space="0"/>
              <w:bottom w:val="single" w:color="E2E8F0" w:sz="0" w:space="0"/>
              <w:right w:val="single" w:color="E2E8F0" w:sz="0" w:space="0"/>
            </w:tcBorders>
            <w:shd w:val="clear" w:color="auto" w:fill="1E3A5F"/>
            <w:tcMar>
              <w:top w:w="100" w:type="dxa"/>
              <w:left w:w="140" w:type="dxa"/>
              <w:bottom w:w="100" w:type="dxa"/>
              <w:right w:w="140" w:type="dxa"/>
            </w:tcMar>
          </w:tcPr>
          <w:p w14:paraId="6AFFD1B1">
            <w:pPr>
              <w:jc w:val="center"/>
            </w:pPr>
            <w:r>
              <w:rPr>
                <w:rFonts w:ascii="Arial" w:hAnsi="Arial" w:eastAsia="Arial" w:cs="Arial"/>
                <w:b/>
                <w:bCs/>
                <w:color w:val="FFFFFF"/>
                <w:sz w:val="18"/>
                <w:szCs w:val="18"/>
              </w:rPr>
              <w:t>#</w:t>
            </w:r>
          </w:p>
        </w:tc>
        <w:tc>
          <w:tcPr>
            <w:tcW w:w="5200" w:type="dxa"/>
            <w:tcBorders>
              <w:top w:val="single" w:color="E2E8F0" w:sz="0" w:space="0"/>
              <w:left w:val="single" w:color="E2E8F0" w:sz="0" w:space="0"/>
              <w:bottom w:val="single" w:color="E2E8F0" w:sz="0" w:space="0"/>
              <w:right w:val="single" w:color="E2E8F0" w:sz="0" w:space="0"/>
            </w:tcBorders>
            <w:shd w:val="clear" w:color="auto" w:fill="1E3A5F"/>
            <w:tcMar>
              <w:top w:w="100" w:type="dxa"/>
              <w:left w:w="140" w:type="dxa"/>
              <w:bottom w:w="100" w:type="dxa"/>
              <w:right w:w="140" w:type="dxa"/>
            </w:tcMar>
          </w:tcPr>
          <w:p w14:paraId="6C3AB5C0">
            <w:r>
              <w:rPr>
                <w:rFonts w:ascii="Arial" w:hAnsi="Arial" w:eastAsia="Arial" w:cs="Arial"/>
                <w:b/>
                <w:bCs/>
                <w:color w:val="FFFFFF"/>
                <w:sz w:val="18"/>
                <w:szCs w:val="18"/>
              </w:rPr>
              <w:t>Finding</w:t>
            </w:r>
          </w:p>
        </w:tc>
        <w:tc>
          <w:tcPr>
            <w:tcW w:w="2600" w:type="dxa"/>
            <w:tcBorders>
              <w:top w:val="single" w:color="E2E8F0" w:sz="0" w:space="0"/>
              <w:left w:val="single" w:color="E2E8F0" w:sz="0" w:space="0"/>
              <w:bottom w:val="single" w:color="E2E8F0" w:sz="0" w:space="0"/>
              <w:right w:val="single" w:color="E2E8F0" w:sz="0" w:space="0"/>
            </w:tcBorders>
            <w:shd w:val="clear" w:color="auto" w:fill="1E3A5F"/>
            <w:tcMar>
              <w:top w:w="100" w:type="dxa"/>
              <w:left w:w="140" w:type="dxa"/>
              <w:bottom w:w="100" w:type="dxa"/>
              <w:right w:w="140" w:type="dxa"/>
            </w:tcMar>
          </w:tcPr>
          <w:p w14:paraId="73B13882">
            <w:r>
              <w:rPr>
                <w:rFonts w:ascii="Arial" w:hAnsi="Arial" w:eastAsia="Arial" w:cs="Arial"/>
                <w:b/>
                <w:bCs/>
                <w:color w:val="FFFFFF"/>
                <w:sz w:val="18"/>
                <w:szCs w:val="18"/>
              </w:rPr>
              <w:t>Implication</w:t>
            </w:r>
          </w:p>
        </w:tc>
        <w:tc>
          <w:tcPr>
            <w:tcW w:w="546" w:type="dxa"/>
            <w:tcBorders>
              <w:top w:val="single" w:color="E2E8F0" w:sz="0" w:space="0"/>
              <w:left w:val="single" w:color="E2E8F0" w:sz="0" w:space="0"/>
              <w:bottom w:val="single" w:color="E2E8F0" w:sz="0" w:space="0"/>
              <w:right w:val="single" w:color="E2E8F0" w:sz="0" w:space="0"/>
            </w:tcBorders>
            <w:shd w:val="clear" w:color="auto" w:fill="1E3A5F"/>
            <w:tcMar>
              <w:top w:w="100" w:type="dxa"/>
              <w:left w:w="140" w:type="dxa"/>
              <w:bottom w:w="100" w:type="dxa"/>
              <w:right w:w="140" w:type="dxa"/>
            </w:tcMar>
          </w:tcPr>
          <w:p w14:paraId="05C6D529">
            <w:pPr>
              <w:jc w:val="center"/>
            </w:pPr>
            <w:r>
              <w:rPr>
                <w:rFonts w:ascii="Arial" w:hAnsi="Arial" w:eastAsia="Arial" w:cs="Arial"/>
                <w:b/>
                <w:bCs/>
                <w:color w:val="FFFFFF"/>
                <w:sz w:val="18"/>
                <w:szCs w:val="18"/>
              </w:rPr>
              <w:t>Risk</w:t>
            </w:r>
          </w:p>
        </w:tc>
      </w:tr>
      <w:tr w14:paraId="67F37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E2E8F0" w:sz="0" w:space="0"/>
              <w:left w:val="single" w:color="E2E8F0" w:sz="0" w:space="0"/>
              <w:bottom w:val="single" w:color="E2E8F0" w:sz="0" w:space="0"/>
              <w:right w:val="single" w:color="E2E8F0" w:sz="0" w:space="0"/>
            </w:tcBorders>
            <w:shd w:val="clear" w:color="auto" w:fill="EFF6FF"/>
            <w:tcMar>
              <w:top w:w="100" w:type="dxa"/>
              <w:left w:w="140" w:type="dxa"/>
              <w:bottom w:w="100" w:type="dxa"/>
              <w:right w:w="140" w:type="dxa"/>
            </w:tcMar>
            <w:vAlign w:val="top"/>
          </w:tcPr>
          <w:p w14:paraId="5266A580">
            <w:pPr>
              <w:jc w:val="center"/>
            </w:pPr>
            <w:r>
              <w:rPr>
                <w:rFonts w:ascii="Arial" w:hAnsi="Arial" w:eastAsia="Arial" w:cs="Arial"/>
                <w:b/>
                <w:bCs/>
                <w:color w:val="1E3A5F"/>
                <w:sz w:val="20"/>
                <w:szCs w:val="20"/>
              </w:rPr>
              <w:t>1</w:t>
            </w:r>
          </w:p>
        </w:tc>
        <w:tc>
          <w:tcPr>
            <w:tcW w:w="5200" w:type="dxa"/>
            <w:tcBorders>
              <w:top w:val="single" w:color="E2E8F0" w:sz="0" w:space="0"/>
              <w:left w:val="single" w:color="E2E8F0" w:sz="0" w:space="0"/>
              <w:bottom w:val="single" w:color="E2E8F0" w:sz="0" w:space="0"/>
              <w:right w:val="single" w:color="E2E8F0" w:sz="0" w:space="0"/>
            </w:tcBorders>
            <w:tcMar>
              <w:top w:w="100" w:type="dxa"/>
              <w:left w:w="140" w:type="dxa"/>
              <w:bottom w:w="100" w:type="dxa"/>
              <w:right w:w="140" w:type="dxa"/>
            </w:tcMar>
            <w:vAlign w:val="top"/>
          </w:tcPr>
          <w:p w14:paraId="77333BFA">
            <w:r>
              <w:rPr>
                <w:rFonts w:ascii="Arial" w:hAnsi="Arial" w:eastAsia="Arial" w:cs="Arial"/>
                <w:color w:val="1E293B"/>
                <w:sz w:val="20"/>
                <w:szCs w:val="20"/>
              </w:rPr>
              <w:t>Consumer Duty has had a broadly positive effect at industry level. Five of seven firm types showed improvement in average uphold rates following the July 2023 implementation date.</w:t>
            </w:r>
          </w:p>
        </w:tc>
        <w:tc>
          <w:tcPr>
            <w:tcW w:w="2600" w:type="dxa"/>
            <w:tcBorders>
              <w:top w:val="single" w:color="E2E8F0" w:sz="0" w:space="0"/>
              <w:left w:val="single" w:color="E2E8F0" w:sz="0" w:space="0"/>
              <w:bottom w:val="single" w:color="E2E8F0" w:sz="0" w:space="0"/>
              <w:right w:val="single" w:color="E2E8F0" w:sz="0" w:space="0"/>
            </w:tcBorders>
            <w:tcMar>
              <w:top w:w="100" w:type="dxa"/>
              <w:left w:w="140" w:type="dxa"/>
              <w:bottom w:w="100" w:type="dxa"/>
              <w:right w:w="140" w:type="dxa"/>
            </w:tcMar>
            <w:vAlign w:val="top"/>
          </w:tcPr>
          <w:p w14:paraId="595C9375">
            <w:r>
              <w:rPr>
                <w:rFonts w:ascii="Arial" w:hAnsi="Arial" w:eastAsia="Arial" w:cs="Arial"/>
                <w:i/>
                <w:iCs/>
                <w:color w:val="475569"/>
                <w:sz w:val="19"/>
                <w:szCs w:val="19"/>
              </w:rPr>
              <w:t>Regulation is working for the majority of sectors. However, two sectors worsened, indicating uneven compliance.</w:t>
            </w:r>
          </w:p>
        </w:tc>
        <w:tc>
          <w:tcPr>
            <w:tcW w:w="560" w:type="dxa"/>
            <w:tcBorders>
              <w:top w:val="single" w:color="E2E8F0" w:sz="0" w:space="0"/>
              <w:left w:val="single" w:color="E2E8F0" w:sz="0" w:space="0"/>
              <w:bottom w:val="single" w:color="E2E8F0" w:sz="0" w:space="0"/>
              <w:right w:val="single" w:color="E2E8F0" w:sz="0" w:space="0"/>
            </w:tcBorders>
            <w:shd w:val="clear" w:color="auto" w:fill="FFFBEB"/>
            <w:tcMar>
              <w:top w:w="100" w:type="dxa"/>
              <w:left w:w="140" w:type="dxa"/>
              <w:bottom w:w="100" w:type="dxa"/>
              <w:right w:w="140" w:type="dxa"/>
            </w:tcMar>
            <w:vAlign w:val="center"/>
          </w:tcPr>
          <w:p w14:paraId="2C7DE8B0">
            <w:pPr>
              <w:jc w:val="center"/>
            </w:pPr>
            <w:r>
              <w:rPr>
                <w:rFonts w:ascii="Arial" w:hAnsi="Arial" w:eastAsia="Arial" w:cs="Arial"/>
                <w:b/>
                <w:bCs/>
                <w:color w:val="D97706"/>
                <w:sz w:val="16"/>
                <w:szCs w:val="16"/>
              </w:rPr>
              <w:t>MEDIUM</w:t>
            </w:r>
          </w:p>
        </w:tc>
      </w:tr>
      <w:tr w14:paraId="0E9B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E2E8F0" w:sz="0" w:space="0"/>
              <w:left w:val="single" w:color="E2E8F0" w:sz="0" w:space="0"/>
              <w:bottom w:val="single" w:color="E2E8F0" w:sz="0" w:space="0"/>
              <w:right w:val="single" w:color="E2E8F0" w:sz="0" w:space="0"/>
            </w:tcBorders>
            <w:shd w:val="clear" w:color="auto" w:fill="EFF6FF"/>
            <w:tcMar>
              <w:top w:w="100" w:type="dxa"/>
              <w:left w:w="140" w:type="dxa"/>
              <w:bottom w:w="100" w:type="dxa"/>
              <w:right w:w="140" w:type="dxa"/>
            </w:tcMar>
            <w:vAlign w:val="top"/>
          </w:tcPr>
          <w:p w14:paraId="15C221C3">
            <w:pPr>
              <w:jc w:val="center"/>
            </w:pPr>
            <w:r>
              <w:rPr>
                <w:rFonts w:ascii="Arial" w:hAnsi="Arial" w:eastAsia="Arial" w:cs="Arial"/>
                <w:b/>
                <w:bCs/>
                <w:color w:val="1E3A5F"/>
                <w:sz w:val="20"/>
                <w:szCs w:val="20"/>
              </w:rPr>
              <w:t>2</w:t>
            </w:r>
          </w:p>
        </w:tc>
        <w:tc>
          <w:tcPr>
            <w:tcW w:w="5200" w:type="dxa"/>
            <w:tcBorders>
              <w:top w:val="single" w:color="E2E8F0" w:sz="0" w:space="0"/>
              <w:left w:val="single" w:color="E2E8F0" w:sz="0" w:space="0"/>
              <w:bottom w:val="single" w:color="E2E8F0" w:sz="0" w:space="0"/>
              <w:right w:val="single" w:color="E2E8F0" w:sz="0" w:space="0"/>
            </w:tcBorders>
            <w:tcMar>
              <w:top w:w="100" w:type="dxa"/>
              <w:left w:w="140" w:type="dxa"/>
              <w:bottom w:w="100" w:type="dxa"/>
              <w:right w:w="140" w:type="dxa"/>
            </w:tcMar>
            <w:vAlign w:val="top"/>
          </w:tcPr>
          <w:p w14:paraId="0A0F5BB4">
            <w:r>
              <w:rPr>
                <w:rFonts w:ascii="Arial" w:hAnsi="Arial" w:eastAsia="Arial" w:cs="Arial"/>
                <w:color w:val="1E293B"/>
                <w:sz w:val="20"/>
                <w:szCs w:val="20"/>
              </w:rPr>
              <w:t xml:space="preserve">17 firms sit in the Danger Quadrant </w:t>
            </w:r>
            <w:r>
              <w:rPr>
                <w:rFonts w:hint="default" w:cs="Arial"/>
                <w:color w:val="1E293B"/>
                <w:sz w:val="20"/>
                <w:szCs w:val="20"/>
                <w:lang w:val="en-US"/>
              </w:rPr>
              <w:t>-</w:t>
            </w:r>
            <w:r>
              <w:rPr>
                <w:rFonts w:ascii="Arial" w:hAnsi="Arial" w:eastAsia="Arial" w:cs="Arial"/>
                <w:color w:val="1E293B"/>
                <w:sz w:val="20"/>
                <w:szCs w:val="20"/>
              </w:rPr>
              <w:t xml:space="preserve"> above the median on both complaint volume and uphold rate simultaneously. These firms represent the highest composite regulatory risk in the dataset.</w:t>
            </w:r>
          </w:p>
        </w:tc>
        <w:tc>
          <w:tcPr>
            <w:tcW w:w="2600" w:type="dxa"/>
            <w:tcBorders>
              <w:top w:val="single" w:color="E2E8F0" w:sz="0" w:space="0"/>
              <w:left w:val="single" w:color="E2E8F0" w:sz="0" w:space="0"/>
              <w:bottom w:val="single" w:color="E2E8F0" w:sz="0" w:space="0"/>
              <w:right w:val="single" w:color="E2E8F0" w:sz="0" w:space="0"/>
            </w:tcBorders>
            <w:tcMar>
              <w:top w:w="100" w:type="dxa"/>
              <w:left w:w="140" w:type="dxa"/>
              <w:bottom w:w="100" w:type="dxa"/>
              <w:right w:w="140" w:type="dxa"/>
            </w:tcMar>
            <w:vAlign w:val="top"/>
          </w:tcPr>
          <w:p w14:paraId="5286F37A">
            <w:r>
              <w:rPr>
                <w:rFonts w:ascii="Arial" w:hAnsi="Arial" w:eastAsia="Arial" w:cs="Arial"/>
                <w:i/>
                <w:iCs/>
                <w:color w:val="475569"/>
                <w:sz w:val="19"/>
                <w:szCs w:val="19"/>
              </w:rPr>
              <w:t>Prioritise these firms for board-level Consumer Duty reporting and root cause analysis of upheld complaints.</w:t>
            </w:r>
          </w:p>
        </w:tc>
        <w:tc>
          <w:tcPr>
            <w:tcW w:w="560" w:type="dxa"/>
            <w:tcBorders>
              <w:top w:val="single" w:color="E2E8F0" w:sz="0" w:space="0"/>
              <w:left w:val="single" w:color="E2E8F0" w:sz="0" w:space="0"/>
              <w:bottom w:val="single" w:color="E2E8F0" w:sz="0" w:space="0"/>
              <w:right w:val="single" w:color="E2E8F0" w:sz="0" w:space="0"/>
            </w:tcBorders>
            <w:shd w:val="clear" w:color="auto" w:fill="FEF2F2"/>
            <w:tcMar>
              <w:top w:w="100" w:type="dxa"/>
              <w:left w:w="140" w:type="dxa"/>
              <w:bottom w:w="100" w:type="dxa"/>
              <w:right w:w="140" w:type="dxa"/>
            </w:tcMar>
            <w:vAlign w:val="center"/>
          </w:tcPr>
          <w:p w14:paraId="496CF968">
            <w:pPr>
              <w:jc w:val="center"/>
            </w:pPr>
            <w:r>
              <w:rPr>
                <w:rFonts w:ascii="Arial" w:hAnsi="Arial" w:eastAsia="Arial" w:cs="Arial"/>
                <w:b/>
                <w:bCs/>
                <w:color w:val="DC2626"/>
                <w:sz w:val="16"/>
                <w:szCs w:val="16"/>
              </w:rPr>
              <w:t>HIGH</w:t>
            </w:r>
          </w:p>
        </w:tc>
      </w:tr>
      <w:tr w14:paraId="6754E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E2E8F0" w:sz="0" w:space="0"/>
              <w:left w:val="single" w:color="E2E8F0" w:sz="0" w:space="0"/>
              <w:bottom w:val="single" w:color="E2E8F0" w:sz="0" w:space="0"/>
              <w:right w:val="single" w:color="E2E8F0" w:sz="0" w:space="0"/>
            </w:tcBorders>
            <w:shd w:val="clear" w:color="auto" w:fill="EFF6FF"/>
            <w:tcMar>
              <w:top w:w="100" w:type="dxa"/>
              <w:left w:w="140" w:type="dxa"/>
              <w:bottom w:w="100" w:type="dxa"/>
              <w:right w:w="140" w:type="dxa"/>
            </w:tcMar>
            <w:vAlign w:val="top"/>
          </w:tcPr>
          <w:p w14:paraId="70C35717">
            <w:pPr>
              <w:jc w:val="center"/>
            </w:pPr>
            <w:r>
              <w:rPr>
                <w:rFonts w:ascii="Arial" w:hAnsi="Arial" w:eastAsia="Arial" w:cs="Arial"/>
                <w:b/>
                <w:bCs/>
                <w:color w:val="1E3A5F"/>
                <w:sz w:val="20"/>
                <w:szCs w:val="20"/>
              </w:rPr>
              <w:t>3</w:t>
            </w:r>
          </w:p>
        </w:tc>
        <w:tc>
          <w:tcPr>
            <w:tcW w:w="5200" w:type="dxa"/>
            <w:tcBorders>
              <w:top w:val="single" w:color="E2E8F0" w:sz="0" w:space="0"/>
              <w:left w:val="single" w:color="E2E8F0" w:sz="0" w:space="0"/>
              <w:bottom w:val="single" w:color="E2E8F0" w:sz="0" w:space="0"/>
              <w:right w:val="single" w:color="E2E8F0" w:sz="0" w:space="0"/>
            </w:tcBorders>
            <w:tcMar>
              <w:top w:w="100" w:type="dxa"/>
              <w:left w:w="140" w:type="dxa"/>
              <w:bottom w:w="100" w:type="dxa"/>
              <w:right w:w="140" w:type="dxa"/>
            </w:tcMar>
            <w:vAlign w:val="top"/>
          </w:tcPr>
          <w:p w14:paraId="644D2846">
            <w:r>
              <w:rPr>
                <w:rFonts w:ascii="Arial" w:hAnsi="Arial" w:eastAsia="Arial" w:cs="Arial"/>
                <w:color w:val="1E293B"/>
                <w:sz w:val="20"/>
                <w:szCs w:val="20"/>
              </w:rPr>
              <w:t>Two NatWest Group subsidiaries (National Westminster Bank Plc and The Royal Bank of Scotland Plc) both appear in the Danger Quadrant. Neither showed significant improvement post-Consumer Duty.</w:t>
            </w:r>
          </w:p>
        </w:tc>
        <w:tc>
          <w:tcPr>
            <w:tcW w:w="2600" w:type="dxa"/>
            <w:tcBorders>
              <w:top w:val="single" w:color="E2E8F0" w:sz="0" w:space="0"/>
              <w:left w:val="single" w:color="E2E8F0" w:sz="0" w:space="0"/>
              <w:bottom w:val="single" w:color="E2E8F0" w:sz="0" w:space="0"/>
              <w:right w:val="single" w:color="E2E8F0" w:sz="0" w:space="0"/>
            </w:tcBorders>
            <w:tcMar>
              <w:top w:w="100" w:type="dxa"/>
              <w:left w:w="140" w:type="dxa"/>
              <w:bottom w:w="100" w:type="dxa"/>
              <w:right w:w="140" w:type="dxa"/>
            </w:tcMar>
            <w:vAlign w:val="top"/>
          </w:tcPr>
          <w:p w14:paraId="3B821E4B">
            <w:r>
              <w:rPr>
                <w:rFonts w:ascii="Arial" w:hAnsi="Arial" w:eastAsia="Arial" w:cs="Arial"/>
                <w:i/>
                <w:iCs/>
                <w:color w:val="475569"/>
                <w:sz w:val="19"/>
                <w:szCs w:val="19"/>
              </w:rPr>
              <w:t>Group-level governance review warranted. Two subsidiaries in the same risk tier suggests a shared structural issue, not firm-specific.</w:t>
            </w:r>
          </w:p>
        </w:tc>
        <w:tc>
          <w:tcPr>
            <w:tcW w:w="560" w:type="dxa"/>
            <w:tcBorders>
              <w:top w:val="single" w:color="E2E8F0" w:sz="0" w:space="0"/>
              <w:left w:val="single" w:color="E2E8F0" w:sz="0" w:space="0"/>
              <w:bottom w:val="single" w:color="E2E8F0" w:sz="0" w:space="0"/>
              <w:right w:val="single" w:color="E2E8F0" w:sz="0" w:space="0"/>
            </w:tcBorders>
            <w:shd w:val="clear" w:color="auto" w:fill="FEF2F2"/>
            <w:tcMar>
              <w:top w:w="100" w:type="dxa"/>
              <w:left w:w="140" w:type="dxa"/>
              <w:bottom w:w="100" w:type="dxa"/>
              <w:right w:w="140" w:type="dxa"/>
            </w:tcMar>
            <w:vAlign w:val="center"/>
          </w:tcPr>
          <w:p w14:paraId="1ED82FE7">
            <w:pPr>
              <w:jc w:val="center"/>
            </w:pPr>
            <w:r>
              <w:rPr>
                <w:rFonts w:ascii="Arial" w:hAnsi="Arial" w:eastAsia="Arial" w:cs="Arial"/>
                <w:b/>
                <w:bCs/>
                <w:color w:val="DC2626"/>
                <w:sz w:val="16"/>
                <w:szCs w:val="16"/>
              </w:rPr>
              <w:t>HIGH</w:t>
            </w:r>
          </w:p>
        </w:tc>
      </w:tr>
      <w:tr w14:paraId="147F5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E2E8F0" w:sz="0" w:space="0"/>
              <w:left w:val="single" w:color="E2E8F0" w:sz="0" w:space="0"/>
              <w:bottom w:val="single" w:color="E2E8F0" w:sz="0" w:space="0"/>
              <w:right w:val="single" w:color="E2E8F0" w:sz="0" w:space="0"/>
            </w:tcBorders>
            <w:shd w:val="clear" w:color="auto" w:fill="EFF6FF"/>
            <w:tcMar>
              <w:top w:w="100" w:type="dxa"/>
              <w:left w:w="140" w:type="dxa"/>
              <w:bottom w:w="100" w:type="dxa"/>
              <w:right w:w="140" w:type="dxa"/>
            </w:tcMar>
            <w:vAlign w:val="top"/>
          </w:tcPr>
          <w:p w14:paraId="5083F53B">
            <w:pPr>
              <w:jc w:val="center"/>
            </w:pPr>
            <w:r>
              <w:rPr>
                <w:rFonts w:ascii="Arial" w:hAnsi="Arial" w:eastAsia="Arial" w:cs="Arial"/>
                <w:b/>
                <w:bCs/>
                <w:color w:val="1E3A5F"/>
                <w:sz w:val="20"/>
                <w:szCs w:val="20"/>
              </w:rPr>
              <w:t>4</w:t>
            </w:r>
          </w:p>
        </w:tc>
        <w:tc>
          <w:tcPr>
            <w:tcW w:w="5200" w:type="dxa"/>
            <w:tcBorders>
              <w:top w:val="single" w:color="E2E8F0" w:sz="0" w:space="0"/>
              <w:left w:val="single" w:color="E2E8F0" w:sz="0" w:space="0"/>
              <w:bottom w:val="single" w:color="E2E8F0" w:sz="0" w:space="0"/>
              <w:right w:val="single" w:color="E2E8F0" w:sz="0" w:space="0"/>
            </w:tcBorders>
            <w:tcMar>
              <w:top w:w="100" w:type="dxa"/>
              <w:left w:w="140" w:type="dxa"/>
              <w:bottom w:w="100" w:type="dxa"/>
              <w:right w:w="140" w:type="dxa"/>
            </w:tcMar>
            <w:vAlign w:val="top"/>
          </w:tcPr>
          <w:p w14:paraId="288E7E65">
            <w:r>
              <w:rPr>
                <w:rFonts w:ascii="Arial" w:hAnsi="Arial" w:eastAsia="Arial" w:cs="Arial"/>
                <w:color w:val="1E293B"/>
                <w:sz w:val="20"/>
                <w:szCs w:val="20"/>
              </w:rPr>
              <w:t xml:space="preserve">British Gas Services Limited </w:t>
            </w:r>
            <w:r>
              <w:rPr>
                <w:rFonts w:hint="default" w:cs="Arial"/>
                <w:color w:val="1E293B"/>
                <w:sz w:val="20"/>
                <w:szCs w:val="20"/>
                <w:lang w:val="en-US"/>
              </w:rPr>
              <w:t>-</w:t>
            </w:r>
            <w:r>
              <w:rPr>
                <w:rFonts w:ascii="Arial" w:hAnsi="Arial" w:eastAsia="Arial" w:cs="Arial"/>
                <w:color w:val="1E293B"/>
                <w:sz w:val="20"/>
                <w:szCs w:val="20"/>
              </w:rPr>
              <w:t xml:space="preserve"> an energy company providing regulated financial products </w:t>
            </w:r>
            <w:r>
              <w:rPr>
                <w:rFonts w:hint="default" w:cs="Arial"/>
                <w:color w:val="1E293B"/>
                <w:sz w:val="20"/>
                <w:szCs w:val="20"/>
                <w:lang w:val="en-US"/>
              </w:rPr>
              <w:t>-</w:t>
            </w:r>
            <w:r>
              <w:rPr>
                <w:rFonts w:ascii="Arial" w:hAnsi="Arial" w:eastAsia="Arial" w:cs="Arial"/>
                <w:color w:val="1E293B"/>
                <w:sz w:val="20"/>
                <w:szCs w:val="20"/>
              </w:rPr>
              <w:t xml:space="preserve"> ranks in the top 3 on the Consumer Duty Risk Index alongside two major general insurers.</w:t>
            </w:r>
          </w:p>
        </w:tc>
        <w:tc>
          <w:tcPr>
            <w:tcW w:w="2600" w:type="dxa"/>
            <w:tcBorders>
              <w:top w:val="single" w:color="E2E8F0" w:sz="0" w:space="0"/>
              <w:left w:val="single" w:color="E2E8F0" w:sz="0" w:space="0"/>
              <w:bottom w:val="single" w:color="E2E8F0" w:sz="0" w:space="0"/>
              <w:right w:val="single" w:color="E2E8F0" w:sz="0" w:space="0"/>
            </w:tcBorders>
            <w:tcMar>
              <w:top w:w="100" w:type="dxa"/>
              <w:left w:w="140" w:type="dxa"/>
              <w:bottom w:w="100" w:type="dxa"/>
              <w:right w:w="140" w:type="dxa"/>
            </w:tcMar>
            <w:vAlign w:val="top"/>
          </w:tcPr>
          <w:p w14:paraId="04AF6379">
            <w:r>
              <w:rPr>
                <w:rFonts w:ascii="Arial" w:hAnsi="Arial" w:eastAsia="Arial" w:cs="Arial"/>
                <w:i/>
                <w:iCs/>
                <w:color w:val="475569"/>
                <w:sz w:val="19"/>
                <w:szCs w:val="19"/>
              </w:rPr>
              <w:t>Firms where financial services is a secondary business line show structurally weaker complaints handling. FCA should consider sector-specific guidance.</w:t>
            </w:r>
          </w:p>
        </w:tc>
        <w:tc>
          <w:tcPr>
            <w:tcW w:w="560" w:type="dxa"/>
            <w:tcBorders>
              <w:top w:val="single" w:color="E2E8F0" w:sz="0" w:space="0"/>
              <w:left w:val="single" w:color="E2E8F0" w:sz="0" w:space="0"/>
              <w:bottom w:val="single" w:color="E2E8F0" w:sz="0" w:space="0"/>
              <w:right w:val="single" w:color="E2E8F0" w:sz="0" w:space="0"/>
            </w:tcBorders>
            <w:shd w:val="clear" w:color="auto" w:fill="FEF2F2"/>
            <w:tcMar>
              <w:top w:w="100" w:type="dxa"/>
              <w:left w:w="140" w:type="dxa"/>
              <w:bottom w:w="100" w:type="dxa"/>
              <w:right w:w="140" w:type="dxa"/>
            </w:tcMar>
            <w:vAlign w:val="center"/>
          </w:tcPr>
          <w:p w14:paraId="5E6FC0CB">
            <w:pPr>
              <w:jc w:val="center"/>
            </w:pPr>
            <w:r>
              <w:rPr>
                <w:rFonts w:ascii="Arial" w:hAnsi="Arial" w:eastAsia="Arial" w:cs="Arial"/>
                <w:b/>
                <w:bCs/>
                <w:color w:val="DC2626"/>
                <w:sz w:val="16"/>
                <w:szCs w:val="16"/>
              </w:rPr>
              <w:t>HIGH</w:t>
            </w:r>
          </w:p>
        </w:tc>
      </w:tr>
      <w:tr w14:paraId="042D4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E2E8F0" w:sz="0" w:space="0"/>
              <w:left w:val="single" w:color="E2E8F0" w:sz="0" w:space="0"/>
              <w:bottom w:val="single" w:color="E2E8F0" w:sz="0" w:space="0"/>
              <w:right w:val="single" w:color="E2E8F0" w:sz="0" w:space="0"/>
            </w:tcBorders>
            <w:shd w:val="clear" w:color="auto" w:fill="EFF6FF"/>
            <w:tcMar>
              <w:top w:w="100" w:type="dxa"/>
              <w:left w:w="140" w:type="dxa"/>
              <w:bottom w:w="100" w:type="dxa"/>
              <w:right w:w="140" w:type="dxa"/>
            </w:tcMar>
            <w:vAlign w:val="top"/>
          </w:tcPr>
          <w:p w14:paraId="2FBBEA2F">
            <w:pPr>
              <w:jc w:val="center"/>
            </w:pPr>
            <w:r>
              <w:rPr>
                <w:rFonts w:ascii="Arial" w:hAnsi="Arial" w:eastAsia="Arial" w:cs="Arial"/>
                <w:b/>
                <w:bCs/>
                <w:color w:val="1E3A5F"/>
                <w:sz w:val="20"/>
                <w:szCs w:val="20"/>
              </w:rPr>
              <w:t>5</w:t>
            </w:r>
          </w:p>
        </w:tc>
        <w:tc>
          <w:tcPr>
            <w:tcW w:w="5200" w:type="dxa"/>
            <w:tcBorders>
              <w:top w:val="single" w:color="E2E8F0" w:sz="0" w:space="0"/>
              <w:left w:val="single" w:color="E2E8F0" w:sz="0" w:space="0"/>
              <w:bottom w:val="single" w:color="E2E8F0" w:sz="0" w:space="0"/>
              <w:right w:val="single" w:color="E2E8F0" w:sz="0" w:space="0"/>
            </w:tcBorders>
            <w:tcMar>
              <w:top w:w="100" w:type="dxa"/>
              <w:left w:w="140" w:type="dxa"/>
              <w:bottom w:w="100" w:type="dxa"/>
              <w:right w:w="140" w:type="dxa"/>
            </w:tcMar>
            <w:vAlign w:val="top"/>
          </w:tcPr>
          <w:p w14:paraId="2249A1E3">
            <w:r>
              <w:rPr>
                <w:rFonts w:ascii="Arial" w:hAnsi="Arial" w:eastAsia="Arial" w:cs="Arial"/>
                <w:color w:val="1E293B"/>
                <w:sz w:val="20"/>
                <w:szCs w:val="20"/>
              </w:rPr>
              <w:t>The Life &amp; Pensions sector shows the highest median uphold rate of any firm type, with the widest performance variance between firms. This is the category most directly relevant to Consumer Duty’s retirement outcome requirements.</w:t>
            </w:r>
          </w:p>
        </w:tc>
        <w:tc>
          <w:tcPr>
            <w:tcW w:w="2600" w:type="dxa"/>
            <w:tcBorders>
              <w:top w:val="single" w:color="E2E8F0" w:sz="0" w:space="0"/>
              <w:left w:val="single" w:color="E2E8F0" w:sz="0" w:space="0"/>
              <w:bottom w:val="single" w:color="E2E8F0" w:sz="0" w:space="0"/>
              <w:right w:val="single" w:color="E2E8F0" w:sz="0" w:space="0"/>
            </w:tcBorders>
            <w:tcMar>
              <w:top w:w="100" w:type="dxa"/>
              <w:left w:w="140" w:type="dxa"/>
              <w:bottom w:w="100" w:type="dxa"/>
              <w:right w:w="140" w:type="dxa"/>
            </w:tcMar>
            <w:vAlign w:val="top"/>
          </w:tcPr>
          <w:p w14:paraId="5E64AAAE">
            <w:r>
              <w:rPr>
                <w:rFonts w:ascii="Arial" w:hAnsi="Arial" w:eastAsia="Arial" w:cs="Arial"/>
                <w:i/>
                <w:iCs/>
                <w:color w:val="475569"/>
                <w:sz w:val="19"/>
                <w:szCs w:val="19"/>
              </w:rPr>
              <w:t>Pension providers require targeted supervisory engagement. High variance suggests best practice exists within sector but is not consistently applied.</w:t>
            </w:r>
          </w:p>
        </w:tc>
        <w:tc>
          <w:tcPr>
            <w:tcW w:w="560" w:type="dxa"/>
            <w:tcBorders>
              <w:top w:val="single" w:color="E2E8F0" w:sz="0" w:space="0"/>
              <w:left w:val="single" w:color="E2E8F0" w:sz="0" w:space="0"/>
              <w:bottom w:val="single" w:color="E2E8F0" w:sz="0" w:space="0"/>
              <w:right w:val="single" w:color="E2E8F0" w:sz="0" w:space="0"/>
            </w:tcBorders>
            <w:shd w:val="clear" w:color="auto" w:fill="FEF2F2"/>
            <w:tcMar>
              <w:top w:w="100" w:type="dxa"/>
              <w:left w:w="140" w:type="dxa"/>
              <w:bottom w:w="100" w:type="dxa"/>
              <w:right w:w="140" w:type="dxa"/>
            </w:tcMar>
            <w:vAlign w:val="center"/>
          </w:tcPr>
          <w:p w14:paraId="072E9507">
            <w:pPr>
              <w:jc w:val="center"/>
            </w:pPr>
            <w:r>
              <w:rPr>
                <w:rFonts w:ascii="Arial" w:hAnsi="Arial" w:eastAsia="Arial" w:cs="Arial"/>
                <w:b/>
                <w:bCs/>
                <w:color w:val="DC2626"/>
                <w:sz w:val="16"/>
                <w:szCs w:val="16"/>
              </w:rPr>
              <w:t>HIGH</w:t>
            </w:r>
          </w:p>
        </w:tc>
      </w:tr>
      <w:tr w14:paraId="4AC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E2E8F0" w:sz="0" w:space="0"/>
              <w:left w:val="single" w:color="E2E8F0" w:sz="0" w:space="0"/>
              <w:bottom w:val="single" w:color="E2E8F0" w:sz="0" w:space="0"/>
              <w:right w:val="single" w:color="E2E8F0" w:sz="0" w:space="0"/>
            </w:tcBorders>
            <w:shd w:val="clear" w:color="auto" w:fill="EFF6FF"/>
            <w:tcMar>
              <w:top w:w="100" w:type="dxa"/>
              <w:left w:w="140" w:type="dxa"/>
              <w:bottom w:w="100" w:type="dxa"/>
              <w:right w:w="140" w:type="dxa"/>
            </w:tcMar>
            <w:vAlign w:val="top"/>
          </w:tcPr>
          <w:p w14:paraId="3AF73C39">
            <w:pPr>
              <w:jc w:val="center"/>
            </w:pPr>
            <w:r>
              <w:rPr>
                <w:rFonts w:ascii="Arial" w:hAnsi="Arial" w:eastAsia="Arial" w:cs="Arial"/>
                <w:b/>
                <w:bCs/>
                <w:color w:val="1E3A5F"/>
                <w:sz w:val="20"/>
                <w:szCs w:val="20"/>
              </w:rPr>
              <w:t>6</w:t>
            </w:r>
          </w:p>
        </w:tc>
        <w:tc>
          <w:tcPr>
            <w:tcW w:w="5200" w:type="dxa"/>
            <w:tcBorders>
              <w:top w:val="single" w:color="E2E8F0" w:sz="0" w:space="0"/>
              <w:left w:val="single" w:color="E2E8F0" w:sz="0" w:space="0"/>
              <w:bottom w:val="single" w:color="E2E8F0" w:sz="0" w:space="0"/>
              <w:right w:val="single" w:color="E2E8F0" w:sz="0" w:space="0"/>
            </w:tcBorders>
            <w:tcMar>
              <w:top w:w="100" w:type="dxa"/>
              <w:left w:w="140" w:type="dxa"/>
              <w:bottom w:w="100" w:type="dxa"/>
              <w:right w:w="140" w:type="dxa"/>
            </w:tcMar>
            <w:vAlign w:val="top"/>
          </w:tcPr>
          <w:p w14:paraId="00276E88">
            <w:r>
              <w:rPr>
                <w:rFonts w:ascii="Arial" w:hAnsi="Arial" w:eastAsia="Arial" w:cs="Arial"/>
                <w:color w:val="1E293B"/>
                <w:sz w:val="20"/>
                <w:szCs w:val="20"/>
              </w:rPr>
              <w:t>Complaint volumes showed a brief decline in H2 2023 immediately following Consumer Duty implementation, but recovered to near pre-Duty levels by H1 2024.</w:t>
            </w:r>
          </w:p>
        </w:tc>
        <w:tc>
          <w:tcPr>
            <w:tcW w:w="2600" w:type="dxa"/>
            <w:tcBorders>
              <w:top w:val="single" w:color="E2E8F0" w:sz="0" w:space="0"/>
              <w:left w:val="single" w:color="E2E8F0" w:sz="0" w:space="0"/>
              <w:bottom w:val="single" w:color="E2E8F0" w:sz="0" w:space="0"/>
              <w:right w:val="single" w:color="E2E8F0" w:sz="0" w:space="0"/>
            </w:tcBorders>
            <w:tcMar>
              <w:top w:w="100" w:type="dxa"/>
              <w:left w:w="140" w:type="dxa"/>
              <w:bottom w:w="100" w:type="dxa"/>
              <w:right w:w="140" w:type="dxa"/>
            </w:tcMar>
            <w:vAlign w:val="top"/>
          </w:tcPr>
          <w:p w14:paraId="27781F6D">
            <w:r>
              <w:rPr>
                <w:rFonts w:ascii="Arial" w:hAnsi="Arial" w:eastAsia="Arial" w:cs="Arial"/>
                <w:i/>
                <w:iCs/>
                <w:color w:val="475569"/>
                <w:sz w:val="19"/>
                <w:szCs w:val="19"/>
              </w:rPr>
              <w:t>Initial behavioural change by firms appears to have been temporary. Sustained improvement has not yet materialised in the public data.</w:t>
            </w:r>
          </w:p>
        </w:tc>
        <w:tc>
          <w:tcPr>
            <w:tcW w:w="560" w:type="dxa"/>
            <w:tcBorders>
              <w:top w:val="single" w:color="E2E8F0" w:sz="0" w:space="0"/>
              <w:left w:val="single" w:color="E2E8F0" w:sz="0" w:space="0"/>
              <w:bottom w:val="single" w:color="E2E8F0" w:sz="0" w:space="0"/>
              <w:right w:val="single" w:color="E2E8F0" w:sz="0" w:space="0"/>
            </w:tcBorders>
            <w:shd w:val="clear" w:color="auto" w:fill="FFFBEB"/>
            <w:tcMar>
              <w:top w:w="100" w:type="dxa"/>
              <w:left w:w="140" w:type="dxa"/>
              <w:bottom w:w="100" w:type="dxa"/>
              <w:right w:w="140" w:type="dxa"/>
            </w:tcMar>
            <w:vAlign w:val="center"/>
          </w:tcPr>
          <w:p w14:paraId="1299B31A">
            <w:pPr>
              <w:jc w:val="center"/>
            </w:pPr>
            <w:r>
              <w:rPr>
                <w:rFonts w:ascii="Arial" w:hAnsi="Arial" w:eastAsia="Arial" w:cs="Arial"/>
                <w:b/>
                <w:bCs/>
                <w:color w:val="D97706"/>
                <w:sz w:val="16"/>
                <w:szCs w:val="16"/>
              </w:rPr>
              <w:t>MEDIUM</w:t>
            </w:r>
          </w:p>
        </w:tc>
      </w:tr>
      <w:tr w14:paraId="2476F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E2E8F0" w:sz="0" w:space="0"/>
              <w:left w:val="single" w:color="E2E8F0" w:sz="0" w:space="0"/>
              <w:bottom w:val="single" w:color="E2E8F0" w:sz="0" w:space="0"/>
              <w:right w:val="single" w:color="E2E8F0" w:sz="0" w:space="0"/>
            </w:tcBorders>
            <w:shd w:val="clear" w:color="auto" w:fill="EFF6FF"/>
            <w:tcMar>
              <w:top w:w="100" w:type="dxa"/>
              <w:left w:w="140" w:type="dxa"/>
              <w:bottom w:w="100" w:type="dxa"/>
              <w:right w:w="140" w:type="dxa"/>
            </w:tcMar>
            <w:vAlign w:val="top"/>
          </w:tcPr>
          <w:p w14:paraId="5F75668A">
            <w:pPr>
              <w:jc w:val="center"/>
            </w:pPr>
            <w:r>
              <w:rPr>
                <w:rFonts w:ascii="Arial" w:hAnsi="Arial" w:eastAsia="Arial" w:cs="Arial"/>
                <w:b/>
                <w:bCs/>
                <w:color w:val="1E3A5F"/>
                <w:sz w:val="20"/>
                <w:szCs w:val="20"/>
              </w:rPr>
              <w:t>7</w:t>
            </w:r>
          </w:p>
        </w:tc>
        <w:tc>
          <w:tcPr>
            <w:tcW w:w="5200" w:type="dxa"/>
            <w:tcBorders>
              <w:top w:val="single" w:color="E2E8F0" w:sz="0" w:space="0"/>
              <w:left w:val="single" w:color="E2E8F0" w:sz="0" w:space="0"/>
              <w:bottom w:val="single" w:color="E2E8F0" w:sz="0" w:space="0"/>
              <w:right w:val="single" w:color="E2E8F0" w:sz="0" w:space="0"/>
            </w:tcBorders>
            <w:tcMar>
              <w:top w:w="100" w:type="dxa"/>
              <w:left w:w="140" w:type="dxa"/>
              <w:bottom w:w="100" w:type="dxa"/>
              <w:right w:w="140" w:type="dxa"/>
            </w:tcMar>
            <w:vAlign w:val="top"/>
          </w:tcPr>
          <w:p w14:paraId="54FD0426">
            <w:r>
              <w:rPr>
                <w:rFonts w:ascii="Arial" w:hAnsi="Arial" w:eastAsia="Arial" w:cs="Arial"/>
                <w:color w:val="1E293B"/>
                <w:sz w:val="20"/>
                <w:szCs w:val="20"/>
              </w:rPr>
              <w:t>The Decumulation &amp; Pensions category shows a declining share of total complaints post-Consumer Duty, which may indicate genuine improvement or under-reporting by vulnerable customers.</w:t>
            </w:r>
          </w:p>
        </w:tc>
        <w:tc>
          <w:tcPr>
            <w:tcW w:w="2600" w:type="dxa"/>
            <w:tcBorders>
              <w:top w:val="single" w:color="E2E8F0" w:sz="0" w:space="0"/>
              <w:left w:val="single" w:color="E2E8F0" w:sz="0" w:space="0"/>
              <w:bottom w:val="single" w:color="E2E8F0" w:sz="0" w:space="0"/>
              <w:right w:val="single" w:color="E2E8F0" w:sz="0" w:space="0"/>
            </w:tcBorders>
            <w:tcMar>
              <w:top w:w="100" w:type="dxa"/>
              <w:left w:w="140" w:type="dxa"/>
              <w:bottom w:w="100" w:type="dxa"/>
              <w:right w:w="140" w:type="dxa"/>
            </w:tcMar>
            <w:vAlign w:val="top"/>
          </w:tcPr>
          <w:p w14:paraId="0939B264">
            <w:r>
              <w:rPr>
                <w:rFonts w:ascii="Arial" w:hAnsi="Arial" w:eastAsia="Arial" w:cs="Arial"/>
                <w:i/>
                <w:iCs/>
                <w:color w:val="475569"/>
                <w:sz w:val="19"/>
                <w:szCs w:val="19"/>
              </w:rPr>
              <w:t>Declining complaint volumes in a high-vulnerability segment should not be interpreted as improvement without qualitative supporting evidence.</w:t>
            </w:r>
          </w:p>
        </w:tc>
        <w:tc>
          <w:tcPr>
            <w:tcW w:w="560" w:type="dxa"/>
            <w:tcBorders>
              <w:top w:val="single" w:color="E2E8F0" w:sz="0" w:space="0"/>
              <w:left w:val="single" w:color="E2E8F0" w:sz="0" w:space="0"/>
              <w:bottom w:val="single" w:color="E2E8F0" w:sz="0" w:space="0"/>
              <w:right w:val="single" w:color="E2E8F0" w:sz="0" w:space="0"/>
            </w:tcBorders>
            <w:shd w:val="clear" w:color="auto" w:fill="F0FDF4"/>
            <w:tcMar>
              <w:top w:w="100" w:type="dxa"/>
              <w:left w:w="140" w:type="dxa"/>
              <w:bottom w:w="100" w:type="dxa"/>
              <w:right w:w="140" w:type="dxa"/>
            </w:tcMar>
            <w:vAlign w:val="center"/>
          </w:tcPr>
          <w:p w14:paraId="1F577601">
            <w:pPr>
              <w:jc w:val="center"/>
            </w:pPr>
            <w:r>
              <w:rPr>
                <w:rFonts w:ascii="Arial" w:hAnsi="Arial" w:eastAsia="Arial" w:cs="Arial"/>
                <w:b/>
                <w:bCs/>
                <w:color w:val="16A34A"/>
                <w:sz w:val="16"/>
                <w:szCs w:val="16"/>
              </w:rPr>
              <w:t>LOW</w:t>
            </w:r>
          </w:p>
        </w:tc>
      </w:tr>
    </w:tbl>
    <w:p w14:paraId="1703E612">
      <w:pPr>
        <w:spacing w:before="200" w:after="200"/>
      </w:pPr>
    </w:p>
    <w:p w14:paraId="410FE75A">
      <w:pPr>
        <w:pBdr>
          <w:bottom w:val="single" w:color="1E3A5F" w:sz="4" w:space="4"/>
        </w:pBdr>
        <w:spacing w:before="240" w:after="100"/>
      </w:pPr>
      <w:r>
        <w:rPr>
          <w:rFonts w:ascii="Arial" w:hAnsi="Arial" w:eastAsia="Arial" w:cs="Arial"/>
          <w:b/>
          <w:bCs/>
          <w:caps/>
          <w:color w:val="1E3A5F"/>
          <w:sz w:val="22"/>
          <w:szCs w:val="22"/>
        </w:rPr>
        <w:t>Recommendations</w:t>
      </w:r>
    </w:p>
    <w:p w14:paraId="3CC10F1C">
      <w:pPr>
        <w:spacing w:before="80" w:after="80"/>
      </w:pPr>
    </w:p>
    <w:p w14:paraId="73E0CFDD">
      <w:pPr>
        <w:spacing w:before="80" w:after="120"/>
        <w:jc w:val="both"/>
      </w:pPr>
      <w:r>
        <w:rPr>
          <w:rFonts w:ascii="Arial" w:hAnsi="Arial" w:eastAsia="Arial" w:cs="Arial"/>
          <w:b w:val="0"/>
          <w:bCs w:val="0"/>
          <w:i w:val="0"/>
          <w:iCs w:val="0"/>
          <w:color w:val="1E293B"/>
          <w:sz w:val="20"/>
          <w:szCs w:val="20"/>
        </w:rPr>
        <w:t>Based on the above findings, the following actions are recommended for a compliance or risk function reviewing Consumer Duty outcomes:</w:t>
      </w:r>
    </w:p>
    <w:p w14:paraId="36F6E8AA">
      <w:pPr>
        <w:spacing w:before="140" w:after="60"/>
        <w:jc w:val="both"/>
      </w:pPr>
      <w:r>
        <w:rPr>
          <w:rFonts w:ascii="Arial" w:hAnsi="Arial" w:eastAsia="Arial" w:cs="Arial"/>
          <w:b/>
          <w:bCs/>
          <w:i w:val="0"/>
          <w:iCs w:val="0"/>
          <w:color w:val="1E293B"/>
          <w:sz w:val="20"/>
          <w:szCs w:val="20"/>
        </w:rPr>
        <w:t>For firms in the Danger Quadrant:</w:t>
      </w:r>
    </w:p>
    <w:p w14:paraId="34EEA9BB">
      <w:pPr>
        <w:pStyle w:val="14"/>
        <w:numPr>
          <w:ilvl w:val="0"/>
          <w:numId w:val="1"/>
        </w:numPr>
        <w:spacing w:before="60" w:after="60"/>
        <w:ind w:left="360"/>
      </w:pPr>
      <w:r>
        <w:rPr>
          <w:rFonts w:ascii="Arial" w:hAnsi="Arial" w:eastAsia="Arial" w:cs="Arial"/>
          <w:color w:val="1E293B"/>
          <w:sz w:val="20"/>
          <w:szCs w:val="20"/>
        </w:rPr>
        <w:t>Commission a root cause analysis of upheld complaints to identify whether failures are product, process or communication driven</w:t>
      </w:r>
    </w:p>
    <w:p w14:paraId="32226635">
      <w:pPr>
        <w:pStyle w:val="14"/>
        <w:numPr>
          <w:ilvl w:val="0"/>
          <w:numId w:val="1"/>
        </w:numPr>
        <w:spacing w:before="60" w:after="60"/>
        <w:ind w:left="360"/>
      </w:pPr>
      <w:r>
        <w:rPr>
          <w:rFonts w:ascii="Arial" w:hAnsi="Arial" w:eastAsia="Arial" w:cs="Arial"/>
          <w:color w:val="1E293B"/>
          <w:sz w:val="20"/>
          <w:szCs w:val="20"/>
        </w:rPr>
        <w:t>Establish board-level reporting on complaints uphold rate trajectory as a Consumer Duty outcome metric</w:t>
      </w:r>
    </w:p>
    <w:p w14:paraId="05602081">
      <w:pPr>
        <w:pStyle w:val="14"/>
        <w:numPr>
          <w:ilvl w:val="0"/>
          <w:numId w:val="1"/>
        </w:numPr>
        <w:spacing w:before="60" w:after="60"/>
        <w:ind w:left="360"/>
      </w:pPr>
      <w:r>
        <w:rPr>
          <w:rFonts w:ascii="Arial" w:hAnsi="Arial" w:eastAsia="Arial" w:cs="Arial"/>
          <w:color w:val="1E293B"/>
          <w:sz w:val="20"/>
          <w:szCs w:val="20"/>
        </w:rPr>
        <w:t>Benchmark performance against peer firms using FCA published data on a biannual basis</w:t>
      </w:r>
    </w:p>
    <w:p w14:paraId="1F0356E7">
      <w:pPr>
        <w:spacing w:before="140" w:after="60"/>
        <w:jc w:val="both"/>
      </w:pPr>
      <w:r>
        <w:rPr>
          <w:rFonts w:ascii="Arial" w:hAnsi="Arial" w:eastAsia="Arial" w:cs="Arial"/>
          <w:b/>
          <w:bCs/>
          <w:i w:val="0"/>
          <w:iCs w:val="0"/>
          <w:color w:val="1E293B"/>
          <w:sz w:val="20"/>
          <w:szCs w:val="20"/>
        </w:rPr>
        <w:t>For NatWest Group and other multi-subsidiary groups:</w:t>
      </w:r>
    </w:p>
    <w:p w14:paraId="707EC26D">
      <w:pPr>
        <w:pStyle w:val="14"/>
        <w:numPr>
          <w:ilvl w:val="0"/>
          <w:numId w:val="1"/>
        </w:numPr>
        <w:spacing w:before="60" w:after="60"/>
        <w:ind w:left="360"/>
      </w:pPr>
      <w:r>
        <w:rPr>
          <w:rFonts w:ascii="Arial" w:hAnsi="Arial" w:eastAsia="Arial" w:cs="Arial"/>
          <w:color w:val="1E293B"/>
          <w:sz w:val="20"/>
          <w:szCs w:val="20"/>
        </w:rPr>
        <w:t>Conduct a group-level complaints governance review to identify whether subsidiary performance issues share common root causes</w:t>
      </w:r>
    </w:p>
    <w:p w14:paraId="136514B1">
      <w:pPr>
        <w:pStyle w:val="14"/>
        <w:numPr>
          <w:ilvl w:val="0"/>
          <w:numId w:val="1"/>
        </w:numPr>
        <w:spacing w:before="60" w:after="60"/>
        <w:ind w:left="360"/>
      </w:pPr>
      <w:r>
        <w:rPr>
          <w:rFonts w:ascii="Arial" w:hAnsi="Arial" w:eastAsia="Arial" w:cs="Arial"/>
          <w:color w:val="1E293B"/>
          <w:sz w:val="20"/>
          <w:szCs w:val="20"/>
        </w:rPr>
        <w:t>Ensure Consumer Duty implementation programmes are coordinated at group level, not managed independently per subsidiary</w:t>
      </w:r>
    </w:p>
    <w:p w14:paraId="15E3465A">
      <w:pPr>
        <w:spacing w:before="140" w:after="60"/>
        <w:jc w:val="both"/>
      </w:pPr>
      <w:r>
        <w:rPr>
          <w:rFonts w:ascii="Arial" w:hAnsi="Arial" w:eastAsia="Arial" w:cs="Arial"/>
          <w:b/>
          <w:bCs/>
          <w:i w:val="0"/>
          <w:iCs w:val="0"/>
          <w:color w:val="1E293B"/>
          <w:sz w:val="20"/>
          <w:szCs w:val="20"/>
        </w:rPr>
        <w:t>For the General Insurance and Life &amp; Pensions sectors:</w:t>
      </w:r>
    </w:p>
    <w:p w14:paraId="0BFFC55B">
      <w:pPr>
        <w:pStyle w:val="14"/>
        <w:numPr>
          <w:ilvl w:val="0"/>
          <w:numId w:val="1"/>
        </w:numPr>
        <w:spacing w:before="60" w:after="60"/>
        <w:ind w:left="360"/>
      </w:pPr>
      <w:r>
        <w:rPr>
          <w:rFonts w:ascii="Arial" w:hAnsi="Arial" w:eastAsia="Arial" w:cs="Arial"/>
          <w:color w:val="1E293B"/>
          <w:sz w:val="20"/>
          <w:szCs w:val="20"/>
        </w:rPr>
        <w:t>The FCA should consider sector-specific Consumer Duty guidance for insurance underwriters given their persistently high Risk Index scores</w:t>
      </w:r>
    </w:p>
    <w:p w14:paraId="67AD7310">
      <w:pPr>
        <w:pStyle w:val="14"/>
        <w:numPr>
          <w:ilvl w:val="0"/>
          <w:numId w:val="1"/>
        </w:numPr>
        <w:spacing w:before="60" w:after="60"/>
        <w:ind w:left="360"/>
      </w:pPr>
      <w:r>
        <w:rPr>
          <w:rFonts w:ascii="Arial" w:hAnsi="Arial" w:eastAsia="Arial" w:cs="Arial"/>
          <w:color w:val="1E293B"/>
          <w:sz w:val="20"/>
          <w:szCs w:val="20"/>
        </w:rPr>
        <w:t>Life &amp; Pensions firms with above-average uphold rates should review their complaint handling procedures for pension drawdown and annuity products specifically</w:t>
      </w:r>
    </w:p>
    <w:p w14:paraId="4924CDB4">
      <w:pPr>
        <w:spacing w:before="140" w:after="60"/>
        <w:jc w:val="both"/>
      </w:pPr>
      <w:r>
        <w:rPr>
          <w:rFonts w:ascii="Arial" w:hAnsi="Arial" w:eastAsia="Arial" w:cs="Arial"/>
          <w:b/>
          <w:bCs/>
          <w:i w:val="0"/>
          <w:iCs w:val="0"/>
          <w:color w:val="1E293B"/>
          <w:sz w:val="20"/>
          <w:szCs w:val="20"/>
        </w:rPr>
        <w:t>For regulators and policymakers:</w:t>
      </w:r>
    </w:p>
    <w:p w14:paraId="40BBEC65">
      <w:pPr>
        <w:pStyle w:val="14"/>
        <w:numPr>
          <w:ilvl w:val="0"/>
          <w:numId w:val="1"/>
        </w:numPr>
        <w:spacing w:before="60" w:after="60"/>
        <w:ind w:left="360"/>
      </w:pPr>
      <w:r>
        <w:rPr>
          <w:rFonts w:ascii="Arial" w:hAnsi="Arial" w:eastAsia="Arial" w:cs="Arial"/>
          <w:color w:val="1E293B"/>
          <w:sz w:val="20"/>
          <w:szCs w:val="20"/>
        </w:rPr>
        <w:t>Consider requiring firms to publish complaint category-level data alongside firm-level totals to enable more granular outcome monitoring</w:t>
      </w:r>
    </w:p>
    <w:p w14:paraId="6C1000EE">
      <w:pPr>
        <w:pStyle w:val="14"/>
        <w:numPr>
          <w:ilvl w:val="0"/>
          <w:numId w:val="1"/>
        </w:numPr>
        <w:spacing w:before="60" w:after="60"/>
        <w:ind w:left="360"/>
      </w:pPr>
      <w:r>
        <w:rPr>
          <w:rFonts w:ascii="Arial" w:hAnsi="Arial" w:eastAsia="Arial" w:cs="Arial"/>
          <w:color w:val="1E293B"/>
          <w:sz w:val="20"/>
          <w:szCs w:val="20"/>
        </w:rPr>
        <w:t>Review whether the complaints threshold for FCA reporting (currently 500 complaints per period) should be lowered to capture more firms, particularly non-bank financial product providers</w:t>
      </w:r>
    </w:p>
    <w:p w14:paraId="77E46A4D">
      <w:pPr>
        <w:spacing w:before="200" w:after="200"/>
      </w:pPr>
    </w:p>
    <w:p w14:paraId="51DB12F6">
      <w:pPr>
        <w:pBdr>
          <w:bottom w:val="single" w:color="1E3A5F" w:sz="4" w:space="4"/>
        </w:pBdr>
        <w:spacing w:before="240" w:after="100"/>
      </w:pPr>
      <w:r>
        <w:rPr>
          <w:rFonts w:ascii="Arial" w:hAnsi="Arial" w:eastAsia="Arial" w:cs="Arial"/>
          <w:b/>
          <w:bCs/>
          <w:caps/>
          <w:color w:val="1E3A5F"/>
          <w:sz w:val="22"/>
          <w:szCs w:val="22"/>
        </w:rPr>
        <w:t>Methodology Note</w:t>
      </w:r>
    </w:p>
    <w:p w14:paraId="479D3C17">
      <w:pPr>
        <w:spacing w:before="80" w:after="80"/>
      </w:pPr>
    </w:p>
    <w:p w14:paraId="20AE43D0">
      <w:pPr>
        <w:spacing w:before="80" w:after="80"/>
        <w:jc w:val="both"/>
      </w:pPr>
      <w:r>
        <w:rPr>
          <w:rFonts w:ascii="Arial" w:hAnsi="Arial" w:eastAsia="Arial" w:cs="Arial"/>
          <w:b w:val="0"/>
          <w:bCs w:val="0"/>
          <w:i w:val="0"/>
          <w:iCs w:val="0"/>
          <w:color w:val="1E293B"/>
          <w:sz w:val="20"/>
          <w:szCs w:val="20"/>
        </w:rPr>
        <w:t>This analysis uses publicly available FCA firm-level complaints data for H1 2022, H2 2022, H1 2023, H2 2023, and H1 2024. Data was cleaned, standardised and loaded into a relational database. The Consumer Duty Risk Index is a composite metric weighted across four dimensions: complaint volume (30%), average uphold rate (35%), uphold rate trend (20%), and volume growth rate (15%). All scores are normalised to a 0–100 scale using min-max scaling. Firms with fewer than 1,000 total complaints across the dataset were excluded from the Risk Index calculation.</w:t>
      </w:r>
    </w:p>
    <w:p w14:paraId="158E52FD">
      <w:pPr>
        <w:spacing w:before="80" w:after="80"/>
        <w:jc w:val="both"/>
      </w:pPr>
      <w:r>
        <w:rPr>
          <w:rFonts w:ascii="Arial" w:hAnsi="Arial" w:eastAsia="Arial" w:cs="Arial"/>
          <w:b w:val="0"/>
          <w:bCs w:val="0"/>
          <w:i/>
          <w:iCs/>
          <w:color w:val="475569"/>
          <w:sz w:val="20"/>
          <w:szCs w:val="20"/>
        </w:rPr>
        <w:t>Limitations: FCA data represents firms above the 500-complaint reporting threshold only. Uphold rate is calculated on closed complaints and may not reflect the full picture for firms with large volumes of unresolved cases. Redress amounts are not included in published data.</w:t>
      </w:r>
    </w:p>
    <w:p w14:paraId="6B98C5C0">
      <w:pPr>
        <w:spacing w:before="200" w:after="200"/>
      </w:pPr>
    </w:p>
    <w:p w14:paraId="6E8ADDA4">
      <w:pPr>
        <w:pBdr>
          <w:top w:val="single" w:color="E2E8F0" w:sz="2" w:space="4"/>
        </w:pBdr>
        <w:spacing w:before="0" w:after="80"/>
      </w:pPr>
      <w:r>
        <w:rPr>
          <w:rFonts w:ascii="Arial" w:hAnsi="Arial" w:eastAsia="Arial" w:cs="Arial"/>
          <w:b/>
          <w:bCs/>
          <w:color w:val="1E3A5F"/>
          <w:sz w:val="20"/>
          <w:szCs w:val="20"/>
        </w:rPr>
        <w:t>About This Analysis</w:t>
      </w:r>
    </w:p>
    <w:p w14:paraId="30EE6CBD">
      <w:pPr>
        <w:spacing w:before="80" w:after="80"/>
        <w:jc w:val="both"/>
      </w:pPr>
      <w:r>
        <w:rPr>
          <w:rFonts w:ascii="Arial" w:hAnsi="Arial" w:eastAsia="Arial" w:cs="Arial"/>
          <w:b w:val="0"/>
          <w:bCs w:val="0"/>
          <w:i w:val="0"/>
          <w:iCs w:val="0"/>
          <w:color w:val="475569"/>
          <w:sz w:val="20"/>
          <w:szCs w:val="20"/>
        </w:rPr>
        <w:t>This briefing was produced as part of a portfolio project demonstrating applied data analysis in a UK regulatory context. The analysis combines Python (data cleaning and EDA), SQL (relational analysis and window functions), and Power BI (interactive dashboards). All data is publicly available via the FCA website at fca.org.uk/data/complaints-data.</w:t>
      </w:r>
    </w:p>
    <w:p w14:paraId="6B4356C7">
      <w:pPr>
        <w:spacing w:before="80" w:after="80"/>
        <w:jc w:val="both"/>
      </w:pPr>
      <w:r>
        <w:rPr>
          <w:rFonts w:ascii="Arial" w:hAnsi="Arial" w:eastAsia="Arial" w:cs="Arial"/>
          <w:b w:val="0"/>
          <w:bCs w:val="0"/>
          <w:i/>
          <w:iCs/>
          <w:color w:val="475569"/>
          <w:sz w:val="20"/>
          <w:szCs w:val="20"/>
        </w:rPr>
        <w:t xml:space="preserve">GitHub repository with full methodology, code, and data: </w:t>
      </w:r>
      <w:r>
        <w:rPr>
          <w:rFonts w:hint="default" w:ascii="Arial" w:hAnsi="Arial" w:eastAsia="Arial" w:cs="Arial"/>
          <w:b w:val="0"/>
          <w:bCs w:val="0"/>
          <w:i/>
          <w:iCs/>
          <w:color w:val="475569"/>
          <w:sz w:val="20"/>
          <w:szCs w:val="20"/>
        </w:rPr>
        <w:t>https://github.com/Prajwal145/fca-complaints-intelligence</w:t>
      </w:r>
      <w:bookmarkStart w:id="0" w:name="_GoBack"/>
      <w:bookmarkEnd w:id="0"/>
    </w:p>
    <w:sectPr>
      <w:footerReference r:id="rId3" w:type="default"/>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A4921">
    <w:pPr>
      <w:pBdr>
        <w:top w:val="single" w:color="E2E8F0" w:sz="2" w:space="4"/>
      </w:pBdr>
      <w:spacing w:before="80"/>
    </w:pPr>
    <w:r>
      <w:rPr>
        <w:rFonts w:ascii="Arial" w:hAnsi="Arial" w:eastAsia="Arial" w:cs="Arial"/>
        <w:color w:val="475569"/>
        <w:sz w:val="16"/>
        <w:szCs w:val="16"/>
      </w:rPr>
      <w:t xml:space="preserve">FCA Consumer Complaints Intelligence (2022–2024)   |   Author: Prajwal Lawankar   |   Page </w:t>
    </w:r>
    <w:r>
      <w:rPr>
        <w:rFonts w:ascii="Arial" w:hAnsi="Arial" w:eastAsia="Arial" w:cs="Arial"/>
        <w:color w:val="475569"/>
        <w:sz w:val="16"/>
        <w:szCs w:val="16"/>
      </w:rPr>
      <w:fldChar w:fldCharType="begin"/>
    </w:r>
    <w:r>
      <w:rPr>
        <w:rFonts w:ascii="Arial" w:hAnsi="Arial" w:eastAsia="Arial" w:cs="Arial"/>
        <w:color w:val="475569"/>
        <w:sz w:val="16"/>
        <w:szCs w:val="16"/>
      </w:rPr>
      <w:instrText xml:space="preserve">PAGE</w:instrText>
    </w:r>
    <w:r>
      <w:rPr>
        <w:rFonts w:ascii="Arial" w:hAnsi="Arial" w:eastAsia="Arial" w:cs="Arial"/>
        <w:color w:val="475569"/>
        <w:sz w:val="16"/>
        <w:szCs w:val="16"/>
      </w:rPr>
      <w:fldChar w:fldCharType="separate"/>
    </w:r>
    <w:r>
      <w:rPr>
        <w:rFonts w:ascii="Arial" w:hAnsi="Arial" w:eastAsia="Arial" w:cs="Arial"/>
        <w:color w:val="475569"/>
        <w:sz w:val="16"/>
        <w:szCs w:val="16"/>
      </w:rPr>
      <w:fldChar w:fldCharType="end"/>
    </w:r>
    <w:r>
      <w:rPr>
        <w:rFonts w:ascii="Arial" w:hAnsi="Arial" w:eastAsia="Arial" w:cs="Arial"/>
        <w:color w:val="475569"/>
        <w:sz w:val="16"/>
        <w:szCs w:val="16"/>
      </w:rPr>
      <w:t xml:space="preserve"> of </w:t>
    </w:r>
    <w:r>
      <w:rPr>
        <w:rFonts w:ascii="Arial" w:hAnsi="Arial" w:eastAsia="Arial" w:cs="Arial"/>
        <w:color w:val="475569"/>
        <w:sz w:val="16"/>
        <w:szCs w:val="16"/>
      </w:rPr>
      <w:fldChar w:fldCharType="begin"/>
    </w:r>
    <w:r>
      <w:rPr>
        <w:rFonts w:ascii="Arial" w:hAnsi="Arial" w:eastAsia="Arial" w:cs="Arial"/>
        <w:color w:val="475569"/>
        <w:sz w:val="16"/>
        <w:szCs w:val="16"/>
      </w:rPr>
      <w:instrText xml:space="preserve">NUMPAGES</w:instrText>
    </w:r>
    <w:r>
      <w:rPr>
        <w:rFonts w:ascii="Arial" w:hAnsi="Arial" w:eastAsia="Arial" w:cs="Arial"/>
        <w:color w:val="475569"/>
        <w:sz w:val="16"/>
        <w:szCs w:val="16"/>
      </w:rPr>
      <w:fldChar w:fldCharType="separate"/>
    </w:r>
    <w:r>
      <w:rPr>
        <w:rFonts w:ascii="Arial" w:hAnsi="Arial" w:eastAsia="Arial" w:cs="Arial"/>
        <w:color w:val="475569"/>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6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63E6B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E293B"/>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color w:val="1E293B"/>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color w:val="1E293B"/>
      <w:sz w:val="56"/>
      <w:szCs w:val="56"/>
    </w:rPr>
  </w:style>
  <w:style w:type="paragraph" w:styleId="14">
    <w:name w:val="List Paragraph"/>
    <w:qFormat/>
    <w:uiPriority w:val="0"/>
    <w:rPr>
      <w:rFonts w:ascii="Arial" w:hAnsi="Arial" w:eastAsia="Arial" w:cs="Arial"/>
      <w:color w:val="1E293B"/>
      <w:sz w:val="20"/>
      <w:szCs w:val="20"/>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999</Words>
  <Characters>5960</Characters>
  <TotalTime>2</TotalTime>
  <ScaleCrop>false</ScaleCrop>
  <LinksUpToDate>false</LinksUpToDate>
  <CharactersWithSpaces>6880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2026-03-14T13:08:00Z</dcterms:created>
  <dc:creator>Un-named</dc:creator>
  <cp:lastModifiedBy>Prajwal Lawankar</cp:lastModifiedBy>
  <dcterms:modified xsi:type="dcterms:W3CDTF">2026-03-30T10:10:27Z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eyJoZGlkIjoiYzcxZjIzMzZhNjY2Y2IwOTM0NDU4OTliNjgzYWExMDQiLCJ1c2VySWQiOiI1Njc1NjU0NzYxMDgifQ==</vt:lpwstr>
  </property>
  <property fmtid="{D5CDD505-2E9C-101B-9397-08002B2CF9AE}" pid="3" name="KSOProductBuildVer">
    <vt:lpwstr>1033-12.1.0.25242</vt:lpwstr>
  </property>
  <property fmtid="{D5CDD505-2E9C-101B-9397-08002B2CF9AE}" pid="4" name="ICV">
    <vt:lpwstr>FE03FA4FB5BE4B10A40F1BAF212C8661_13</vt:lpwstr>
  </property>
</Properties>
</file>