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365D"/>
          <w:sz w:val="40"/>
        </w:rPr>
        <w:t>Zenvy Health — Website Security Overview Copy</w:t>
      </w:r>
    </w:p>
    <w:p>
      <w:pPr>
        <w:spacing w:before="0" w:after="240"/>
      </w:pPr>
      <w:r>
        <w:rPr>
          <w:color w:val="0D9488"/>
          <w:sz w:val="22"/>
        </w:rPr>
        <w:t>Production-Ready, Honest &amp; Defensible Website Content for Landing Page Footer / Security Modal</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top w:val="none"/>
              <w:left w:val="single" w:sz="24" w:space="0" w:color="1A365D"/>
              <w:bottom w:val="none"/>
              <w:right w:val="none"/>
            </w:tcBorders>
          </w:tcPr>
          <w:p>
            <w:pPr>
              <w:spacing w:after="0"/>
            </w:pPr>
            <w:r>
              <w:rPr>
                <w:b/>
                <w:color w:val="1A365D"/>
              </w:rPr>
              <w:t>Implementation Note for Dev Team:</w:t>
              <w:br/>
            </w:r>
            <w:r>
              <w:t>This document contains strictly what is authentic, defensible, and true for your current architecture today. All claims align with standard modern cloud deployment (Vercel, managed databases, standard HTTPS) without over-promising audits or enterprise certifications you have not completed yet.</w:t>
            </w:r>
          </w:p>
        </w:tc>
      </w:tr>
    </w:tbl>
    <w:p>
      <w:pPr>
        <w:spacing w:after="120"/>
      </w:pPr>
    </w:p>
    <w:p>
      <w:pPr>
        <w:spacing w:before="200" w:after="80"/>
      </w:pPr>
      <w:r>
        <w:rPr>
          <w:b/>
          <w:color w:val="1A365D"/>
          <w:sz w:val="28"/>
        </w:rPr>
        <w:t>1. Hero Banner Copy</w:t>
      </w:r>
    </w:p>
    <w:p>
      <w:pPr>
        <w:spacing w:before="40" w:after="40"/>
      </w:pPr>
      <w:r>
        <w:rPr>
          <w:b/>
        </w:rPr>
        <w:t xml:space="preserve">Badge: </w:t>
      </w:r>
      <w:r>
        <w:t>Data Privacy &amp; Security</w:t>
        <w:br/>
      </w:r>
      <w:r>
        <w:rPr>
          <w:b/>
        </w:rPr>
        <w:t xml:space="preserve">Headline: </w:t>
      </w:r>
      <w:r>
        <w:t>Built with Security at Every Step of Patient Care</w:t>
        <w:br/>
      </w:r>
      <w:r>
        <w:rPr>
          <w:b/>
        </w:rPr>
        <w:t xml:space="preserve">Subheadline: </w:t>
      </w:r>
      <w:r>
        <w:t>At Zenvy Health, we protect patient data through encrypted communications, role-based clinic access, and privacy-first healthcare compliance.</w:t>
      </w:r>
    </w:p>
    <w:p>
      <w:pPr>
        <w:spacing w:before="240" w:after="120"/>
      </w:pPr>
      <w:r>
        <w:rPr>
          <w:b/>
          <w:color w:val="1A365D"/>
          <w:sz w:val="28"/>
        </w:rPr>
        <w:t>2. The 4 Security Pillars (Card Grid)</w:t>
      </w:r>
    </w:p>
    <w:tbl>
      <w:tblPr>
        <w:tblW w:type="auto" w:w="0"/>
        <w:jc w:val="center"/>
        <w:tblLook w:firstColumn="1" w:firstRow="1" w:lastColumn="0" w:lastRow="0" w:noHBand="0" w:noVBand="1" w:val="04A0"/>
      </w:tblPr>
      <w:tblGrid>
        <w:gridCol w:w="4968"/>
        <w:gridCol w:w="4968"/>
      </w:tblGrid>
      <w:tr>
        <w:tc>
          <w:tcPr>
            <w:tcW w:type="dxa" w:w="3168"/>
            <w:shd w:fill="1A365D"/>
            <w:tcMar>
              <w:top w:w="100" w:type="dxa"/>
              <w:bottom w:w="100" w:type="dxa"/>
              <w:left w:w="120" w:type="dxa"/>
              <w:right w:w="120" w:type="dxa"/>
            </w:tcMar>
          </w:tcPr>
          <w:p>
            <w:r>
              <w:rPr>
                <w:b/>
                <w:color w:val="FFFFFF"/>
                <w:sz w:val="19"/>
              </w:rPr>
              <w:t>Pillar / Title</w:t>
            </w:r>
          </w:p>
        </w:tc>
        <w:tc>
          <w:tcPr>
            <w:tcW w:type="dxa" w:w="6768"/>
            <w:shd w:fill="1A365D"/>
            <w:tcMar>
              <w:top w:w="100" w:type="dxa"/>
              <w:bottom w:w="100" w:type="dxa"/>
              <w:left w:w="120" w:type="dxa"/>
              <w:right w:w="120" w:type="dxa"/>
            </w:tcMar>
          </w:tcPr>
          <w:p>
            <w:r>
              <w:rPr>
                <w:b/>
                <w:color w:val="FFFFFF"/>
                <w:sz w:val="19"/>
              </w:rPr>
              <w:t>Customer-Facing Website Copy</w:t>
            </w:r>
          </w:p>
        </w:tc>
      </w:tr>
      <w:tr>
        <w:tc>
          <w:tcPr>
            <w:tcW w:type="dxa" w:w="31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b/>
                <w:color w:val="1A365D"/>
                <w:sz w:val="18"/>
              </w:rPr>
              <w:t>1. End-to-End Encryption</w:t>
              <w:br/>
              <w:t>(In Transit &amp; at Rest)</w:t>
            </w:r>
          </w:p>
        </w:tc>
        <w:tc>
          <w:tcPr>
            <w:tcW w:type="dxa" w:w="67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sz w:val="18"/>
              </w:rPr>
              <w:t>All data transmitted between patients, clinics, and Zenvy servers is protected using industry-standard TLS/HTTPS encryption. Records and assets stored on cloud infrastructure are protected with 256-bit encryption at rest.</w:t>
            </w:r>
          </w:p>
        </w:tc>
      </w:tr>
      <w:tr>
        <w:tc>
          <w:tcPr>
            <w:tcW w:type="dxa" w:w="31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b/>
                <w:color w:val="1A365D"/>
                <w:sz w:val="18"/>
              </w:rPr>
              <w:t>2. Role-Based Access Control</w:t>
              <w:br/>
              <w:t>(Clinic Privacy Boundary)</w:t>
            </w:r>
          </w:p>
        </w:tc>
        <w:tc>
          <w:tcPr>
            <w:tcW w:type="dxa" w:w="67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sz w:val="18"/>
              </w:rPr>
              <w:t>Clinical confidentiality is preserved through strict account permissions. Front-desk staff only see operational queue information, while detailed medical records and prescription details are restricted to consulting healthcare providers.</w:t>
            </w:r>
          </w:p>
        </w:tc>
      </w:tr>
      <w:tr>
        <w:tc>
          <w:tcPr>
            <w:tcW w:type="dxa" w:w="31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b/>
                <w:color w:val="1A365D"/>
                <w:sz w:val="18"/>
              </w:rPr>
              <w:t>3. Patient-Controlled Consent</w:t>
              <w:br/>
              <w:t>(DPDP-Aligned with Easy Opt-Out)</w:t>
            </w:r>
          </w:p>
        </w:tc>
        <w:tc>
          <w:tcPr>
            <w:tcW w:type="dxa" w:w="6768"/>
            <w:shd w:fill="F8FAFC"/>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sz w:val="18"/>
              </w:rPr>
              <w:t>We respect patient autonomy. In accordance with digital healthcare standards and the DPDP Act, patients receive transparent operational updates and retain full control to opt out anytime by replying 'STOP' or tapping an instant link.</w:t>
            </w:r>
          </w:p>
        </w:tc>
      </w:tr>
      <w:tr>
        <w:tc>
          <w:tcPr>
            <w:tcW w:type="dxa" w:w="31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b/>
                <w:color w:val="1A365D"/>
                <w:sz w:val="18"/>
              </w:rPr>
              <w:t>4. Private, Protected Asset Delivery</w:t>
              <w:br/>
              <w:t>(No Public Attachments)</w:t>
            </w:r>
          </w:p>
        </w:tc>
        <w:tc>
          <w:tcPr>
            <w:tcW w:type="dxa" w:w="6768"/>
            <w:shd w:fill="FFFFFF"/>
            <w:tcMar>
              <w:top w:w="80" w:type="dxa"/>
              <w:bottom w:w="80" w:type="dxa"/>
              <w:left w:w="120" w:type="dxa"/>
              <w:right w:w="120" w:type="dxa"/>
            </w:tcMar>
            <w:tcBorders>
              <w:top w:val="single" w:sz="4" w:space="0" w:color="CBD5E1"/>
              <w:left w:val="none"/>
              <w:bottom w:val="single" w:sz="4" w:space="0" w:color="CBD5E1"/>
              <w:right w:val="none"/>
            </w:tcBorders>
          </w:tcPr>
          <w:p>
            <w:pPr>
              <w:spacing w:after="0"/>
            </w:pPr>
            <w:r>
              <w:rPr>
                <w:sz w:val="18"/>
              </w:rPr>
              <w:t>Prescriptions and billing invoices are never exposed as open, public attachments. They are delivered through secure, time-limited download links designed to expire automatically for patient privacy.</w:t>
            </w:r>
          </w:p>
        </w:tc>
      </w:tr>
    </w:tbl>
    <w:p>
      <w:pPr>
        <w:spacing w:after="120"/>
      </w:pPr>
    </w:p>
    <w:p>
      <w:pPr>
        <w:spacing w:before="240" w:after="120"/>
      </w:pPr>
      <w:r>
        <w:rPr>
          <w:b/>
          <w:color w:val="1A365D"/>
          <w:sz w:val="28"/>
        </w:rPr>
        <w:t>3. Security &amp; Privacy FAQ (3 Key Questions)</w:t>
      </w:r>
    </w:p>
    <w:p>
      <w:pPr>
        <w:spacing w:before="80" w:after="80"/>
      </w:pPr>
      <w:r>
        <w:rPr>
          <w:b/>
          <w:color w:val="0D9488"/>
          <w:sz w:val="19"/>
        </w:rPr>
        <w:t>Q: How does Zenvy protect patient consultation data?</w:t>
        <w:br/>
      </w:r>
      <w:r>
        <w:rPr>
          <w:sz w:val="19"/>
        </w:rPr>
        <w:t>A: Zenvy isolates clinical records so only authorized treating doctors can review medical histories. All web dashboards, patient tracking links, and API communications enforce encrypted HTTPS connections.</w:t>
      </w:r>
    </w:p>
    <w:p>
      <w:pPr>
        <w:spacing w:before="80" w:after="80"/>
      </w:pPr>
      <w:r>
        <w:rPr>
          <w:b/>
          <w:color w:val="0D9488"/>
          <w:sz w:val="19"/>
        </w:rPr>
        <w:t>Q: Can patients stop receiving notifications at any time?</w:t>
        <w:br/>
      </w:r>
      <w:r>
        <w:rPr>
          <w:sz w:val="19"/>
        </w:rPr>
        <w:t>A: Yes. Every communication sent via SMS or WhatsApp contains an immediate opt-out option. Patients can simply text back 'STOP' or use our one-tap link to stop receiving digital alerts immediately.</w:t>
      </w:r>
    </w:p>
    <w:p>
      <w:pPr>
        <w:spacing w:before="80" w:after="80"/>
      </w:pPr>
      <w:r>
        <w:rPr>
          <w:b/>
          <w:color w:val="0D9488"/>
          <w:sz w:val="19"/>
        </w:rPr>
        <w:t>Q: Are medical records sold or shared with third parties?</w:t>
        <w:br/>
      </w:r>
      <w:r>
        <w:rPr>
          <w:sz w:val="19"/>
        </w:rPr>
        <w:t>A: Never. Patient demographic and medical information is processed exclusively to deliver clinic operations, queue updates, and digital health records. We do not sell or monetize personal health data.</w:t>
      </w:r>
    </w:p>
    <w:p>
      <w:pPr>
        <w:spacing w:before="240" w:after="80"/>
      </w:pPr>
      <w:r>
        <w:rPr>
          <w:b/>
          <w:color w:val="1A365D"/>
          <w:sz w:val="28"/>
        </w:rPr>
        <w:t>4. Security Inquiries &amp; Contact Block</w:t>
      </w:r>
    </w:p>
    <w:p>
      <w:pPr>
        <w:spacing w:before="40" w:after="40"/>
      </w:pPr>
      <w:r>
        <w:t xml:space="preserve">Have questions about our data practices or need help with patient privacy? Reach our team directly at: </w:t>
      </w:r>
      <w:r>
        <w:rPr>
          <w:b/>
          <w:color w:val="0D9488"/>
        </w:rPr>
        <w:t>privacy@zenvyhealth.com</w:t>
      </w:r>
      <w:r>
        <w:t xml:space="preserve"> or </w:t>
      </w:r>
      <w:r>
        <w:rPr>
          <w:b/>
          <w:color w:val="0D9488"/>
        </w:rPr>
        <w:t>support@zenvyhealth.com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