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B3A5C"/>
          <w:sz w:val="36"/>
          <w:szCs w:val="36"/>
        </w:rPr>
        <w:t xml:space="preserve">Working-Capital Diagnostic</w:t>
      </w:r>
    </w:p>
    <w:p>
      <w:pPr>
        <w:spacing w:after="20"/>
      </w:pPr>
      <w:r>
        <w:rPr>
          <w:rFonts w:ascii="Arial" w:cs="Arial" w:eastAsia="Arial" w:hAnsi="Arial"/>
          <w:color w:val="666666"/>
          <w:sz w:val="22"/>
          <w:szCs w:val="22"/>
        </w:rPr>
        <w:t xml:space="preserve">AI-powered inventory value-at-stake assessment for a GCC FMCG/pharma distributor</w:t>
      </w:r>
    </w:p>
    <w:p>
      <w:pPr>
        <w:pBdr>
          <w:bottom w:val="single" w:color="1B3A5C" w:sz="4" w:space="4"/>
        </w:pBdr>
        <w:spacing w:after="80"/>
      </w:pPr>
    </w:p>
    <w:p>
      <w:pPr>
        <w:spacing w:after="120" w:before="280"/>
      </w:pPr>
      <w:r>
        <w:rPr>
          <w:rFonts w:ascii="Arial" w:cs="Arial" w:eastAsia="Arial" w:hAnsi="Arial"/>
          <w:b/>
          <w:bCs/>
          <w:color w:val="1B3A5C"/>
          <w:spacing w:val="60"/>
          <w:sz w:val="21"/>
          <w:szCs w:val="21"/>
        </w:rPr>
        <w:t xml:space="preserve">SITUATION</w:t>
      </w:r>
    </w:p>
    <w:p>
      <w:pPr>
        <w:spacing w:after="140" w:line="260"/>
      </w:pPr>
      <w:r>
        <w:rPr>
          <w:rFonts w:ascii="Arial" w:cs="Arial" w:eastAsia="Arial" w:hAnsi="Arial"/>
          <w:color w:val="4A4A4A"/>
          <w:sz w:val="20"/>
          <w:szCs w:val="20"/>
        </w:rPr>
        <w:t xml:space="preserve">A GCC-based FMCG and pharmaceutical distributor manages 600 active SKUs with </w:t>
      </w:r>
      <w:r>
        <w:rPr>
          <w:rFonts w:ascii="Arial" w:cs="Arial" w:eastAsia="Arial" w:hAnsi="Arial"/>
          <w:b/>
          <w:bCs/>
          <w:color w:val="000000"/>
          <w:sz w:val="20"/>
          <w:szCs w:val="20"/>
        </w:rPr>
        <w:t xml:space="preserve">AED 106M</w:t>
      </w:r>
      <w:r>
        <w:rPr>
          <w:rFonts w:ascii="Arial" w:cs="Arial" w:eastAsia="Arial" w:hAnsi="Arial"/>
          <w:color w:val="4A4A4A"/>
          <w:sz w:val="20"/>
          <w:szCs w:val="20"/>
        </w:rPr>
        <w:t xml:space="preserve"> in on-hand inventory. Cash is visibly tight but the business cannot pinpoint where it is trapped. Supply chain, procurement, finance, and warehouse teams work from disconnected systems. Problems surface when they hit the P&amp;L, not when they are still correctable.</w:t>
      </w:r>
    </w:p>
    <w:p>
      <w:pPr>
        <w:spacing w:after="140" w:line="260"/>
      </w:pPr>
      <w:r>
        <w:rPr>
          <w:rFonts w:ascii="Arial" w:cs="Arial" w:eastAsia="Arial" w:hAnsi="Arial"/>
          <w:color w:val="4A4A4A"/>
          <w:sz w:val="20"/>
          <w:szCs w:val="20"/>
        </w:rPr>
        <w:t xml:space="preserve">The distributor asked a direct question: where is our cash locked, how much can we release, and what do we do first?</w:t>
      </w:r>
    </w:p>
    <w:p>
      <w:pPr>
        <w:spacing w:after="120" w:before="280"/>
      </w:pPr>
      <w:r>
        <w:rPr>
          <w:rFonts w:ascii="Arial" w:cs="Arial" w:eastAsia="Arial" w:hAnsi="Arial"/>
          <w:b/>
          <w:bCs/>
          <w:color w:val="1B3A5C"/>
          <w:spacing w:val="60"/>
          <w:sz w:val="21"/>
          <w:szCs w:val="21"/>
        </w:rPr>
        <w:t xml:space="preserve">APPROACH</w:t>
      </w:r>
    </w:p>
    <w:p>
      <w:pPr>
        <w:spacing w:after="140" w:line="260"/>
      </w:pPr>
      <w:r>
        <w:rPr>
          <w:rFonts w:ascii="Arial" w:cs="Arial" w:eastAsia="Arial" w:hAnsi="Arial"/>
          <w:color w:val="4A4A4A"/>
          <w:sz w:val="20"/>
          <w:szCs w:val="20"/>
        </w:rPr>
        <w:t xml:space="preserve">Liquidity Lens is an AI diagnostic that reads raw inventory, sales, and supplier data and produces a board-ready value-at-stake assessment. The tool runs a full portfolio analysis in minutes, replacing the weeks a manual working-capital review typically requires.</w:t>
      </w:r>
    </w:p>
    <w:p>
      <w:pPr>
        <w:spacing w:after="140" w:line="260"/>
      </w:pPr>
      <w:r>
        <w:rPr>
          <w:rFonts w:ascii="Arial" w:cs="Arial" w:eastAsia="Arial" w:hAnsi="Arial"/>
          <w:color w:val="4A4A4A"/>
          <w:sz w:val="20"/>
          <w:szCs w:val="20"/>
        </w:rPr>
        <w:t xml:space="preserve">The diagnostic segments SKUs by ABC-XYZ classification, computes target inventory levels using a periodic-review order-up-to model calibrated to each SKU’s lead time and demand variability, and identifies three risk clusters: excess cash that is safe to release, expiry exposure that requires triage, and stockout risk that requires replenishment.</w:t>
      </w:r>
    </w:p>
    <w:p>
      <w:pPr>
        <w:spacing w:after="120" w:before="280"/>
      </w:pPr>
      <w:r>
        <w:rPr>
          <w:rFonts w:ascii="Arial" w:cs="Arial" w:eastAsia="Arial" w:hAnsi="Arial"/>
          <w:b/>
          <w:bCs/>
          <w:color w:val="1B3A5C"/>
          <w:spacing w:val="60"/>
          <w:sz w:val="21"/>
          <w:szCs w:val="21"/>
        </w:rPr>
        <w:t xml:space="preserve">FINDINGS</w:t>
      </w:r>
    </w:p>
    <w:p>
      <w:pPr>
        <w:spacing w:after="140" w:line="260"/>
      </w:pPr>
      <w:r>
        <w:rPr>
          <w:rFonts w:ascii="Arial" w:cs="Arial" w:eastAsia="Arial" w:hAnsi="Arial"/>
          <w:color w:val="4A4A4A"/>
          <w:sz w:val="20"/>
          <w:szCs w:val="20"/>
        </w:rPr>
        <w:t xml:space="preserve">Value at stake: </w:t>
      </w:r>
      <w:r>
        <w:rPr>
          <w:rFonts w:ascii="Arial" w:cs="Arial" w:eastAsia="Arial" w:hAnsi="Arial"/>
          <w:b/>
          <w:bCs/>
          <w:color w:val="000000"/>
          <w:sz w:val="20"/>
          <w:szCs w:val="20"/>
        </w:rPr>
        <w:t xml:space="preserve">AED 23.5M</w:t>
      </w:r>
      <w:r>
        <w:rPr>
          <w:rFonts w:ascii="Arial" w:cs="Arial" w:eastAsia="Arial" w:hAnsi="Arial"/>
          <w:color w:val="4A4A4A"/>
          <w:sz w:val="20"/>
          <w:szCs w:val="20"/>
        </w:rPr>
        <w:t xml:space="preserve"> across 294 of 600 SKUs, representing </w:t>
      </w:r>
      <w:r>
        <w:rPr>
          <w:rFonts w:ascii="Arial" w:cs="Arial" w:eastAsia="Arial" w:hAnsi="Arial"/>
          <w:b/>
          <w:bCs/>
          <w:color w:val="000000"/>
          <w:sz w:val="20"/>
          <w:szCs w:val="20"/>
        </w:rPr>
        <w:t xml:space="preserve">22%</w:t>
      </w:r>
      <w:r>
        <w:rPr>
          <w:rFonts w:ascii="Arial" w:cs="Arial" w:eastAsia="Arial" w:hAnsi="Arial"/>
          <w:color w:val="4A4A4A"/>
          <w:sz w:val="20"/>
          <w:szCs w:val="20"/>
        </w:rPr>
        <w:t xml:space="preserve"> of portfolio value.</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406"/>
      </w:tblGrid>
      <w:tr>
        <w:tc>
          <w:tcPr>
            <w:tcW w:type="dxa" w:w="32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Risk Cluster</w:t>
            </w:r>
          </w:p>
        </w:tc>
        <w:tc>
          <w:tcPr>
            <w:tcW w:type="dxa" w:w="24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Value at Stake (AED)</w:t>
            </w:r>
          </w:p>
        </w:tc>
        <w:tc>
          <w:tcPr>
            <w:tcW w:type="dxa" w:w="15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SKUs</w:t>
            </w:r>
          </w:p>
        </w:tc>
        <w:tc>
          <w:tcPr>
            <w:tcW w:type="dxa" w:w="2406"/>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 Owner</w:t>
            </w:r>
          </w:p>
        </w:tc>
      </w:tr>
      <w:tr>
        <w:tc>
          <w:tcPr>
            <w:tcW w:type="dxa" w:w="32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Slow-moving excess</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right"/>
            </w:pPr>
            <w:r>
              <w:rPr>
                <w:rFonts w:ascii="Arial" w:cs="Arial" w:eastAsia="Arial" w:hAnsi="Arial"/>
                <w:b w:val="false"/>
                <w:bCs w:val="false"/>
                <w:color w:val="4A4A4A"/>
                <w:sz w:val="19"/>
                <w:szCs w:val="19"/>
              </w:rPr>
              <w:t xml:space="preserve">18,819,465</w:t>
            </w:r>
          </w:p>
        </w:tc>
        <w:tc>
          <w:tcPr>
            <w:tcW w:type="dxa" w:w="15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center"/>
            </w:pPr>
            <w:r>
              <w:rPr>
                <w:rFonts w:ascii="Arial" w:cs="Arial" w:eastAsia="Arial" w:hAnsi="Arial"/>
                <w:b w:val="false"/>
                <w:bCs w:val="false"/>
                <w:color w:val="4A4A4A"/>
                <w:sz w:val="19"/>
                <w:szCs w:val="19"/>
              </w:rPr>
              <w:t xml:space="preserve">191</w:t>
            </w:r>
          </w:p>
        </w:tc>
        <w:tc>
          <w:tcPr>
            <w:tcW w:type="dxa" w:w="2406"/>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CFO / Procurement</w:t>
            </w:r>
          </w:p>
        </w:tc>
      </w:tr>
      <w:tr>
        <w:tc>
          <w:tcPr>
            <w:tcW w:type="dxa" w:w="32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Near-expiry pharma</w:t>
            </w:r>
          </w:p>
        </w:tc>
        <w:tc>
          <w:tcPr>
            <w:tcW w:type="dxa" w:w="24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right"/>
            </w:pPr>
            <w:r>
              <w:rPr>
                <w:rFonts w:ascii="Arial" w:cs="Arial" w:eastAsia="Arial" w:hAnsi="Arial"/>
                <w:b w:val="false"/>
                <w:bCs w:val="false"/>
                <w:color w:val="4A4A4A"/>
                <w:sz w:val="19"/>
                <w:szCs w:val="19"/>
              </w:rPr>
              <w:t xml:space="preserve">280,657</w:t>
            </w:r>
          </w:p>
        </w:tc>
        <w:tc>
          <w:tcPr>
            <w:tcW w:type="dxa" w:w="15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center"/>
            </w:pPr>
            <w:r>
              <w:rPr>
                <w:rFonts w:ascii="Arial" w:cs="Arial" w:eastAsia="Arial" w:hAnsi="Arial"/>
                <w:b w:val="false"/>
                <w:bCs w:val="false"/>
                <w:color w:val="4A4A4A"/>
                <w:sz w:val="19"/>
                <w:szCs w:val="19"/>
              </w:rPr>
              <w:t xml:space="preserve">30</w:t>
            </w:r>
          </w:p>
        </w:tc>
        <w:tc>
          <w:tcPr>
            <w:tcW w:type="dxa" w:w="2406"/>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COO / Regulatory</w:t>
            </w:r>
          </w:p>
        </w:tc>
      </w:tr>
      <w:tr>
        <w:tc>
          <w:tcPr>
            <w:tcW w:type="dxa" w:w="32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Stockout risk (margin loss)</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right"/>
            </w:pPr>
            <w:r>
              <w:rPr>
                <w:rFonts w:ascii="Arial" w:cs="Arial" w:eastAsia="Arial" w:hAnsi="Arial"/>
                <w:b w:val="false"/>
                <w:bCs w:val="false"/>
                <w:color w:val="4A4A4A"/>
                <w:sz w:val="19"/>
                <w:szCs w:val="19"/>
              </w:rPr>
              <w:t xml:space="preserve">4,419,582</w:t>
            </w:r>
          </w:p>
        </w:tc>
        <w:tc>
          <w:tcPr>
            <w:tcW w:type="dxa" w:w="15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center"/>
            </w:pPr>
            <w:r>
              <w:rPr>
                <w:rFonts w:ascii="Arial" w:cs="Arial" w:eastAsia="Arial" w:hAnsi="Arial"/>
                <w:b w:val="false"/>
                <w:bCs w:val="false"/>
                <w:color w:val="4A4A4A"/>
                <w:sz w:val="19"/>
                <w:szCs w:val="19"/>
              </w:rPr>
              <w:t xml:space="preserve">84</w:t>
            </w:r>
          </w:p>
        </w:tc>
        <w:tc>
          <w:tcPr>
            <w:tcW w:type="dxa" w:w="2406"/>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COO / Supply Chain</w:t>
            </w:r>
          </w:p>
        </w:tc>
      </w:tr>
      <w:tr>
        <w:tc>
          <w:tcPr>
            <w:tcW w:type="dxa" w:w="32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left"/>
            </w:pPr>
            <w:r>
              <w:rPr>
                <w:rFonts w:ascii="Arial" w:cs="Arial" w:eastAsia="Arial" w:hAnsi="Arial"/>
                <w:b/>
                <w:bCs/>
                <w:color w:val="000000"/>
                <w:sz w:val="19"/>
                <w:szCs w:val="19"/>
              </w:rPr>
              <w:t xml:space="preserve">Total value at stake</w:t>
            </w:r>
          </w:p>
        </w:tc>
        <w:tc>
          <w:tcPr>
            <w:tcW w:type="dxa" w:w="24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right"/>
            </w:pPr>
            <w:r>
              <w:rPr>
                <w:rFonts w:ascii="Arial" w:cs="Arial" w:eastAsia="Arial" w:hAnsi="Arial"/>
                <w:b/>
                <w:bCs/>
                <w:color w:val="000000"/>
                <w:sz w:val="19"/>
                <w:szCs w:val="19"/>
              </w:rPr>
              <w:t xml:space="preserve">23,519,704</w:t>
            </w:r>
          </w:p>
        </w:tc>
        <w:tc>
          <w:tcPr>
            <w:tcW w:type="dxa" w:w="15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center"/>
            </w:pPr>
            <w:r>
              <w:rPr>
                <w:rFonts w:ascii="Arial" w:cs="Arial" w:eastAsia="Arial" w:hAnsi="Arial"/>
                <w:b/>
                <w:bCs/>
                <w:color w:val="000000"/>
                <w:sz w:val="19"/>
                <w:szCs w:val="19"/>
              </w:rPr>
              <w:t xml:space="preserve">294</w:t>
            </w:r>
          </w:p>
        </w:tc>
        <w:tc>
          <w:tcPr>
            <w:tcW w:type="dxa" w:w="2406"/>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
            </w:r>
          </w:p>
        </w:tc>
      </w:tr>
    </w:tbl>
    <w:p>
      <w:pPr>
        <w:spacing w:after="80"/>
      </w:pPr>
    </w:p>
    <w:p>
      <w:pPr>
        <w:spacing w:after="120" w:before="280"/>
      </w:pPr>
      <w:r>
        <w:rPr>
          <w:rFonts w:ascii="Arial" w:cs="Arial" w:eastAsia="Arial" w:hAnsi="Arial"/>
          <w:b/>
          <w:bCs/>
          <w:color w:val="1B3A5C"/>
          <w:spacing w:val="60"/>
          <w:sz w:val="21"/>
          <w:szCs w:val="21"/>
        </w:rPr>
        <w:t xml:space="preserve">ROOT CAUSES</w:t>
      </w:r>
    </w:p>
    <w:p>
      <w:pPr>
        <w:spacing w:after="140" w:line="260"/>
      </w:pPr>
      <w:r>
        <w:rPr>
          <w:rFonts w:ascii="Arial" w:cs="Arial" w:eastAsia="Arial" w:hAnsi="Arial"/>
          <w:b/>
          <w:bCs/>
          <w:color w:val="1B3A5C"/>
          <w:sz w:val="20"/>
          <w:szCs w:val="20"/>
        </w:rPr>
        <w:t xml:space="preserve">Excess inventory (AED 18.8M). </w:t>
      </w:r>
      <w:r>
        <w:rPr>
          <w:rFonts w:ascii="Arial" w:cs="Arial" w:eastAsia="Arial" w:hAnsi="Arial"/>
          <w:color w:val="4A4A4A"/>
          <w:sz w:val="20"/>
          <w:szCs w:val="20"/>
        </w:rPr>
        <w:t xml:space="preserve">Supplier minimum order quantities are set at levels that deliver 6–12 months of cover per order for C·Z items (low value, unpredictable demand) that sell a few units per month. The target coverage level accounts for lead time, review period, and demand variability. Everything above it is releasable without service-level risk.</w:t>
      </w:r>
    </w:p>
    <w:p>
      <w:pPr>
        <w:spacing w:after="140" w:line="260"/>
      </w:pPr>
      <w:r>
        <w:rPr>
          <w:rFonts w:ascii="Arial" w:cs="Arial" w:eastAsia="Arial" w:hAnsi="Arial"/>
          <w:b/>
          <w:bCs/>
          <w:color w:val="1B3A5C"/>
          <w:sz w:val="20"/>
          <w:szCs w:val="20"/>
        </w:rPr>
        <w:t xml:space="preserve">Expiry exposure (AED 281K). </w:t>
      </w:r>
      <w:r>
        <w:rPr>
          <w:rFonts w:ascii="Arial" w:cs="Arial" w:eastAsia="Arial" w:hAnsi="Arial"/>
          <w:color w:val="4A4A4A"/>
          <w:sz w:val="20"/>
          <w:szCs w:val="20"/>
        </w:rPr>
        <w:t xml:space="preserve">30 pharma SKUs have batches expiring within 27–45 days. FEFO enforcement is inconsistent and no automated trigger links batch expiry dates to sell-through actions. Without intervention, this converts directly to a P&amp;L write-off.</w:t>
      </w:r>
    </w:p>
    <w:p>
      <w:pPr>
        <w:spacing w:after="140" w:line="260"/>
      </w:pPr>
      <w:r>
        <w:rPr>
          <w:rFonts w:ascii="Arial" w:cs="Arial" w:eastAsia="Arial" w:hAnsi="Arial"/>
          <w:b/>
          <w:bCs/>
          <w:color w:val="1B3A5C"/>
          <w:sz w:val="20"/>
          <w:szCs w:val="20"/>
        </w:rPr>
        <w:t xml:space="preserve">Stockout risk (AED 4.4M margin at risk). </w:t>
      </w:r>
      <w:r>
        <w:rPr>
          <w:rFonts w:ascii="Arial" w:cs="Arial" w:eastAsia="Arial" w:hAnsi="Arial"/>
          <w:color w:val="4A4A4A"/>
          <w:sz w:val="20"/>
          <w:szCs w:val="20"/>
        </w:rPr>
        <w:t xml:space="preserve">84 A·X items (high value, stable demand) are below their order-up-to level. Reorder triggers are not calibrated to actual lead times of 40–90 days. The diagnostic explicitly excludes these from any drawdown: releasing stock here would crystallise the margin loss the plan is trying to prevent.</w:t>
      </w:r>
    </w:p>
    <w:p>
      <w:r>
        <w:br w:type="page"/>
      </w:r>
    </w:p>
    <w:p>
      <w:pPr>
        <w:spacing w:after="120" w:before="280"/>
      </w:pPr>
      <w:r>
        <w:rPr>
          <w:rFonts w:ascii="Arial" w:cs="Arial" w:eastAsia="Arial" w:hAnsi="Arial"/>
          <w:b/>
          <w:bCs/>
          <w:color w:val="1B3A5C"/>
          <w:spacing w:val="60"/>
          <w:sz w:val="21"/>
          <w:szCs w:val="21"/>
        </w:rPr>
        <w:t xml:space="preserve">RECOMMENDED ACTIONS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906"/>
      </w:tblGrid>
      <w:tr>
        <w:tc>
          <w:tcPr>
            <w:tcW w:type="dxa" w:w="12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24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 (AED)</w:t>
            </w:r>
          </w:p>
        </w:tc>
        <w:tc>
          <w:tcPr>
            <w:tcW w:type="dxa" w:w="5906"/>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Action</w:t>
            </w:r>
          </w:p>
        </w:tc>
      </w:tr>
      <w:tr>
        <w:tc>
          <w:tcPr>
            <w:tcW w:type="dxa" w:w="12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bCs/>
                <w:color w:val="000000"/>
                <w:sz w:val="19"/>
                <w:szCs w:val="19"/>
              </w:rPr>
              <w:t xml:space="preserve">Immediate</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18,819,465</w:t>
            </w:r>
          </w:p>
        </w:tc>
        <w:tc>
          <w:tcPr>
            <w:tcW w:type="dxa" w:w="5906"/>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Authorise return-to-vendor and markdowns for 191 safe-to-release SKUs. Renegotiate MOQs with Peninsula, Levant, Sino-Gulf.</w:t>
            </w:r>
          </w:p>
        </w:tc>
      </w:tr>
      <w:tr>
        <w:tc>
          <w:tcPr>
            <w:tcW w:type="dxa" w:w="12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2 weeks</w:t>
            </w:r>
          </w:p>
        </w:tc>
        <w:tc>
          <w:tcPr>
            <w:tcW w:type="dxa" w:w="24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280,657</w:t>
            </w:r>
          </w:p>
        </w:tc>
        <w:tc>
          <w:tcPr>
            <w:tcW w:type="dxa" w:w="5906"/>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Triage 30 near-expiry pharma SKUs. FEFO reallocation to high-velocity channels. Regulatory sign-off for write-offs.</w:t>
            </w:r>
          </w:p>
        </w:tc>
      </w:tr>
      <w:tr>
        <w:tc>
          <w:tcPr>
            <w:tcW w:type="dxa" w:w="12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bCs/>
                <w:color w:val="000000"/>
                <w:sz w:val="19"/>
                <w:szCs w:val="19"/>
              </w:rPr>
              <w:t xml:space="preserve">4 weeks</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4,419,582</w:t>
            </w:r>
          </w:p>
        </w:tc>
        <w:tc>
          <w:tcPr>
            <w:tcW w:type="dxa" w:w="5906"/>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Expedite replenishment for 84 stockout-risk SKUs. Dual-sourcing and air freight. Do not release stock.</w:t>
            </w:r>
          </w:p>
        </w:tc>
      </w:tr>
    </w:tbl>
    <w:p>
      <w:pPr>
        <w:spacing w:after="60"/>
      </w:pPr>
    </w:p>
    <w:p>
      <w:pPr>
        <w:spacing w:after="140" w:line="260"/>
      </w:pPr>
      <w:r>
        <w:rPr>
          <w:rFonts w:ascii="Arial" w:cs="Arial" w:eastAsia="Arial" w:hAnsi="Arial"/>
          <w:color w:val="4A4A4A"/>
          <w:sz w:val="20"/>
          <w:szCs w:val="20"/>
        </w:rPr>
        <w:t xml:space="preserve">The CFO should prioritise unlocking AED 18.8M in working capital as the immediate cash-flow action. The COO coordinates parallel tracks on expiry triage and stockout replenishment to protect margin. All three tracks run simultaneously with different owners.</w:t>
      </w:r>
    </w:p>
    <w:p>
      <w:pPr>
        <w:spacing w:after="120" w:before="280"/>
      </w:pPr>
      <w:r>
        <w:rPr>
          <w:rFonts w:ascii="Arial" w:cs="Arial" w:eastAsia="Arial" w:hAnsi="Arial"/>
          <w:b/>
          <w:bCs/>
          <w:color w:val="1B3A5C"/>
          <w:spacing w:val="60"/>
          <w:sz w:val="21"/>
          <w:szCs w:val="21"/>
        </w:rPr>
        <w:t xml:space="preserve">ARCHITECTURE: HOW TRUST IS BUILT</w:t>
      </w:r>
    </w:p>
    <w:p>
      <w:pPr>
        <w:spacing w:after="140" w:line="260"/>
      </w:pPr>
      <w:r>
        <w:rPr>
          <w:rFonts w:ascii="Arial" w:cs="Arial" w:eastAsia="Arial" w:hAnsi="Arial"/>
          <w:color w:val="4A4A4A"/>
          <w:sz w:val="20"/>
          <w:szCs w:val="20"/>
        </w:rPr>
        <w:t xml:space="preserve">The diagnostic has two layers, strictly separated. A </w:t>
      </w:r>
      <w:r>
        <w:rPr>
          <w:rFonts w:ascii="Arial" w:cs="Arial" w:eastAsia="Arial" w:hAnsi="Arial"/>
          <w:b/>
          <w:bCs/>
          <w:color w:val="000000"/>
          <w:sz w:val="20"/>
          <w:szCs w:val="20"/>
        </w:rPr>
        <w:t xml:space="preserve">deterministic analytics core</w:t>
      </w:r>
      <w:r>
        <w:rPr>
          <w:rFonts w:ascii="Arial" w:cs="Arial" w:eastAsia="Arial" w:hAnsi="Arial"/>
          <w:color w:val="4A4A4A"/>
          <w:sz w:val="20"/>
          <w:szCs w:val="20"/>
        </w:rPr>
        <w:t xml:space="preserve"> (Python) computes every number: days of inventory, excess above order-up-to level, FEFO expiry risk, stockout shortfall, and value-at-stake rollup with overlap de-duplication. All calculations are tested against hand-verified fixtures across 84 automated tests.</w:t>
      </w:r>
    </w:p>
    <w:p>
      <w:pPr>
        <w:spacing w:after="140" w:line="260"/>
      </w:pPr>
      <w:r>
        <w:rPr>
          <w:rFonts w:ascii="Arial" w:cs="Arial" w:eastAsia="Arial" w:hAnsi="Arial"/>
          <w:color w:val="4A4A4A"/>
          <w:sz w:val="20"/>
          <w:szCs w:val="20"/>
        </w:rPr>
        <w:t xml:space="preserve">An </w:t>
      </w:r>
      <w:r>
        <w:rPr>
          <w:rFonts w:ascii="Arial" w:cs="Arial" w:eastAsia="Arial" w:hAnsi="Arial"/>
          <w:b/>
          <w:bCs/>
          <w:color w:val="000000"/>
          <w:sz w:val="20"/>
          <w:szCs w:val="20"/>
        </w:rPr>
        <w:t xml:space="preserve">AI reasoning layer</w:t>
      </w:r>
      <w:r>
        <w:rPr>
          <w:rFonts w:ascii="Arial" w:cs="Arial" w:eastAsia="Arial" w:hAnsi="Arial"/>
          <w:color w:val="4A4A4A"/>
          <w:sz w:val="20"/>
          <w:szCs w:val="20"/>
        </w:rPr>
        <w:t xml:space="preserve"> (LangGraph six-node state machine, Claude) diagnoses root causes, writes recommendations, and drafts the board brief. The LLM never calculates. Every number enters the output through placeholder references to the deterministic core, enforced by a contract validator that rejects any AI-generated text containing a bare digit.</w:t>
      </w:r>
    </w:p>
    <w:p>
      <w:pPr>
        <w:spacing w:after="140" w:line="260"/>
      </w:pPr>
      <w:r>
        <w:rPr>
          <w:rFonts w:ascii="Arial" w:cs="Arial" w:eastAsia="Arial" w:hAnsi="Arial"/>
          <w:color w:val="4A4A4A"/>
          <w:sz w:val="20"/>
          <w:szCs w:val="20"/>
        </w:rPr>
        <w:t xml:space="preserve">This architecture solves the central problem with AI in consulting: trust. A partner can trace any number in the board brief back through the contract validator to a hand-checked test fixture. The AI adds judgment and narrative. The math is tested code.</w:t>
      </w:r>
    </w:p>
    <w:p>
      <w:pPr>
        <w:spacing w:after="120" w:before="280"/>
      </w:pPr>
      <w:r>
        <w:rPr>
          <w:rFonts w:ascii="Arial" w:cs="Arial" w:eastAsia="Arial" w:hAnsi="Arial"/>
          <w:b/>
          <w:bCs/>
          <w:color w:val="1B3A5C"/>
          <w:spacing w:val="60"/>
          <w:sz w:val="21"/>
          <w:szCs w:val="21"/>
        </w:rPr>
        <w:t xml:space="preserve">CAPABILITIES DEMONSTRATED</w:t>
      </w:r>
    </w:p>
    <w:p>
      <w:pPr>
        <w:spacing w:after="140" w:line="260"/>
      </w:pPr>
      <w:r>
        <w:rPr>
          <w:rFonts w:ascii="Arial" w:cs="Arial" w:eastAsia="Arial" w:hAnsi="Arial"/>
          <w:b/>
          <w:bCs/>
          <w:color w:val="1B3A5C"/>
          <w:sz w:val="20"/>
          <w:szCs w:val="20"/>
        </w:rPr>
        <w:t xml:space="preserve">Working-capital fluency. </w:t>
      </w:r>
      <w:r>
        <w:rPr>
          <w:rFonts w:ascii="Arial" w:cs="Arial" w:eastAsia="Arial" w:hAnsi="Arial"/>
          <w:color w:val="4A4A4A"/>
          <w:sz w:val="20"/>
          <w:szCs w:val="20"/>
        </w:rPr>
        <w:t xml:space="preserve">Inventory segmentation, periodic-review models, FEFO, service-level guardrails, and value-at-stake quantification at a level appropriate for client delivery in S&amp;O or transformation engagements.</w:t>
      </w:r>
    </w:p>
    <w:p>
      <w:pPr>
        <w:spacing w:after="140" w:line="260"/>
      </w:pPr>
      <w:r>
        <w:rPr>
          <w:rFonts w:ascii="Arial" w:cs="Arial" w:eastAsia="Arial" w:hAnsi="Arial"/>
          <w:b/>
          <w:bCs/>
          <w:color w:val="1B3A5C"/>
          <w:sz w:val="20"/>
          <w:szCs w:val="20"/>
        </w:rPr>
        <w:t xml:space="preserve">Value quantification. </w:t>
      </w:r>
      <w:r>
        <w:rPr>
          <w:rFonts w:ascii="Arial" w:cs="Arial" w:eastAsia="Arial" w:hAnsi="Arial"/>
          <w:color w:val="4A4A4A"/>
          <w:sz w:val="20"/>
          <w:szCs w:val="20"/>
        </w:rPr>
        <w:t xml:space="preserve">Not just identifying problems but sizing the opportunity, assigning owners, and sequencing actions by urgency and impact.</w:t>
      </w:r>
    </w:p>
    <w:p>
      <w:pPr>
        <w:spacing w:after="140" w:line="260"/>
      </w:pPr>
      <w:r>
        <w:rPr>
          <w:rFonts w:ascii="Arial" w:cs="Arial" w:eastAsia="Arial" w:hAnsi="Arial"/>
          <w:b/>
          <w:bCs/>
          <w:color w:val="1B3A5C"/>
          <w:sz w:val="20"/>
          <w:szCs w:val="20"/>
        </w:rPr>
        <w:t xml:space="preserve">Enterprise AI architecture. </w:t>
      </w:r>
      <w:r>
        <w:rPr>
          <w:rFonts w:ascii="Arial" w:cs="Arial" w:eastAsia="Arial" w:hAnsi="Arial"/>
          <w:color w:val="4A4A4A"/>
          <w:sz w:val="20"/>
          <w:szCs w:val="20"/>
        </w:rPr>
        <w:t xml:space="preserve">Mechanical separation of computation and reasoning. The contract validator enforces that the LLM cannot fabricate a number, even a correct one. This is the trust model that enterprise AI deployments require.</w:t>
      </w:r>
    </w:p>
    <w:p>
      <w:pPr>
        <w:spacing w:after="140" w:line="260"/>
      </w:pPr>
      <w:r>
        <w:rPr>
          <w:rFonts w:ascii="Arial" w:cs="Arial" w:eastAsia="Arial" w:hAnsi="Arial"/>
          <w:b/>
          <w:bCs/>
          <w:color w:val="1B3A5C"/>
          <w:sz w:val="20"/>
          <w:szCs w:val="20"/>
        </w:rPr>
        <w:t xml:space="preserve">End-to-end delivery. </w:t>
      </w:r>
      <w:r>
        <w:rPr>
          <w:rFonts w:ascii="Arial" w:cs="Arial" w:eastAsia="Arial" w:hAnsi="Arial"/>
          <w:color w:val="4A4A4A"/>
          <w:sz w:val="20"/>
          <w:szCs w:val="20"/>
        </w:rPr>
        <w:t xml:space="preserve">Data model, analytics engine, AI orchestration, REST API, interactive dashboard, and board-level narrative, built as a solo project using Claude Code, Python, FastAPI, LangGraph, PostgreSQL, and Next.js.</w:t>
      </w:r>
    </w:p>
    <w:p>
      <w:pPr>
        <w:spacing w:before="300"/>
      </w:pPr>
    </w:p>
    <w:p>
      <w:pPr>
        <w:pBdr>
          <w:bottom w:val="single" w:color="1B3A5C" w:sz="4" w:space="4"/>
        </w:pBdr>
        <w:spacing w:after="80"/>
      </w:pPr>
    </w:p>
    <w:p>
      <w:pPr>
        <w:spacing w:after="0"/>
      </w:pPr>
      <w:r>
        <w:rPr>
          <w:rFonts w:ascii="Arial" w:cs="Arial" w:eastAsia="Arial" w:hAnsi="Arial"/>
          <w:i/>
          <w:iCs/>
          <w:color w:val="999999"/>
          <w:sz w:val="17"/>
          <w:szCs w:val="17"/>
        </w:rPr>
        <w:t xml:space="preserve">Portfolio project demonstrating the intersection of consulting methodology, supply chain expertise, and AI product capability. Built solo using Claude Code, Python, FastAPI, LangGraph, PostgreSQL, and Next.js.</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1" w:space="6"/>
      </w:pBdr>
      <w:spacing w:before="0"/>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6"/>
      </w:pBdr>
      <w:tabs>
        <w:tab w:val="right" w:pos="9026"/>
      </w:tabs>
      <w:spacing w:after="0"/>
    </w:pPr>
    <w:r>
      <w:rPr>
        <w:rFonts w:ascii="Arial" w:cs="Arial" w:eastAsia="Arial" w:hAnsi="Arial"/>
        <w:b/>
        <w:bCs/>
        <w:color w:val="1B3A5C"/>
        <w:spacing w:val="80"/>
        <w:sz w:val="16"/>
        <w:szCs w:val="16"/>
      </w:rPr>
      <w:t xml:space="preserve">LIQUIDITY LENS</w:t>
    </w:r>
    <w:r>
      <w:rPr>
        <w:rFonts w:ascii="Arial" w:cs="Arial" w:eastAsia="Arial" w:hAnsi="Arial"/>
        <w:color w:val="999999"/>
        <w:sz w:val="16"/>
        <w:szCs w:val="16"/>
      </w:rPr>
      <w:t xml:space="preserve">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2026-06-07T14:34:11.052Z</dcterms:created>
  <dcterms:modified xsi:type="dcterms:W3CDTF">2026-06-07T14:34:11.065Z</dcterms:modified>
</cp:coreProperties>
</file>

<file path=docProps/custom.xml><?xml version="1.0" encoding="utf-8"?>
<Properties xmlns="http://schemas.openxmlformats.org/officeDocument/2006/custom-properties" xmlns:vt="http://schemas.openxmlformats.org/officeDocument/2006/docPropsVTypes"/>
</file>