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0F2540"/>
            <w:tcMar>
              <w:top w:w="150" w:type="dxa"/>
              <w:bottom w:w="150" w:type="dxa"/>
              <w:start w:w="200" w:type="dxa"/>
              <w:end w:w="200" w:type="dxa"/>
            </w:tcMar>
          </w:tcPr>
          <w:p>
            <w:pPr>
              <w:spacing w:after="0" w:before="0"/>
            </w:pPr>
            <w:r>
              <w:rPr>
                <w:rFonts w:ascii="Calibri" w:hAnsi="Calibri"/>
                <w:b/>
                <w:i w:val="0"/>
                <w:color w:val="FFFFFF"/>
                <w:sz w:val="34"/>
                <w:spacing w:val="10"/>
              </w:rPr>
              <w:t>OTIF ROOT-CAUSE ENGINE</w:t>
            </w:r>
          </w:p>
          <w:p>
            <w:pPr>
              <w:spacing w:after="0" w:before="40"/>
            </w:pPr>
            <w:r>
              <w:rPr>
                <w:rFonts w:ascii="Calibri" w:hAnsi="Calibri"/>
                <w:b w:val="0"/>
                <w:i w:val="0"/>
                <w:caps/>
                <w:color w:val="9FD6CE"/>
                <w:sz w:val="19"/>
                <w:spacing w:val="30"/>
              </w:rPr>
              <w:t>CASE STUDY</w:t>
            </w:r>
            <w:r>
              <w:rPr>
                <w:rFonts w:ascii="Calibri" w:hAnsi="Calibri"/>
                <w:b w:val="0"/>
                <w:i w:val="0"/>
                <w:color w:val="C7D3DF"/>
                <w:sz w:val="19"/>
              </w:rPr>
              <w:t xml:space="preserve">     Attributing delivery failures to a root cause, with the money next to each one.</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56"/>
        <w:gridCol w:w="2556"/>
        <w:gridCol w:w="2556"/>
        <w:gridCol w:w="2556"/>
      </w:tblGrid>
      <w:tr>
        <w:tc>
          <w:tcPr>
            <w:tcW w:type="dxa" w:w="2556"/>
            <w:shd w:val="clear" w:fill="0F2540"/>
            <w:tcMar>
              <w:top w:w="130" w:type="dxa"/>
              <w:bottom w:w="130" w:type="dxa"/>
              <w:start w:w="130" w:type="dxa"/>
              <w:end w:w="110" w:type="dxa"/>
            </w:tcMar>
          </w:tcPr>
          <w:p>
            <w:pPr>
              <w:spacing w:after="20" w:before="0"/>
            </w:pPr>
            <w:r>
              <w:rPr>
                <w:rFonts w:ascii="Calibri" w:hAnsi="Calibri"/>
                <w:b/>
                <w:i w:val="0"/>
                <w:color w:val="FFFFFF"/>
                <w:sz w:val="38"/>
              </w:rPr>
              <w:t>95.7%</w:t>
            </w:r>
          </w:p>
          <w:p>
            <w:pPr>
              <w:spacing w:after="0" w:before="40"/>
            </w:pPr>
            <w:r>
              <w:rPr>
                <w:rFonts w:ascii="Calibri" w:hAnsi="Calibri"/>
                <w:b/>
                <w:i w:val="0"/>
                <w:caps/>
                <w:color w:val="FFFFFF"/>
                <w:sz w:val="17"/>
                <w:spacing w:val="6"/>
              </w:rPr>
              <w:t>Overall accuracy</w:t>
            </w:r>
          </w:p>
          <w:p>
            <w:pPr>
              <w:spacing w:after="0" w:before="20"/>
            </w:pPr>
            <w:r>
              <w:rPr>
                <w:rFonts w:ascii="Calibri" w:hAnsi="Calibri"/>
                <w:b w:val="0"/>
                <w:i w:val="0"/>
                <w:color w:val="AFBECD"/>
                <w:sz w:val="15"/>
              </w:rPr>
              <w:t>canonical batch, seed 46</w:t>
            </w:r>
          </w:p>
        </w:tc>
        <w:tc>
          <w:tcPr>
            <w:tcW w:type="dxa" w:w="2556"/>
            <w:shd w:val="clear" w:fill="1C3A5E"/>
            <w:tcMar>
              <w:top w:w="130" w:type="dxa"/>
              <w:bottom w:w="130" w:type="dxa"/>
              <w:start w:w="130" w:type="dxa"/>
              <w:end w:w="110" w:type="dxa"/>
            </w:tcMar>
          </w:tcPr>
          <w:p>
            <w:pPr>
              <w:spacing w:after="20" w:before="0"/>
            </w:pPr>
            <w:r>
              <w:rPr>
                <w:rFonts w:ascii="Calibri" w:hAnsi="Calibri"/>
                <w:b/>
                <w:i w:val="0"/>
                <w:color w:val="FFFFFF"/>
                <w:sz w:val="38"/>
              </w:rPr>
              <w:t>85.5%</w:t>
            </w:r>
          </w:p>
          <w:p>
            <w:pPr>
              <w:spacing w:after="0" w:before="40"/>
            </w:pPr>
            <w:r>
              <w:rPr>
                <w:rFonts w:ascii="Calibri" w:hAnsi="Calibri"/>
                <w:b/>
                <w:i w:val="0"/>
                <w:caps/>
                <w:color w:val="FFFFFF"/>
                <w:sz w:val="17"/>
                <w:spacing w:val="6"/>
              </w:rPr>
              <w:t>Mean on hard orders</w:t>
            </w:r>
          </w:p>
          <w:p>
            <w:pPr>
              <w:spacing w:after="0" w:before="20"/>
            </w:pPr>
            <w:r>
              <w:rPr>
                <w:rFonts w:ascii="Calibri" w:hAnsi="Calibri"/>
                <w:b w:val="0"/>
                <w:i w:val="0"/>
                <w:color w:val="AFBECD"/>
                <w:sz w:val="15"/>
              </w:rPr>
              <w:t>across 6 independent batches</w:t>
            </w:r>
          </w:p>
        </w:tc>
        <w:tc>
          <w:tcPr>
            <w:tcW w:type="dxa" w:w="2556"/>
            <w:shd w:val="clear" w:fill="0F2540"/>
            <w:tcMar>
              <w:top w:w="130" w:type="dxa"/>
              <w:bottom w:w="130" w:type="dxa"/>
              <w:start w:w="130" w:type="dxa"/>
              <w:end w:w="110" w:type="dxa"/>
            </w:tcMar>
          </w:tcPr>
          <w:p>
            <w:pPr>
              <w:spacing w:after="20" w:before="0"/>
            </w:pPr>
            <w:r>
              <w:rPr>
                <w:rFonts w:ascii="Calibri" w:hAnsi="Calibri"/>
                <w:b/>
                <w:i w:val="0"/>
                <w:color w:val="FFFFFF"/>
                <w:sz w:val="38"/>
              </w:rPr>
              <w:t>+23.7</w:t>
            </w:r>
          </w:p>
          <w:p>
            <w:pPr>
              <w:spacing w:after="0" w:before="40"/>
            </w:pPr>
            <w:r>
              <w:rPr>
                <w:rFonts w:ascii="Calibri" w:hAnsi="Calibri"/>
                <w:b/>
                <w:i w:val="0"/>
                <w:caps/>
                <w:color w:val="FFFFFF"/>
                <w:sz w:val="17"/>
                <w:spacing w:val="6"/>
              </w:rPr>
              <w:t>Points mean lift</w:t>
            </w:r>
          </w:p>
          <w:p>
            <w:pPr>
              <w:spacing w:after="0" w:before="20"/>
            </w:pPr>
            <w:r>
              <w:rPr>
                <w:rFonts w:ascii="Calibri" w:hAnsi="Calibri"/>
                <w:b w:val="0"/>
                <w:i w:val="0"/>
                <w:color w:val="AFBECD"/>
                <w:sz w:val="15"/>
              </w:rPr>
              <w:t>vs a simple biggest-number rule</w:t>
            </w:r>
          </w:p>
        </w:tc>
        <w:tc>
          <w:tcPr>
            <w:tcW w:type="dxa" w:w="2556"/>
            <w:shd w:val="clear" w:fill="1C3A5E"/>
            <w:tcMar>
              <w:top w:w="130" w:type="dxa"/>
              <w:bottom w:w="130" w:type="dxa"/>
              <w:start w:w="130" w:type="dxa"/>
              <w:end w:w="110" w:type="dxa"/>
            </w:tcMar>
          </w:tcPr>
          <w:p>
            <w:pPr>
              <w:spacing w:after="20" w:before="0"/>
            </w:pPr>
            <w:r>
              <w:rPr>
                <w:rFonts w:ascii="Calibri" w:hAnsi="Calibri"/>
                <w:b/>
                <w:i w:val="0"/>
                <w:color w:val="FFFFFF"/>
                <w:sz w:val="27"/>
              </w:rPr>
              <w:t>AED 1,226,642</w:t>
            </w:r>
          </w:p>
          <w:p>
            <w:pPr>
              <w:spacing w:after="0" w:before="40"/>
            </w:pPr>
            <w:r>
              <w:rPr>
                <w:rFonts w:ascii="Calibri" w:hAnsi="Calibri"/>
                <w:b/>
                <w:i w:val="0"/>
                <w:caps/>
                <w:color w:val="FFFFFF"/>
                <w:sz w:val="17"/>
                <w:spacing w:val="6"/>
              </w:rPr>
              <w:t>Failure value attributed</w:t>
            </w:r>
          </w:p>
          <w:p>
            <w:pPr>
              <w:spacing w:after="0" w:before="20"/>
            </w:pPr>
            <w:r>
              <w:rPr>
                <w:rFonts w:ascii="Calibri" w:hAnsi="Calibri"/>
                <w:b w:val="0"/>
                <w:i w:val="0"/>
                <w:color w:val="AFBECD"/>
                <w:sz w:val="15"/>
              </w:rPr>
              <w:t>ranked by cash, seed 46</w:t>
            </w:r>
          </w:p>
        </w:tc>
      </w:tr>
    </w:tbl>
    <w:p>
      <w:pPr>
        <w:spacing w:before="240" w:after="40"/>
      </w:pPr>
      <w:r>
        <w:rPr>
          <w:rFonts w:ascii="Calibri" w:hAnsi="Calibri"/>
          <w:b/>
          <w:i w:val="0"/>
          <w:color w:val="0F2540"/>
          <w:sz w:val="24"/>
        </w:rPr>
        <w:t>The problem</w:t>
      </w:r>
    </w:p>
    <w:p>
      <w:pPr>
        <w:spacing w:before="0" w:after="160" w:line="283" w:lineRule="auto"/>
      </w:pPr>
      <w:r>
        <w:rPr>
          <w:rFonts w:ascii="Calibri" w:hAnsi="Calibri"/>
          <w:b w:val="0"/>
          <w:i w:val="0"/>
          <w:color w:val="1A1F28"/>
          <w:sz w:val="20"/>
        </w:rPr>
        <w:t>When on-time-in-full slips, nobody agrees on why. Planning blames the suppliers, the suppliers blame the forecast, the warehouse blames both, and logistics says the order left on time. It costs days of meetings and finger-pointing, and no single owner ever agrees to hold the number. The cause is real and knowable, but it is buried in per-order signals no one has time to reconcile by hand.</w:t>
      </w:r>
    </w:p>
    <w:p>
      <w:pPr>
        <w:spacing w:before="40" w:after="40"/>
      </w:pPr>
      <w:r>
        <w:rPr>
          <w:rFonts w:ascii="Calibri" w:hAnsi="Calibri"/>
          <w:b/>
          <w:i w:val="0"/>
          <w:color w:val="0F2540"/>
          <w:sz w:val="24"/>
        </w:rPr>
        <w:t>What the tool does</w:t>
      </w:r>
    </w:p>
    <w:p>
      <w:pPr>
        <w:spacing w:before="0" w:after="160" w:line="283" w:lineRule="auto"/>
      </w:pPr>
      <w:r>
        <w:rPr>
          <w:rFonts w:ascii="Calibri" w:hAnsi="Calibri"/>
          <w:b w:val="0"/>
          <w:i w:val="0"/>
          <w:color w:val="1A1F28"/>
          <w:sz w:val="20"/>
        </w:rPr>
        <w:t>Four specialist agents (one each for supplier, demand, warehouse, and logistics) investigate every failed order in parallel. A coordinator reads all four findings and names the one dominant cause, then ranks the causes by the cash behind them. The agents reason; they never produce a figure. Every number in the output is computed by tested code and checked before it can be shown, so nothing the model writes can invent a value.</w:t>
      </w:r>
    </w:p>
    <w:p>
      <w:pPr>
        <w:spacing w:before="40" w:after="80"/>
      </w:pPr>
      <w:r>
        <w:rPr>
          <w:rFonts w:ascii="Calibri" w:hAnsi="Calibri"/>
          <w:b/>
          <w:i w:val="0"/>
          <w:color w:val="0F2540"/>
          <w:sz w:val="24"/>
        </w:rPr>
        <w:t>Where the value sits (canonical batch, seed 46)</w:t>
      </w:r>
    </w:p>
    <w:tbl>
      <w:tblPr>
        <w:tblW w:type="auto" w:w="0"/>
        <w:tblLayout w:type="fixed"/>
        <w:tblLook w:firstColumn="1" w:firstRow="1" w:lastColumn="0" w:lastRow="0" w:noHBand="0" w:noVBand="1" w:val="04A0"/>
        <w:tblBorders>
          <w:top w:val="single" w:sz="4" w:color="D6DCE4"/>
          <w:bottom w:val="single" w:sz="4" w:color="D6DCE4"/>
          <w:insideH w:val="single" w:sz="4" w:color="D6DCE4"/>
          <w:left w:val="nil"/>
          <w:right w:val="nil"/>
          <w:insideV w:val="nil"/>
        </w:tblBorders>
      </w:tblPr>
      <w:tblGrid>
        <w:gridCol w:w="2045"/>
        <w:gridCol w:w="2045"/>
        <w:gridCol w:w="2045"/>
        <w:gridCol w:w="2045"/>
        <w:gridCol w:w="2045"/>
      </w:tblGrid>
      <w:tr>
        <w:tc>
          <w:tcPr>
            <w:tcW w:type="dxa" w:w="1656"/>
            <w:shd w:val="clear" w:fill="0F2540"/>
            <w:tcMar>
              <w:top w:w="60" w:type="dxa"/>
              <w:bottom w:w="60" w:type="dxa"/>
              <w:start w:w="110" w:type="dxa"/>
              <w:end w:w="110" w:type="dxa"/>
            </w:tcMar>
            <w:vAlign w:val="center"/>
          </w:tcPr>
          <w:p>
            <w:pPr>
              <w:spacing w:after="0" w:before="0"/>
              <w:jc w:val="left"/>
            </w:pPr>
            <w:r>
              <w:rPr>
                <w:rFonts w:ascii="Calibri" w:hAnsi="Calibri"/>
                <w:b/>
                <w:i w:val="0"/>
                <w:caps/>
                <w:color w:val="FFFFFF"/>
                <w:sz w:val="17"/>
                <w:spacing w:val="4"/>
              </w:rPr>
              <w:t>Driver</w:t>
            </w:r>
          </w:p>
        </w:tc>
        <w:tc>
          <w:tcPr>
            <w:tcW w:type="dxa" w:w="1944"/>
            <w:shd w:val="clear" w:fill="0F2540"/>
            <w:tcMar>
              <w:top w:w="60" w:type="dxa"/>
              <w:bottom w:w="60" w:type="dxa"/>
              <w:start w:w="110" w:type="dxa"/>
              <w:end w:w="110" w:type="dxa"/>
            </w:tcMar>
            <w:vAlign w:val="center"/>
          </w:tcPr>
          <w:p>
            <w:pPr>
              <w:spacing w:after="0" w:before="0"/>
              <w:jc w:val="right"/>
            </w:pPr>
            <w:r>
              <w:rPr>
                <w:rFonts w:ascii="Calibri" w:hAnsi="Calibri"/>
                <w:b/>
                <w:i w:val="0"/>
                <w:caps/>
                <w:color w:val="FFFFFF"/>
                <w:sz w:val="17"/>
                <w:spacing w:val="4"/>
              </w:rPr>
              <w:t>Value at stake</w:t>
            </w:r>
          </w:p>
        </w:tc>
        <w:tc>
          <w:tcPr>
            <w:tcW w:type="dxa" w:w="1152"/>
            <w:shd w:val="clear" w:fill="0F2540"/>
            <w:tcMar>
              <w:top w:w="60" w:type="dxa"/>
              <w:bottom w:w="60" w:type="dxa"/>
              <w:start w:w="110" w:type="dxa"/>
              <w:end w:w="110" w:type="dxa"/>
            </w:tcMar>
            <w:vAlign w:val="center"/>
          </w:tcPr>
          <w:p>
            <w:pPr>
              <w:spacing w:after="0" w:before="0"/>
              <w:jc w:val="right"/>
            </w:pPr>
            <w:r>
              <w:rPr>
                <w:rFonts w:ascii="Calibri" w:hAnsi="Calibri"/>
                <w:b/>
                <w:i w:val="0"/>
                <w:caps/>
                <w:color w:val="FFFFFF"/>
                <w:sz w:val="17"/>
                <w:spacing w:val="4"/>
              </w:rPr>
              <w:t>Share</w:t>
            </w:r>
          </w:p>
        </w:tc>
        <w:tc>
          <w:tcPr>
            <w:tcW w:type="dxa" w:w="1368"/>
            <w:shd w:val="clear" w:fill="0F2540"/>
            <w:tcMar>
              <w:top w:w="60" w:type="dxa"/>
              <w:bottom w:w="60" w:type="dxa"/>
              <w:start w:w="110" w:type="dxa"/>
              <w:end w:w="110" w:type="dxa"/>
            </w:tcMar>
            <w:vAlign w:val="center"/>
          </w:tcPr>
          <w:p>
            <w:pPr>
              <w:spacing w:after="0" w:before="0"/>
              <w:jc w:val="right"/>
            </w:pPr>
            <w:r>
              <w:rPr>
                <w:rFonts w:ascii="Calibri" w:hAnsi="Calibri"/>
                <w:b/>
                <w:i w:val="0"/>
                <w:caps/>
                <w:color w:val="FFFFFF"/>
                <w:sz w:val="17"/>
                <w:spacing w:val="4"/>
              </w:rPr>
              <w:t>Failed orders</w:t>
            </w:r>
          </w:p>
        </w:tc>
        <w:tc>
          <w:tcPr>
            <w:tcW w:type="dxa" w:w="4104"/>
            <w:shd w:val="clear" w:fill="0F2540"/>
            <w:tcMar>
              <w:top w:w="60" w:type="dxa"/>
              <w:bottom w:w="60" w:type="dxa"/>
              <w:start w:w="110" w:type="dxa"/>
              <w:end w:w="110" w:type="dxa"/>
            </w:tcMar>
            <w:vAlign w:val="center"/>
          </w:tcPr>
          <w:p>
            <w:pPr>
              <w:spacing w:after="0" w:before="0"/>
              <w:jc w:val="left"/>
            </w:pPr>
            <w:r>
              <w:rPr>
                <w:rFonts w:ascii="Calibri" w:hAnsi="Calibri"/>
                <w:b/>
                <w:i w:val="0"/>
                <w:caps/>
                <w:color w:val="FFFFFF"/>
                <w:sz w:val="17"/>
                <w:spacing w:val="4"/>
              </w:rPr>
              <w:t>Recommended action</w:t>
            </w:r>
          </w:p>
        </w:tc>
      </w:tr>
      <w:tr>
        <w:tc>
          <w:tcPr>
            <w:tcW w:type="dxa" w:w="1656"/>
            <w:shd w:val="clear" w:fill="FFFFFF"/>
            <w:tcMar>
              <w:top w:w="60" w:type="dxa"/>
              <w:bottom w:w="60" w:type="dxa"/>
              <w:start w:w="110" w:type="dxa"/>
              <w:end w:w="110" w:type="dxa"/>
            </w:tcMar>
            <w:vAlign w:val="center"/>
          </w:tcPr>
          <w:p>
            <w:pPr>
              <w:spacing w:after="0" w:before="0"/>
              <w:jc w:val="left"/>
            </w:pPr>
            <w:r>
              <w:rPr>
                <w:rFonts w:ascii="Calibri" w:hAnsi="Calibri"/>
                <w:b/>
                <w:i w:val="0"/>
                <w:color w:val="0F2540"/>
                <w:sz w:val="19"/>
              </w:rPr>
              <w:t>Supplier</w:t>
            </w:r>
          </w:p>
        </w:tc>
        <w:tc>
          <w:tcPr>
            <w:tcW w:type="dxa" w:w="1944"/>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AED 477,794</w:t>
            </w:r>
          </w:p>
        </w:tc>
        <w:tc>
          <w:tcPr>
            <w:tcW w:type="dxa" w:w="1152"/>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39.0%</w:t>
            </w:r>
          </w:p>
        </w:tc>
        <w:tc>
          <w:tcPr>
            <w:tcW w:type="dxa" w:w="1368"/>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51</w:t>
            </w:r>
          </w:p>
        </w:tc>
        <w:tc>
          <w:tcPr>
            <w:tcW w:type="dxa" w:w="4104"/>
            <w:shd w:val="clear" w:fill="FFFFFF"/>
            <w:tcMar>
              <w:top w:w="60" w:type="dxa"/>
              <w:bottom w:w="60" w:type="dxa"/>
              <w:start w:w="110" w:type="dxa"/>
              <w:end w:w="110" w:type="dxa"/>
            </w:tcMar>
            <w:vAlign w:val="center"/>
          </w:tcPr>
          <w:p>
            <w:pPr>
              <w:spacing w:after="0" w:before="0"/>
              <w:jc w:val="left"/>
            </w:pPr>
            <w:r>
              <w:rPr>
                <w:rFonts w:ascii="Calibri" w:hAnsi="Calibri"/>
                <w:b w:val="0"/>
                <w:i w:val="0"/>
                <w:color w:val="1A1F28"/>
                <w:sz w:val="19"/>
              </w:rPr>
              <w:t>Qualify a second source for the worst-offending vendors</w:t>
            </w:r>
          </w:p>
        </w:tc>
      </w:tr>
      <w:tr>
        <w:tc>
          <w:tcPr>
            <w:tcW w:type="dxa" w:w="1656"/>
            <w:shd w:val="clear" w:fill="EEF1F5"/>
            <w:tcMar>
              <w:top w:w="60" w:type="dxa"/>
              <w:bottom w:w="60" w:type="dxa"/>
              <w:start w:w="110" w:type="dxa"/>
              <w:end w:w="110" w:type="dxa"/>
            </w:tcMar>
            <w:vAlign w:val="center"/>
          </w:tcPr>
          <w:p>
            <w:pPr>
              <w:spacing w:after="0" w:before="0"/>
              <w:jc w:val="left"/>
            </w:pPr>
            <w:r>
              <w:rPr>
                <w:rFonts w:ascii="Calibri" w:hAnsi="Calibri"/>
                <w:b/>
                <w:i w:val="0"/>
                <w:color w:val="0F2540"/>
                <w:sz w:val="19"/>
              </w:rPr>
              <w:t>Warehouse</w:t>
            </w:r>
          </w:p>
        </w:tc>
        <w:tc>
          <w:tcPr>
            <w:tcW w:type="dxa" w:w="1944"/>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AED 313,864</w:t>
            </w:r>
          </w:p>
        </w:tc>
        <w:tc>
          <w:tcPr>
            <w:tcW w:type="dxa" w:w="1152"/>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25.6%</w:t>
            </w:r>
          </w:p>
        </w:tc>
        <w:tc>
          <w:tcPr>
            <w:tcW w:type="dxa" w:w="1368"/>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37</w:t>
            </w:r>
          </w:p>
        </w:tc>
        <w:tc>
          <w:tcPr>
            <w:tcW w:type="dxa" w:w="4104"/>
            <w:shd w:val="clear" w:fill="EEF1F5"/>
            <w:tcMar>
              <w:top w:w="60" w:type="dxa"/>
              <w:bottom w:w="60" w:type="dxa"/>
              <w:start w:w="110" w:type="dxa"/>
              <w:end w:w="110" w:type="dxa"/>
            </w:tcMar>
            <w:vAlign w:val="center"/>
          </w:tcPr>
          <w:p>
            <w:pPr>
              <w:spacing w:after="0" w:before="0"/>
              <w:jc w:val="left"/>
            </w:pPr>
            <w:r>
              <w:rPr>
                <w:rFonts w:ascii="Calibri" w:hAnsi="Calibri"/>
                <w:b w:val="0"/>
                <w:i w:val="0"/>
                <w:color w:val="1A1F28"/>
                <w:sz w:val="19"/>
              </w:rPr>
              <w:t>Clear the dispatch bottleneck with a hard release cut-off</w:t>
            </w:r>
          </w:p>
        </w:tc>
      </w:tr>
      <w:tr>
        <w:tc>
          <w:tcPr>
            <w:tcW w:type="dxa" w:w="1656"/>
            <w:shd w:val="clear" w:fill="FFFFFF"/>
            <w:tcMar>
              <w:top w:w="60" w:type="dxa"/>
              <w:bottom w:w="60" w:type="dxa"/>
              <w:start w:w="110" w:type="dxa"/>
              <w:end w:w="110" w:type="dxa"/>
            </w:tcMar>
            <w:vAlign w:val="center"/>
          </w:tcPr>
          <w:p>
            <w:pPr>
              <w:spacing w:after="0" w:before="0"/>
              <w:jc w:val="left"/>
            </w:pPr>
            <w:r>
              <w:rPr>
                <w:rFonts w:ascii="Calibri" w:hAnsi="Calibri"/>
                <w:b/>
                <w:i w:val="0"/>
                <w:color w:val="0F2540"/>
                <w:sz w:val="19"/>
              </w:rPr>
              <w:t>Demand</w:t>
            </w:r>
          </w:p>
        </w:tc>
        <w:tc>
          <w:tcPr>
            <w:tcW w:type="dxa" w:w="1944"/>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AED 282,823</w:t>
            </w:r>
          </w:p>
        </w:tc>
        <w:tc>
          <w:tcPr>
            <w:tcW w:type="dxa" w:w="1152"/>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23.1%</w:t>
            </w:r>
          </w:p>
        </w:tc>
        <w:tc>
          <w:tcPr>
            <w:tcW w:type="dxa" w:w="1368"/>
            <w:shd w:val="clear" w:fill="FFFFFF"/>
            <w:tcMar>
              <w:top w:w="60" w:type="dxa"/>
              <w:bottom w:w="60" w:type="dxa"/>
              <w:start w:w="110" w:type="dxa"/>
              <w:end w:w="110" w:type="dxa"/>
            </w:tcMar>
            <w:vAlign w:val="center"/>
          </w:tcPr>
          <w:p>
            <w:pPr>
              <w:spacing w:after="0" w:before="0"/>
              <w:jc w:val="right"/>
            </w:pPr>
            <w:r>
              <w:rPr>
                <w:rFonts w:ascii="Calibri" w:hAnsi="Calibri"/>
                <w:b w:val="0"/>
                <w:i w:val="0"/>
                <w:color w:val="1A1F28"/>
                <w:sz w:val="19"/>
              </w:rPr>
              <w:t>28</w:t>
            </w:r>
          </w:p>
        </w:tc>
        <w:tc>
          <w:tcPr>
            <w:tcW w:type="dxa" w:w="4104"/>
            <w:shd w:val="clear" w:fill="FFFFFF"/>
            <w:tcMar>
              <w:top w:w="60" w:type="dxa"/>
              <w:bottom w:w="60" w:type="dxa"/>
              <w:start w:w="110" w:type="dxa"/>
              <w:end w:w="110" w:type="dxa"/>
            </w:tcMar>
            <w:vAlign w:val="center"/>
          </w:tcPr>
          <w:p>
            <w:pPr>
              <w:spacing w:after="0" w:before="0"/>
              <w:jc w:val="left"/>
            </w:pPr>
            <w:r>
              <w:rPr>
                <w:rFonts w:ascii="Calibri" w:hAnsi="Calibri"/>
                <w:b w:val="0"/>
                <w:i w:val="0"/>
                <w:color w:val="1A1F28"/>
                <w:sz w:val="19"/>
              </w:rPr>
              <w:t>Recalibrate the forecast on the SKUs that consistently under-call</w:t>
            </w:r>
          </w:p>
        </w:tc>
      </w:tr>
      <w:tr>
        <w:tc>
          <w:tcPr>
            <w:tcW w:type="dxa" w:w="1656"/>
            <w:shd w:val="clear" w:fill="EEF1F5"/>
            <w:tcMar>
              <w:top w:w="60" w:type="dxa"/>
              <w:bottom w:w="60" w:type="dxa"/>
              <w:start w:w="110" w:type="dxa"/>
              <w:end w:w="110" w:type="dxa"/>
            </w:tcMar>
            <w:vAlign w:val="center"/>
          </w:tcPr>
          <w:p>
            <w:pPr>
              <w:spacing w:after="0" w:before="0"/>
              <w:jc w:val="left"/>
            </w:pPr>
            <w:r>
              <w:rPr>
                <w:rFonts w:ascii="Calibri" w:hAnsi="Calibri"/>
                <w:b/>
                <w:i w:val="0"/>
                <w:color w:val="0F2540"/>
                <w:sz w:val="19"/>
              </w:rPr>
              <w:t>Logistics</w:t>
            </w:r>
          </w:p>
        </w:tc>
        <w:tc>
          <w:tcPr>
            <w:tcW w:type="dxa" w:w="1944"/>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AED 152,160</w:t>
            </w:r>
          </w:p>
        </w:tc>
        <w:tc>
          <w:tcPr>
            <w:tcW w:type="dxa" w:w="1152"/>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12.4%</w:t>
            </w:r>
          </w:p>
        </w:tc>
        <w:tc>
          <w:tcPr>
            <w:tcW w:type="dxa" w:w="1368"/>
            <w:shd w:val="clear" w:fill="EEF1F5"/>
            <w:tcMar>
              <w:top w:w="60" w:type="dxa"/>
              <w:bottom w:w="60" w:type="dxa"/>
              <w:start w:w="110" w:type="dxa"/>
              <w:end w:w="110" w:type="dxa"/>
            </w:tcMar>
            <w:vAlign w:val="center"/>
          </w:tcPr>
          <w:p>
            <w:pPr>
              <w:spacing w:after="0" w:before="0"/>
              <w:jc w:val="right"/>
            </w:pPr>
            <w:r>
              <w:rPr>
                <w:rFonts w:ascii="Calibri" w:hAnsi="Calibri"/>
                <w:b w:val="0"/>
                <w:i w:val="0"/>
                <w:color w:val="1A1F28"/>
                <w:sz w:val="19"/>
              </w:rPr>
              <w:t>24</w:t>
            </w:r>
          </w:p>
        </w:tc>
        <w:tc>
          <w:tcPr>
            <w:tcW w:type="dxa" w:w="4104"/>
            <w:shd w:val="clear" w:fill="EEF1F5"/>
            <w:tcMar>
              <w:top w:w="60" w:type="dxa"/>
              <w:bottom w:w="60" w:type="dxa"/>
              <w:start w:w="110" w:type="dxa"/>
              <w:end w:w="110" w:type="dxa"/>
            </w:tcMar>
            <w:vAlign w:val="center"/>
          </w:tcPr>
          <w:p>
            <w:pPr>
              <w:spacing w:after="0" w:before="0"/>
              <w:jc w:val="left"/>
            </w:pPr>
            <w:r>
              <w:rPr>
                <w:rFonts w:ascii="Calibri" w:hAnsi="Calibri"/>
                <w:b w:val="0"/>
                <w:i w:val="0"/>
                <w:color w:val="1A1F28"/>
                <w:sz w:val="19"/>
              </w:rPr>
              <w:t>Review and re-bond the chronically overrun lanes</w:t>
            </w:r>
          </w:p>
        </w:tc>
      </w:tr>
    </w:tbl>
    <w:p>
      <w:pPr>
        <w:spacing w:before="80" w:after="0"/>
      </w:pPr>
      <w:r>
        <w:rPr>
          <w:rFonts w:ascii="Calibri" w:hAnsi="Calibri"/>
          <w:b w:val="0"/>
          <w:i/>
          <w:color w:val="5B6470"/>
          <w:sz w:val="16"/>
        </w:rPr>
        <w:t>Total failure value across all 140 failed orders in this batch: AED 1,226,642. Shares are of cash at risk and are rounded independently.</w:t>
      </w:r>
    </w:p>
    <w:p>
      <w:r>
        <w:br w:type="page"/>
      </w:r>
    </w:p>
    <w:p>
      <w:pPr>
        <w:spacing w:before="0" w:after="40"/>
      </w:pPr>
      <w:r>
        <w:rPr>
          <w:rFonts w:ascii="Calibri" w:hAnsi="Calibri"/>
          <w:b/>
          <w:i w:val="0"/>
          <w:color w:val="0F2540"/>
          <w:sz w:val="26"/>
        </w:rPr>
        <w:t>How it works: four specialists, one coordinator</w:t>
      </w:r>
    </w:p>
    <w:p>
      <w:pPr>
        <w:spacing w:before="0" w:after="160" w:line="283" w:lineRule="auto"/>
      </w:pPr>
      <w:r>
        <w:rPr>
          <w:rFonts w:ascii="Calibri" w:hAnsi="Calibri"/>
          <w:b w:val="0"/>
          <w:i w:val="0"/>
          <w:color w:val="1A1F28"/>
          <w:sz w:val="20"/>
        </w:rPr>
        <w:t>Prep is deterministic: the code reads each failed order and computes the raw signals (late days, shortfall, dispatch slip, transit overage). Four specialist agents then run in parallel on Sonnet 4.6, each seeing only its own domain's evidence and never the answer key. The coordinator adjudicates the orders where more than one cause fired, choosing the deciding one rather than the biggest number. Finalize is deterministic again: it rolls up the cash, ranks the drivers, and renders the brief through a gate that blocks any number the code did not produce. The LLM reasons; tested code computes.</w:t>
      </w:r>
    </w:p>
    <w:p>
      <w:pPr>
        <w:spacing w:before="40" w:after="40"/>
      </w:pPr>
      <w:r>
        <w:rPr>
          <w:rFonts w:ascii="Calibri" w:hAnsi="Calibri"/>
          <w:b/>
          <w:i w:val="0"/>
          <w:color w:val="0F2540"/>
          <w:sz w:val="26"/>
        </w:rPr>
        <w:t>The robustness story</w:t>
      </w:r>
    </w:p>
    <w:p>
      <w:pPr>
        <w:spacing w:before="0" w:after="160" w:line="283" w:lineRule="auto"/>
      </w:pPr>
      <w:r>
        <w:rPr>
          <w:rFonts w:ascii="Calibri" w:hAnsi="Calibri"/>
          <w:b w:val="0"/>
          <w:i w:val="0"/>
          <w:color w:val="1A1F28"/>
          <w:sz w:val="20"/>
        </w:rPr>
        <w:t>One good run proves nothing. Accuracy here is measured across six independent batches (seeds 42 to 47), each generated fresh with different planted causes the engine has never seen. Mean accuracy on the hard orders, the ones where two teams are genuinely at fault at once, is 85.5% (range 78.1% to 93.9%), against 61% to 84% for a simple biggest-number rule. On one batch the simple rule actually won. We show that row too.</w:t>
      </w:r>
    </w:p>
    <w:tbl>
      <w:tblPr>
        <w:tblW w:type="auto" w:w="0"/>
        <w:tblLayout w:type="fixed"/>
        <w:tblLook w:firstColumn="1" w:firstRow="1" w:lastColumn="0" w:lastRow="0" w:noHBand="0" w:noVBand="1" w:val="04A0"/>
        <w:tblBorders>
          <w:top w:val="single" w:sz="4" w:color="D6DCE4"/>
          <w:bottom w:val="single" w:sz="4" w:color="D6DCE4"/>
          <w:insideH w:val="single" w:sz="4" w:color="D6DCE4"/>
          <w:left w:val="nil"/>
          <w:right w:val="nil"/>
          <w:insideV w:val="nil"/>
        </w:tblBorders>
      </w:tblPr>
      <w:tblGrid>
        <w:gridCol w:w="2045"/>
        <w:gridCol w:w="2045"/>
        <w:gridCol w:w="2045"/>
        <w:gridCol w:w="2045"/>
        <w:gridCol w:w="2045"/>
      </w:tblGrid>
      <w:tr>
        <w:tc>
          <w:tcPr>
            <w:tcW w:type="dxa" w:w="1440"/>
            <w:shd w:val="clear" w:fill="0F2540"/>
            <w:tcMar>
              <w:top w:w="60" w:type="dxa"/>
              <w:bottom w:w="60" w:type="dxa"/>
              <w:start w:w="110" w:type="dxa"/>
              <w:end w:w="110" w:type="dxa"/>
            </w:tcMar>
          </w:tcPr>
          <w:p>
            <w:pPr>
              <w:spacing w:after="0" w:before="0"/>
              <w:jc w:val="left"/>
            </w:pPr>
            <w:r>
              <w:rPr>
                <w:rFonts w:ascii="Calibri" w:hAnsi="Calibri"/>
                <w:b/>
                <w:i w:val="0"/>
                <w:caps/>
                <w:color w:val="FFFFFF"/>
                <w:sz w:val="17"/>
                <w:spacing w:val="3"/>
              </w:rPr>
              <w:t>Batch (seed)</w:t>
            </w:r>
          </w:p>
        </w:tc>
        <w:tc>
          <w:tcPr>
            <w:tcW w:type="dxa" w:w="2520"/>
            <w:shd w:val="clear" w:fill="0F2540"/>
            <w:tcMar>
              <w:top w:w="60" w:type="dxa"/>
              <w:bottom w:w="60" w:type="dxa"/>
              <w:start w:w="110" w:type="dxa"/>
              <w:end w:w="110" w:type="dxa"/>
            </w:tcMar>
          </w:tcPr>
          <w:p>
            <w:pPr>
              <w:spacing w:after="0" w:before="0"/>
              <w:jc w:val="right"/>
            </w:pPr>
            <w:r>
              <w:rPr>
                <w:rFonts w:ascii="Calibri" w:hAnsi="Calibri"/>
                <w:b/>
                <w:i w:val="0"/>
                <w:caps/>
                <w:color w:val="FFFFFF"/>
                <w:sz w:val="17"/>
                <w:spacing w:val="3"/>
              </w:rPr>
              <w:t>Hard-order accuracy</w:t>
            </w:r>
          </w:p>
        </w:tc>
        <w:tc>
          <w:tcPr>
            <w:tcW w:type="dxa" w:w="2304"/>
            <w:shd w:val="clear" w:fill="0F2540"/>
            <w:tcMar>
              <w:top w:w="60" w:type="dxa"/>
              <w:bottom w:w="60" w:type="dxa"/>
              <w:start w:w="110" w:type="dxa"/>
              <w:end w:w="110" w:type="dxa"/>
            </w:tcMar>
          </w:tcPr>
          <w:p>
            <w:pPr>
              <w:spacing w:after="0" w:before="0"/>
              <w:jc w:val="right"/>
            </w:pPr>
            <w:r>
              <w:rPr>
                <w:rFonts w:ascii="Calibri" w:hAnsi="Calibri"/>
                <w:b/>
                <w:i w:val="0"/>
                <w:caps/>
                <w:color w:val="FFFFFF"/>
                <w:sz w:val="17"/>
                <w:spacing w:val="3"/>
              </w:rPr>
              <w:t>Simple rule</w:t>
            </w:r>
          </w:p>
        </w:tc>
        <w:tc>
          <w:tcPr>
            <w:tcW w:type="dxa" w:w="1656"/>
            <w:shd w:val="clear" w:fill="0F2540"/>
            <w:tcMar>
              <w:top w:w="60" w:type="dxa"/>
              <w:bottom w:w="60" w:type="dxa"/>
              <w:start w:w="110" w:type="dxa"/>
              <w:end w:w="110" w:type="dxa"/>
            </w:tcMar>
          </w:tcPr>
          <w:p>
            <w:pPr>
              <w:spacing w:after="0" w:before="0"/>
              <w:jc w:val="right"/>
            </w:pPr>
            <w:r>
              <w:rPr>
                <w:rFonts w:ascii="Calibri" w:hAnsi="Calibri"/>
                <w:b/>
                <w:i w:val="0"/>
                <w:caps/>
                <w:color w:val="FFFFFF"/>
                <w:sz w:val="17"/>
                <w:spacing w:val="3"/>
              </w:rPr>
              <w:t>Lift</w:t>
            </w:r>
          </w:p>
        </w:tc>
        <w:tc>
          <w:tcPr>
            <w:tcW w:type="dxa" w:w="2304"/>
            <w:shd w:val="clear" w:fill="0F2540"/>
            <w:tcMar>
              <w:top w:w="60" w:type="dxa"/>
              <w:bottom w:w="60" w:type="dxa"/>
              <w:start w:w="110" w:type="dxa"/>
              <w:end w:w="110" w:type="dxa"/>
            </w:tcMar>
          </w:tcPr>
          <w:p>
            <w:pPr>
              <w:spacing w:after="0" w:before="0"/>
              <w:jc w:val="left"/>
            </w:pPr>
            <w:r>
              <w:rPr>
                <w:rFonts w:ascii="Calibri" w:hAnsi="Calibri"/>
                <w:b/>
                <w:i w:val="0"/>
                <w:caps/>
                <w:color w:val="FFFFFF"/>
                <w:sz w:val="17"/>
                <w:spacing w:val="3"/>
              </w:rPr>
              <w:t>Note</w:t>
            </w:r>
          </w:p>
        </w:tc>
      </w:tr>
      <w:tr>
        <w:tc>
          <w:tcPr>
            <w:tcW w:type="dxa" w:w="1440"/>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t>42</w:t>
            </w:r>
          </w:p>
        </w:tc>
        <w:tc>
          <w:tcPr>
            <w:tcW w:type="dxa" w:w="2520"/>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78.1%</w:t>
            </w:r>
          </w:p>
        </w:tc>
        <w:tc>
          <w:tcPr>
            <w:tcW w:type="dxa" w:w="2304"/>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53.1%</w:t>
            </w:r>
          </w:p>
        </w:tc>
        <w:tc>
          <w:tcPr>
            <w:tcW w:type="dxa" w:w="1656"/>
            <w:shd w:val="clear" w:fill="FFFFFF"/>
            <w:tcMar>
              <w:top w:w="60" w:type="dxa"/>
              <w:bottom w:w="60" w:type="dxa"/>
              <w:start w:w="110" w:type="dxa"/>
              <w:end w:w="110" w:type="dxa"/>
            </w:tcMar>
          </w:tcPr>
          <w:p>
            <w:pPr>
              <w:spacing w:after="0" w:before="0"/>
              <w:jc w:val="right"/>
            </w:pPr>
            <w:r>
              <w:rPr>
                <w:rFonts w:ascii="Calibri" w:hAnsi="Calibri"/>
                <w:b/>
                <w:i w:val="0"/>
                <w:color w:val="0B5E55"/>
                <w:sz w:val="19"/>
              </w:rPr>
              <w:t>+25.0</w:t>
            </w:r>
          </w:p>
        </w:tc>
        <w:tc>
          <w:tcPr>
            <w:tcW w:type="dxa" w:w="2304"/>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r>
          </w:p>
        </w:tc>
      </w:tr>
      <w:tr>
        <w:tc>
          <w:tcPr>
            <w:tcW w:type="dxa" w:w="1440"/>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t>43</w:t>
            </w:r>
          </w:p>
        </w:tc>
        <w:tc>
          <w:tcPr>
            <w:tcW w:type="dxa" w:w="2520"/>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93.9%</w:t>
            </w:r>
          </w:p>
        </w:tc>
        <w:tc>
          <w:tcPr>
            <w:tcW w:type="dxa" w:w="2304"/>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60.6%</w:t>
            </w:r>
          </w:p>
        </w:tc>
        <w:tc>
          <w:tcPr>
            <w:tcW w:type="dxa" w:w="1656"/>
            <w:shd w:val="clear" w:fill="FFFFFF"/>
            <w:tcMar>
              <w:top w:w="60" w:type="dxa"/>
              <w:bottom w:w="60" w:type="dxa"/>
              <w:start w:w="110" w:type="dxa"/>
              <w:end w:w="110" w:type="dxa"/>
            </w:tcMar>
          </w:tcPr>
          <w:p>
            <w:pPr>
              <w:spacing w:after="0" w:before="0"/>
              <w:jc w:val="right"/>
            </w:pPr>
            <w:r>
              <w:rPr>
                <w:rFonts w:ascii="Calibri" w:hAnsi="Calibri"/>
                <w:b/>
                <w:i w:val="0"/>
                <w:color w:val="0B5E55"/>
                <w:sz w:val="19"/>
              </w:rPr>
              <w:t>+33.3</w:t>
            </w:r>
          </w:p>
        </w:tc>
        <w:tc>
          <w:tcPr>
            <w:tcW w:type="dxa" w:w="2304"/>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r>
          </w:p>
        </w:tc>
      </w:tr>
      <w:tr>
        <w:tc>
          <w:tcPr>
            <w:tcW w:type="dxa" w:w="1440"/>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t>44</w:t>
            </w:r>
          </w:p>
        </w:tc>
        <w:tc>
          <w:tcPr>
            <w:tcW w:type="dxa" w:w="2520"/>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89.2%</w:t>
            </w:r>
          </w:p>
        </w:tc>
        <w:tc>
          <w:tcPr>
            <w:tcW w:type="dxa" w:w="2304"/>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56.8%</w:t>
            </w:r>
          </w:p>
        </w:tc>
        <w:tc>
          <w:tcPr>
            <w:tcW w:type="dxa" w:w="1656"/>
            <w:shd w:val="clear" w:fill="FFFFFF"/>
            <w:tcMar>
              <w:top w:w="60" w:type="dxa"/>
              <w:bottom w:w="60" w:type="dxa"/>
              <w:start w:w="110" w:type="dxa"/>
              <w:end w:w="110" w:type="dxa"/>
            </w:tcMar>
          </w:tcPr>
          <w:p>
            <w:pPr>
              <w:spacing w:after="0" w:before="0"/>
              <w:jc w:val="right"/>
            </w:pPr>
            <w:r>
              <w:rPr>
                <w:rFonts w:ascii="Calibri" w:hAnsi="Calibri"/>
                <w:b/>
                <w:i w:val="0"/>
                <w:color w:val="0B5E55"/>
                <w:sz w:val="19"/>
              </w:rPr>
              <w:t>+32.4</w:t>
            </w:r>
          </w:p>
        </w:tc>
        <w:tc>
          <w:tcPr>
            <w:tcW w:type="dxa" w:w="2304"/>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r>
          </w:p>
        </w:tc>
      </w:tr>
      <w:tr>
        <w:tc>
          <w:tcPr>
            <w:tcW w:type="dxa" w:w="1440"/>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t>45</w:t>
            </w:r>
          </w:p>
        </w:tc>
        <w:tc>
          <w:tcPr>
            <w:tcW w:type="dxa" w:w="2520"/>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90.3%</w:t>
            </w:r>
          </w:p>
        </w:tc>
        <w:tc>
          <w:tcPr>
            <w:tcW w:type="dxa" w:w="2304"/>
            <w:shd w:val="clear" w:fill="FFFFFF"/>
            <w:tcMar>
              <w:top w:w="60" w:type="dxa"/>
              <w:bottom w:w="60" w:type="dxa"/>
              <w:start w:w="110" w:type="dxa"/>
              <w:end w:w="110" w:type="dxa"/>
            </w:tcMar>
          </w:tcPr>
          <w:p>
            <w:pPr>
              <w:spacing w:after="0" w:before="0"/>
              <w:jc w:val="right"/>
            </w:pPr>
            <w:r>
              <w:rPr>
                <w:rFonts w:ascii="Calibri" w:hAnsi="Calibri"/>
                <w:b w:val="0"/>
                <w:i w:val="0"/>
                <w:color w:val="1A1F28"/>
                <w:sz w:val="19"/>
              </w:rPr>
              <w:t>54.8%</w:t>
            </w:r>
          </w:p>
        </w:tc>
        <w:tc>
          <w:tcPr>
            <w:tcW w:type="dxa" w:w="1656"/>
            <w:shd w:val="clear" w:fill="FFFFFF"/>
            <w:tcMar>
              <w:top w:w="60" w:type="dxa"/>
              <w:bottom w:w="60" w:type="dxa"/>
              <w:start w:w="110" w:type="dxa"/>
              <w:end w:w="110" w:type="dxa"/>
            </w:tcMar>
          </w:tcPr>
          <w:p>
            <w:pPr>
              <w:spacing w:after="0" w:before="0"/>
              <w:jc w:val="right"/>
            </w:pPr>
            <w:r>
              <w:rPr>
                <w:rFonts w:ascii="Calibri" w:hAnsi="Calibri"/>
                <w:b/>
                <w:i w:val="0"/>
                <w:color w:val="0B5E55"/>
                <w:sz w:val="19"/>
              </w:rPr>
              <w:t>+35.5</w:t>
            </w:r>
          </w:p>
        </w:tc>
        <w:tc>
          <w:tcPr>
            <w:tcW w:type="dxa" w:w="2304"/>
            <w:shd w:val="clear" w:fill="FFFFFF"/>
            <w:tcMar>
              <w:top w:w="60" w:type="dxa"/>
              <w:bottom w:w="60" w:type="dxa"/>
              <w:start w:w="110" w:type="dxa"/>
              <w:end w:w="110" w:type="dxa"/>
            </w:tcMar>
          </w:tcPr>
          <w:p>
            <w:pPr>
              <w:spacing w:after="0" w:before="0"/>
              <w:jc w:val="left"/>
            </w:pPr>
            <w:r>
              <w:rPr>
                <w:rFonts w:ascii="Calibri" w:hAnsi="Calibri"/>
                <w:b w:val="0"/>
                <w:i w:val="0"/>
                <w:color w:val="1A1F28"/>
                <w:sz w:val="19"/>
              </w:rPr>
            </w:r>
          </w:p>
        </w:tc>
      </w:tr>
      <w:tr>
        <w:tc>
          <w:tcPr>
            <w:tcW w:type="dxa" w:w="1440"/>
            <w:shd w:val="clear" w:fill="E4EEEC"/>
            <w:tcMar>
              <w:top w:w="60" w:type="dxa"/>
              <w:bottom w:w="60" w:type="dxa"/>
              <w:start w:w="110" w:type="dxa"/>
              <w:end w:w="110" w:type="dxa"/>
            </w:tcMar>
          </w:tcPr>
          <w:p>
            <w:pPr>
              <w:spacing w:after="0" w:before="0"/>
              <w:jc w:val="left"/>
            </w:pPr>
            <w:r>
              <w:rPr>
                <w:rFonts w:ascii="Calibri" w:hAnsi="Calibri"/>
                <w:b/>
                <w:i w:val="0"/>
                <w:color w:val="0F2540"/>
                <w:sz w:val="19"/>
              </w:rPr>
              <w:t>46</w:t>
            </w:r>
          </w:p>
        </w:tc>
        <w:tc>
          <w:tcPr>
            <w:tcW w:type="dxa" w:w="2520"/>
            <w:shd w:val="clear" w:fill="E4EEEC"/>
            <w:tcMar>
              <w:top w:w="60" w:type="dxa"/>
              <w:bottom w:w="60" w:type="dxa"/>
              <w:start w:w="110" w:type="dxa"/>
              <w:end w:w="110" w:type="dxa"/>
            </w:tcMar>
          </w:tcPr>
          <w:p>
            <w:pPr>
              <w:spacing w:after="0" w:before="0"/>
              <w:jc w:val="right"/>
            </w:pPr>
            <w:r>
              <w:rPr>
                <w:rFonts w:ascii="Calibri" w:hAnsi="Calibri"/>
                <w:b w:val="0"/>
                <w:i w:val="0"/>
                <w:color w:val="1A1F28"/>
                <w:sz w:val="19"/>
              </w:rPr>
              <w:t>83.3%</w:t>
            </w:r>
          </w:p>
        </w:tc>
        <w:tc>
          <w:tcPr>
            <w:tcW w:type="dxa" w:w="2304"/>
            <w:shd w:val="clear" w:fill="E4EEEC"/>
            <w:tcMar>
              <w:top w:w="60" w:type="dxa"/>
              <w:bottom w:w="60" w:type="dxa"/>
              <w:start w:w="110" w:type="dxa"/>
              <w:end w:w="110" w:type="dxa"/>
            </w:tcMar>
          </w:tcPr>
          <w:p>
            <w:pPr>
              <w:spacing w:after="0" w:before="0"/>
              <w:jc w:val="right"/>
            </w:pPr>
            <w:r>
              <w:rPr>
                <w:rFonts w:ascii="Calibri" w:hAnsi="Calibri"/>
                <w:b w:val="0"/>
                <w:i w:val="0"/>
                <w:color w:val="1A1F28"/>
                <w:sz w:val="19"/>
              </w:rPr>
              <w:t>61.1%</w:t>
            </w:r>
          </w:p>
        </w:tc>
        <w:tc>
          <w:tcPr>
            <w:tcW w:type="dxa" w:w="1656"/>
            <w:shd w:val="clear" w:fill="E4EEEC"/>
            <w:tcMar>
              <w:top w:w="60" w:type="dxa"/>
              <w:bottom w:w="60" w:type="dxa"/>
              <w:start w:w="110" w:type="dxa"/>
              <w:end w:w="110" w:type="dxa"/>
            </w:tcMar>
          </w:tcPr>
          <w:p>
            <w:pPr>
              <w:spacing w:after="0" w:before="0"/>
              <w:jc w:val="right"/>
            </w:pPr>
            <w:r>
              <w:rPr>
                <w:rFonts w:ascii="Calibri" w:hAnsi="Calibri"/>
                <w:b/>
                <w:i w:val="0"/>
                <w:color w:val="0B5E55"/>
                <w:sz w:val="19"/>
              </w:rPr>
              <w:t>+22.2</w:t>
            </w:r>
          </w:p>
        </w:tc>
        <w:tc>
          <w:tcPr>
            <w:tcW w:type="dxa" w:w="2304"/>
            <w:shd w:val="clear" w:fill="E4EEEC"/>
            <w:tcMar>
              <w:top w:w="60" w:type="dxa"/>
              <w:bottom w:w="60" w:type="dxa"/>
              <w:start w:w="110" w:type="dxa"/>
              <w:end w:w="110" w:type="dxa"/>
            </w:tcMar>
          </w:tcPr>
          <w:p>
            <w:pPr>
              <w:spacing w:after="0" w:before="0"/>
              <w:jc w:val="left"/>
            </w:pPr>
            <w:r>
              <w:rPr>
                <w:rFonts w:ascii="Calibri" w:hAnsi="Calibri"/>
                <w:b w:val="0"/>
                <w:i w:val="0"/>
                <w:color w:val="1A1F28"/>
                <w:sz w:val="19"/>
              </w:rPr>
              <w:t>canonical, shown on page 1</w:t>
            </w:r>
          </w:p>
        </w:tc>
      </w:tr>
      <w:tr>
        <w:tc>
          <w:tcPr>
            <w:tcW w:type="dxa" w:w="1440"/>
            <w:shd w:val="clear" w:fill="F6ECEC"/>
            <w:tcMar>
              <w:top w:w="60" w:type="dxa"/>
              <w:bottom w:w="60" w:type="dxa"/>
              <w:start w:w="110" w:type="dxa"/>
              <w:end w:w="110" w:type="dxa"/>
            </w:tcMar>
          </w:tcPr>
          <w:p>
            <w:pPr>
              <w:spacing w:after="0" w:before="0"/>
              <w:jc w:val="left"/>
            </w:pPr>
            <w:r>
              <w:rPr>
                <w:rFonts w:ascii="Calibri" w:hAnsi="Calibri"/>
                <w:b w:val="0"/>
                <w:i w:val="0"/>
                <w:color w:val="1A1F28"/>
                <w:sz w:val="19"/>
              </w:rPr>
              <w:t>47</w:t>
            </w:r>
          </w:p>
        </w:tc>
        <w:tc>
          <w:tcPr>
            <w:tcW w:type="dxa" w:w="2520"/>
            <w:shd w:val="clear" w:fill="F6ECEC"/>
            <w:tcMar>
              <w:top w:w="60" w:type="dxa"/>
              <w:bottom w:w="60" w:type="dxa"/>
              <w:start w:w="110" w:type="dxa"/>
              <w:end w:w="110" w:type="dxa"/>
            </w:tcMar>
          </w:tcPr>
          <w:p>
            <w:pPr>
              <w:spacing w:after="0" w:before="0"/>
              <w:jc w:val="right"/>
            </w:pPr>
            <w:r>
              <w:rPr>
                <w:rFonts w:ascii="Calibri" w:hAnsi="Calibri"/>
                <w:b w:val="0"/>
                <w:i w:val="0"/>
                <w:color w:val="1A1F28"/>
                <w:sz w:val="19"/>
              </w:rPr>
              <w:t>78.1%</w:t>
            </w:r>
          </w:p>
        </w:tc>
        <w:tc>
          <w:tcPr>
            <w:tcW w:type="dxa" w:w="2304"/>
            <w:shd w:val="clear" w:fill="F6ECEC"/>
            <w:tcMar>
              <w:top w:w="60" w:type="dxa"/>
              <w:bottom w:w="60" w:type="dxa"/>
              <w:start w:w="110" w:type="dxa"/>
              <w:end w:w="110" w:type="dxa"/>
            </w:tcMar>
          </w:tcPr>
          <w:p>
            <w:pPr>
              <w:spacing w:after="0" w:before="0"/>
              <w:jc w:val="right"/>
            </w:pPr>
            <w:r>
              <w:rPr>
                <w:rFonts w:ascii="Calibri" w:hAnsi="Calibri"/>
                <w:b w:val="0"/>
                <w:i w:val="0"/>
                <w:color w:val="1A1F28"/>
                <w:sz w:val="19"/>
              </w:rPr>
              <w:t>84.4%</w:t>
            </w:r>
          </w:p>
        </w:tc>
        <w:tc>
          <w:tcPr>
            <w:tcW w:type="dxa" w:w="1656"/>
            <w:shd w:val="clear" w:fill="F6ECEC"/>
            <w:tcMar>
              <w:top w:w="60" w:type="dxa"/>
              <w:bottom w:w="60" w:type="dxa"/>
              <w:start w:w="110" w:type="dxa"/>
              <w:end w:w="110" w:type="dxa"/>
            </w:tcMar>
          </w:tcPr>
          <w:p>
            <w:pPr>
              <w:spacing w:after="0" w:before="0"/>
              <w:jc w:val="right"/>
            </w:pPr>
            <w:r>
              <w:rPr>
                <w:rFonts w:ascii="Calibri" w:hAnsi="Calibri"/>
                <w:b/>
                <w:i w:val="0"/>
                <w:color w:val="A83A2F"/>
                <w:sz w:val="19"/>
              </w:rPr>
              <w:t>-6.2</w:t>
            </w:r>
          </w:p>
        </w:tc>
        <w:tc>
          <w:tcPr>
            <w:tcW w:type="dxa" w:w="2304"/>
            <w:shd w:val="clear" w:fill="F6ECEC"/>
            <w:tcMar>
              <w:top w:w="60" w:type="dxa"/>
              <w:bottom w:w="60" w:type="dxa"/>
              <w:start w:w="110" w:type="dxa"/>
              <w:end w:w="110" w:type="dxa"/>
            </w:tcMar>
          </w:tcPr>
          <w:p>
            <w:pPr>
              <w:spacing w:after="0" w:before="0"/>
              <w:jc w:val="left"/>
            </w:pPr>
            <w:r>
              <w:rPr>
                <w:rFonts w:ascii="Calibri" w:hAnsi="Calibri"/>
                <w:b w:val="0"/>
                <w:i w:val="0"/>
                <w:color w:val="1A1F28"/>
                <w:sz w:val="19"/>
              </w:rPr>
              <w:t>simple rule won</w:t>
            </w:r>
          </w:p>
        </w:tc>
      </w:tr>
    </w:tbl>
    <w:p>
      <w:pPr>
        <w:spacing w:before="80" w:after="160"/>
      </w:pPr>
      <w:r>
        <w:rPr>
          <w:rFonts w:ascii="Calibri" w:hAnsi="Calibri"/>
          <w:b w:val="0"/>
          <w:i/>
          <w:color w:val="5B6470"/>
          <w:sz w:val="16"/>
        </w:rPr>
        <w:t>Mean lift across the six batches: +23.7 points on the hard orders. Mean overall accuracy: 96.5%.</w:t>
      </w:r>
    </w:p>
    <w:p>
      <w:pPr>
        <w:spacing w:before="40" w:after="60"/>
      </w:pPr>
      <w:r>
        <w:rPr>
          <w:rFonts w:ascii="Calibri" w:hAnsi="Calibri"/>
          <w:b/>
          <w:i w:val="0"/>
          <w:color w:val="0F2540"/>
          <w:sz w:val="26"/>
        </w:rPr>
        <w:t>Why the numbers can be trusted</w:t>
      </w:r>
    </w:p>
    <w:p>
      <w:pPr>
        <w:spacing w:before="0" w:after="60" w:line="276" w:lineRule="auto"/>
      </w:pPr>
      <w:r>
        <w:rPr>
          <w:rFonts w:ascii="Calibri" w:hAnsi="Calibri"/>
          <w:b/>
          <w:i w:val="0"/>
          <w:color w:val="0B5E55"/>
          <w:sz w:val="20"/>
        </w:rPr>
        <w:t xml:space="preserve">1.  </w:t>
      </w:r>
      <w:r>
        <w:rPr>
          <w:rFonts w:ascii="Calibri" w:hAnsi="Calibri"/>
          <w:b/>
          <w:i w:val="0"/>
          <w:color w:val="1A1F28"/>
          <w:sz w:val="20"/>
        </w:rPr>
        <w:t xml:space="preserve">No fabrication. </w:t>
      </w:r>
      <w:r>
        <w:rPr>
          <w:rFonts w:ascii="Calibri" w:hAnsi="Calibri"/>
          <w:b w:val="0"/>
          <w:i w:val="0"/>
          <w:color w:val="1A1F28"/>
          <w:sz w:val="20"/>
        </w:rPr>
        <w:t>A firewall keeps the planted ground truth away from the agents, and a render gate blocks any digit the model authored from reaching the brief. Only code-computed, placeholder-bound numbers get through.</w:t>
      </w:r>
    </w:p>
    <w:p>
      <w:pPr>
        <w:spacing w:before="0" w:after="60" w:line="276" w:lineRule="auto"/>
      </w:pPr>
      <w:r>
        <w:rPr>
          <w:rFonts w:ascii="Calibri" w:hAnsi="Calibri"/>
          <w:b/>
          <w:i w:val="0"/>
          <w:color w:val="0B5E55"/>
          <w:sz w:val="20"/>
        </w:rPr>
        <w:t xml:space="preserve">2.  </w:t>
      </w:r>
      <w:r>
        <w:rPr>
          <w:rFonts w:ascii="Calibri" w:hAnsi="Calibri"/>
          <w:b/>
          <w:i w:val="0"/>
          <w:color w:val="1A1F28"/>
          <w:sz w:val="20"/>
        </w:rPr>
        <w:t xml:space="preserve">Measured, not asserted. </w:t>
      </w:r>
      <w:r>
        <w:rPr>
          <w:rFonts w:ascii="Calibri" w:hAnsi="Calibri"/>
          <w:b w:val="0"/>
          <w:i w:val="0"/>
          <w:color w:val="1A1F28"/>
          <w:sz w:val="20"/>
        </w:rPr>
        <w:t>Accuracy is scored against the cause planted in each order when the batch was generated, not against the model's own say-so.</w:t>
      </w:r>
    </w:p>
    <w:p>
      <w:pPr>
        <w:spacing w:before="0" w:after="60" w:line="276" w:lineRule="auto"/>
      </w:pPr>
      <w:r>
        <w:rPr>
          <w:rFonts w:ascii="Calibri" w:hAnsi="Calibri"/>
          <w:b/>
          <w:i w:val="0"/>
          <w:color w:val="0B5E55"/>
          <w:sz w:val="20"/>
        </w:rPr>
        <w:t xml:space="preserve">3.  </w:t>
      </w:r>
      <w:r>
        <w:rPr>
          <w:rFonts w:ascii="Calibri" w:hAnsi="Calibri"/>
          <w:b/>
          <w:i w:val="0"/>
          <w:color w:val="1A1F28"/>
          <w:sz w:val="20"/>
        </w:rPr>
        <w:t xml:space="preserve">Honest about the loss. </w:t>
      </w:r>
      <w:r>
        <w:rPr>
          <w:rFonts w:ascii="Calibri" w:hAnsi="Calibri"/>
          <w:b w:val="0"/>
          <w:i w:val="0"/>
          <w:color w:val="1A1F28"/>
          <w:sz w:val="20"/>
        </w:rPr>
        <w:t>On seed 47 the simple rule beat the coordinator. That batch stays in the table at full weight rather than being quietly dropped.</w:t>
      </w:r>
    </w:p>
    <w:p>
      <w:pPr>
        <w:spacing w:before="120" w:after="60"/>
      </w:pPr>
      <w:r>
        <w:rPr>
          <w:rFonts w:ascii="Calibri" w:hAnsi="Calibri"/>
          <w:b/>
          <w:i w:val="0"/>
          <w:color w:val="0F2540"/>
          <w:sz w:val="24"/>
        </w:rPr>
        <w:t>Worked example: order OTIF-0011</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F4F6F8"/>
            <w:tcMar>
              <w:top w:w="140" w:type="dxa"/>
              <w:bottom w:w="140" w:type="dxa"/>
              <w:start w:w="160" w:type="dxa"/>
              <w:end w:w="160" w:type="dxa"/>
            </w:tcMar>
          </w:tcPr>
          <w:p>
            <w:pPr>
              <w:spacing w:after="60" w:before="0"/>
            </w:pPr>
            <w:r>
              <w:rPr>
                <w:rFonts w:ascii="Calibri" w:hAnsi="Calibri"/>
                <w:b/>
                <w:i w:val="0"/>
                <w:color w:val="1A1F28"/>
                <w:sz w:val="20"/>
              </w:rPr>
              <w:t xml:space="preserve">The supplier's PO ran 6 days late; the warehouse dispatch was 2 days slow with a pick short. </w:t>
            </w:r>
            <w:r>
              <w:rPr>
                <w:rFonts w:ascii="Calibri" w:hAnsi="Calibri"/>
                <w:b w:val="0"/>
                <w:i w:val="0"/>
                <w:color w:val="1A1F28"/>
                <w:sz w:val="20"/>
              </w:rPr>
              <w:t xml:space="preserve">The simple rule picks the louder single signal and blames the supplier. Wrong. </w:t>
            </w:r>
          </w:p>
          <w:p>
            <w:pPr>
              <w:spacing w:after="0" w:before="0"/>
            </w:pPr>
            <w:r>
              <w:rPr>
                <w:rFonts w:ascii="Calibri" w:hAnsi="Calibri"/>
                <w:b w:val="0"/>
                <w:i w:val="0"/>
                <w:color w:val="1A1F28"/>
                <w:sz w:val="20"/>
              </w:rPr>
              <w:t>The coordinator reasons that stock was physically on hand, so the late PO did not starve the pick; warehouse execution bound the outcome. It names the warehouse as the deciding cause. Correct, and it shows the reasoning.</w:t>
            </w:r>
          </w:p>
        </w:tc>
      </w:tr>
    </w:tbl>
    <w:p>
      <w:pPr>
        <w:spacing w:before="160" w:after="40"/>
      </w:pPr>
      <w:r>
        <w:rPr>
          <w:rFonts w:ascii="Calibri" w:hAnsi="Calibri"/>
          <w:b/>
          <w:i w:val="0"/>
          <w:color w:val="0F2540"/>
          <w:sz w:val="18"/>
        </w:rPr>
        <w:t xml:space="preserve">Built with  </w:t>
      </w:r>
      <w:r>
        <w:rPr>
          <w:rFonts w:ascii="Calibri" w:hAnsi="Calibri"/>
          <w:b w:val="0"/>
          <w:i w:val="0"/>
          <w:color w:val="1A1F28"/>
          <w:sz w:val="18"/>
        </w:rPr>
        <w:t>Python, FastAPI, LangGraph, Claude Sonnet 4.6, Next.js.  Verified by 181 passing tests.</w:t>
      </w:r>
    </w:p>
    <w:p>
      <w:pPr>
        <w:spacing w:before="120" w:after="0"/>
      </w:pPr>
      <w:r>
        <w:rPr>
          <w:rFonts w:ascii="Calibri" w:hAnsi="Calibri"/>
          <w:b w:val="0"/>
          <w:i/>
          <w:color w:val="5B6470"/>
          <w:sz w:val="16"/>
        </w:rPr>
        <w:t>Mawarid Distribution is a fictional company and all order data is synthetic, generated with a fixed seed so every figure in this document is reproducible. Prepared by Prajwal.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color w:val="5B6470"/>
        <w:sz w:val="15"/>
        <w:spacing w:val="4"/>
      </w:rPr>
      <w:t>OTIF Root-Cause Engine  ·  Case Study  ·  Prajwal  ·  Illustrative, synthetic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