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color="auto" w:val="clear"/>
        <w:spacing w:after="20" w:before="0" w:line="252"/>
        <w:ind w:left="120" w:right="12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SUPPLIER RESILIENCE RADAR</w:t>
      </w:r>
    </w:p>
    <w:p>
      <w:pPr>
        <w:shd w:fill="1B2A4A" w:color="auto" w:val="clear"/>
        <w:spacing w:after="20" w:before="0" w:line="252"/>
        <w:ind w:left="120" w:right="120"/>
      </w:pPr>
      <w:r>
        <w:rPr>
          <w:rFonts w:ascii="Arial" w:cs="Arial" w:eastAsia="Arial" w:hAnsi="Arial"/>
          <w:b w:val="false"/>
          <w:bCs w:val="false"/>
          <w:color w:val="DCE4F0"/>
          <w:sz w:val="19"/>
          <w:szCs w:val="19"/>
        </w:rPr>
        <w:t xml:space="preserve">AI supplier-risk assessment for GCC industrial manufacturing</w:t>
      </w:r>
    </w:p>
    <w:p>
      <w:pPr>
        <w:shd w:fill="1B2A4A" w:color="auto" w:val="clear"/>
        <w:spacing w:after="60" w:before="0" w:line="252"/>
        <w:ind w:left="120" w:right="120"/>
      </w:pPr>
      <w:r>
        <w:rPr>
          <w:rFonts w:ascii="Arial" w:cs="Arial" w:eastAsia="Arial" w:hAnsi="Arial"/>
          <w:b w:val="false"/>
          <w:bCs w:val="false"/>
          <w:color w:val="AEBDD6"/>
          <w:sz w:val="15"/>
          <w:szCs w:val="15"/>
        </w:rPr>
        <w:t xml:space="preserve">Concentration exposure · live disruption signals · contract implications — every claim sourced and traceable</w:t>
      </w:r>
    </w:p>
    <w:p>
      <w:pPr>
        <w:pBdr>
          <w:bottom w:val="single" w:color="2E5A88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2E5A88"/>
          <w:sz w:val="18"/>
          <w:szCs w:val="18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Situation</w:t>
      </w:r>
    </w:p>
    <w:p>
      <w:pPr>
        <w:spacing w:after="90" w:before="0" w:line="248"/>
        <w:jc w:val="both"/>
      </w:pPr>
      <w:r>
        <w:rPr>
          <w:rFonts w:ascii="Arial" w:cs="Arial" w:eastAsia="Arial" w:hAnsi="Arial"/>
          <w:sz w:val="19"/>
          <w:szCs w:val="19"/>
        </w:rPr>
        <w:t xml:space="preserve">GCC manufacturers of chillers and district-cooling equipment assemble their products around a small number of imported critical components. A chiller is built around its compressor, and compressors come from a handful of global makers whose units cannot be swapped without redesign and recertification. When a single-source supplier fails, the production line stops, construction and district-cooling milestones slip, and liquidated damages follow. </w:t>
      </w:r>
      <w:r>
        <w:rPr>
          <w:rFonts w:ascii="Arial" w:cs="Arial" w:eastAsia="Arial" w:hAnsi="Arial"/>
          <w:sz w:val="19"/>
          <w:szCs w:val="19"/>
        </w:rPr>
        <w:t xml:space="preserve">The exposure is understood in principle but never assessed proactively: doing so means cross-referencing internal procurement data, live external signals, and the supplier contract, which takes an analyst two to three days per supplier. Across a portfolio of more than a hundred suppliers it is done reactively, after the shipment has already failed, when the remaining options are the expensive ones.</w:t>
      </w:r>
    </w:p>
    <w:p>
      <w:pPr>
        <w:pBdr>
          <w:bottom w:val="single" w:color="2E5A88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2E5A88"/>
          <w:sz w:val="18"/>
          <w:szCs w:val="18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Approach</w:t>
      </w:r>
    </w:p>
    <w:p>
      <w:pPr>
        <w:spacing w:after="90" w:before="0" w:line="248"/>
        <w:jc w:val="both"/>
      </w:pPr>
      <w:r>
        <w:rPr>
          <w:rFonts w:ascii="Arial" w:cs="Arial" w:eastAsia="Arial" w:hAnsi="Arial"/>
          <w:sz w:val="19"/>
          <w:szCs w:val="19"/>
        </w:rPr>
        <w:t xml:space="preserve">The tool produces one artifact: a board-ready risk brief for a single supplier, on demand. A four-node AI pipeline drives it. A deterministic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Profile</w:t>
      </w:r>
      <w:r>
        <w:rPr>
          <w:rFonts w:ascii="Arial" w:cs="Arial" w:eastAsia="Arial" w:hAnsi="Arial"/>
          <w:sz w:val="19"/>
          <w:szCs w:val="19"/>
        </w:rPr>
        <w:t xml:space="preserve"> node computes every concentration metric in tested Python.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Research</w:t>
      </w:r>
      <w:r>
        <w:rPr>
          <w:rFonts w:ascii="Arial" w:cs="Arial" w:eastAsia="Arial" w:hAnsi="Arial"/>
          <w:sz w:val="19"/>
          <w:szCs w:val="19"/>
        </w:rPr>
        <w:t xml:space="preserve"> agent investigates four angles — company, country, logistics corridor, and contract — using live web search and retrieval over the supplier’s own contract, deciding for itself what to investigate and when to stop.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Synthesize</w:t>
      </w:r>
      <w:r>
        <w:rPr>
          <w:rFonts w:ascii="Arial" w:cs="Arial" w:eastAsia="Arial" w:hAnsi="Arial"/>
          <w:sz w:val="19"/>
          <w:szCs w:val="19"/>
        </w:rPr>
        <w:t xml:space="preserve"> node writes the brief;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Validate</w:t>
      </w:r>
      <w:r>
        <w:rPr>
          <w:rFonts w:ascii="Arial" w:cs="Arial" w:eastAsia="Arial" w:hAnsi="Arial"/>
          <w:sz w:val="19"/>
          <w:szCs w:val="19"/>
        </w:rPr>
        <w:t xml:space="preserve"> node enforces the discipline.</w:t>
      </w:r>
    </w:p>
    <w:p>
      <w:pPr>
        <w:spacing w:after="90" w:before="0" w:line="248"/>
        <w:jc w:val="both"/>
      </w:pPr>
      <w:r>
        <w:rPr>
          <w:rFonts w:ascii="Arial" w:cs="Arial" w:eastAsia="Arial" w:hAnsi="Arial"/>
          <w:sz w:val="19"/>
          <w:szCs w:val="19"/>
        </w:rPr>
        <w:t xml:space="preserve">The governing rule: the AI reasons and writes but never calculates. </w:t>
      </w:r>
      <w:r>
        <w:rPr>
          <w:rFonts w:ascii="Arial" w:cs="Arial" w:eastAsia="Arial" w:hAnsi="Arial"/>
          <w:sz w:val="19"/>
          <w:szCs w:val="19"/>
        </w:rPr>
        <w:t xml:space="preserve">Every number is computed by tested code and enters the brief as a placeholder. Every external claim must cite a source the agent actually retrieved. Everything the agent could not establish is stated plainly. Three rails — numbers, sources, and gaps — each enforced mechanically rather than promised by a prompt.</w:t>
      </w:r>
    </w:p>
    <w:p>
      <w:pPr>
        <w:pBdr>
          <w:bottom w:val="single" w:color="2E5A88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2E5A88"/>
          <w:sz w:val="18"/>
          <w:szCs w:val="18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Findings — SUP-001, Rheinkomp Compressors (Germany)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Concentration score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94.0 / 100</w:t>
            </w:r>
          </w:p>
        </w:tc>
        <w:tc>
          <w:tcPr>
            <w:tcW w:type="dxa" w:w="45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Highest tier; scored on exposure × vulnerability, not spend alone</w:t>
            </w:r>
          </w:p>
        </w:tc>
      </w:tr>
      <w:tr>
        <w:tc>
          <w:tcPr>
            <w:tcW w:type="dxa" w:w="2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Spend share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18.0%  (AED 86.4M)</w:t>
            </w:r>
          </w:p>
        </w:tc>
        <w:tc>
          <w:tcPr>
            <w:tcW w:type="dxa" w:w="45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 AED 480M total strategic procurement spend</w:t>
            </w:r>
          </w:p>
        </w:tc>
      </w:tr>
      <w:tr>
        <w:tc>
          <w:tcPr>
            <w:tcW w:type="dxa" w:w="2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Single-source dependency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of 12 models</w:t>
            </w:r>
          </w:p>
        </w:tc>
        <w:tc>
          <w:tcPr>
            <w:tcW w:type="dxa" w:w="45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qualified alternative — the majority of the flagship line</w:t>
            </w:r>
          </w:p>
        </w:tc>
      </w:tr>
      <w:tr>
        <w:tc>
          <w:tcPr>
            <w:tcW w:type="dxa" w:w="2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Line-down gap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weeks</w:t>
            </w:r>
          </w:p>
        </w:tc>
        <w:tc>
          <w:tcPr>
            <w:tcW w:type="dxa" w:w="45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16-week replacement lead time less 6 weeks of on-hand cover</w:t>
            </w:r>
          </w:p>
        </w:tc>
      </w:tr>
      <w:tr>
        <w:tc>
          <w:tcPr>
            <w:tcW w:type="dxa" w:w="2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 single-source spend</w:t>
            </w:r>
          </w:p>
        </w:tc>
        <w:tc>
          <w:tcPr>
            <w:tcW w:type="dxa" w:w="2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50.0%  (AED 240M)</w:t>
            </w:r>
          </w:p>
        </w:tc>
        <w:tc>
          <w:tcPr>
            <w:tcW w:type="dxa" w:w="45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Half of all spend flows through irreplaceable suppliers</w:t>
            </w:r>
          </w:p>
        </w:tc>
      </w:tr>
    </w:tbl>
    <w:p>
      <w:pPr>
        <w:spacing w:after="40" w:before="11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Live signals the agent found</w:t>
      </w:r>
    </w:p>
    <w:p>
      <w:pPr>
        <w:pStyle w:val="ListParagraph"/>
        <w:numPr>
          <w:ilvl w:val="0"/>
          <w:numId w:val="2"/>
        </w:numPr>
        <w:spacing w:after="40" w:before="0" w:line="248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German industrial contraction — </w:t>
      </w:r>
      <w:r>
        <w:rPr>
          <w:rFonts w:ascii="Arial" w:cs="Arial" w:eastAsia="Arial" w:hAnsi="Arial"/>
          <w:sz w:val="19"/>
          <w:szCs w:val="19"/>
        </w:rPr>
        <w:t xml:space="preserve">record SME insolvencies and falling mechanical-engineering output raise the supplier’s financial-distress and capacity risk.</w:t>
      </w:r>
    </w:p>
    <w:p>
      <w:pPr>
        <w:pStyle w:val="ListParagraph"/>
        <w:numPr>
          <w:ilvl w:val="0"/>
          <w:numId w:val="2"/>
        </w:numPr>
        <w:spacing w:after="40" w:before="0" w:line="248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Hamburg–Gulf corridor congestion — </w:t>
      </w:r>
      <w:r>
        <w:rPr>
          <w:rFonts w:ascii="Arial" w:cs="Arial" w:eastAsia="Arial" w:hAnsi="Arial"/>
          <w:sz w:val="19"/>
          <w:szCs w:val="19"/>
        </w:rPr>
        <w:t xml:space="preserve">sustained berthing delays and Cape-of-Good-Hope rerouting extend an already 16-week lead time.</w:t>
      </w:r>
    </w:p>
    <w:p>
      <w:pPr>
        <w:spacing w:after="40" w:before="11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Contract traps the agent found</w:t>
      </w:r>
    </w:p>
    <w:p>
      <w:pPr>
        <w:pStyle w:val="ListParagraph"/>
        <w:numPr>
          <w:ilvl w:val="0"/>
          <w:numId w:val="2"/>
        </w:numPr>
        <w:spacing w:after="40" w:before="0" w:line="248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Narrow force majeure (Clause 2) — </w:t>
      </w:r>
      <w:r>
        <w:rPr>
          <w:rFonts w:ascii="Arial" w:cs="Arial" w:eastAsia="Arial" w:hAnsi="Arial"/>
          <w:sz w:val="19"/>
          <w:szCs w:val="19"/>
        </w:rPr>
        <w:t xml:space="preserve">excludes energy shocks, plant failure, and freight delay, the most likely disruptions.</w:t>
      </w:r>
    </w:p>
    <w:p>
      <w:pPr>
        <w:pStyle w:val="ListParagraph"/>
        <w:numPr>
          <w:ilvl w:val="0"/>
          <w:numId w:val="2"/>
        </w:numPr>
        <w:spacing w:after="40" w:before="0" w:line="248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Exclusivity lock-in (Clause 5) — </w:t>
      </w:r>
      <w:r>
        <w:rPr>
          <w:rFonts w:ascii="Arial" w:cs="Arial" w:eastAsia="Arial" w:hAnsi="Arial"/>
          <w:sz w:val="19"/>
          <w:szCs w:val="19"/>
        </w:rPr>
        <w:t xml:space="preserve">forbids qualifying any alternative source without the supplier’s written consent.</w:t>
      </w:r>
    </w:p>
    <w:p>
      <w:pPr>
        <w:pStyle w:val="ListParagraph"/>
        <w:numPr>
          <w:ilvl w:val="0"/>
          <w:numId w:val="2"/>
        </w:numPr>
        <w:spacing w:after="40" w:before="0" w:line="248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No remedy (Clause 7) — </w:t>
      </w:r>
      <w:r>
        <w:rPr>
          <w:rFonts w:ascii="Arial" w:cs="Arial" w:eastAsia="Arial" w:hAnsi="Arial"/>
          <w:sz w:val="19"/>
          <w:szCs w:val="19"/>
        </w:rPr>
        <w:t xml:space="preserve">liability capped at purchase-order value, with no liquidated damages for late or non-delivery.</w:t>
      </w:r>
    </w:p>
    <w:p>
      <w:pPr>
        <w:pageBreakBefore/>
        <w:spacing w:after="0"/>
      </w:pPr>
    </w:p>
    <w:p>
      <w:pPr>
        <w:pBdr>
          <w:bottom w:val="single" w:color="2E5A88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2E5A88"/>
          <w:sz w:val="18"/>
          <w:szCs w:val="18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Recommended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360"/>
        <w:gridCol w:w="1600"/>
      </w:tblGrid>
      <w:tr>
        <w:trPr>
          <w:tblHeader/>
        </w:trP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safety stock to 16 weeks on the 9 single-source SKUs</w:t>
            </w:r>
          </w:p>
        </w:tc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only near-term lever that closes the 10-week production-halt gap</w:t>
            </w:r>
          </w:p>
        </w:tc>
        <w:tc>
          <w:tcPr>
            <w:tcW w:type="dxa" w:w="1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+ corridor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Renegotiate exclusivity; add liquidated-damages terms</w:t>
            </w:r>
          </w:p>
        </w:tc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Removes the contractual lock-in and creates a delivery deterrent</w:t>
            </w:r>
          </w:p>
        </w:tc>
        <w:tc>
          <w:tcPr>
            <w:tcW w:type="dxa" w:w="1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Clauses 5, 7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Qualify ≥2 alternative compressor sources outside Germany</w:t>
            </w:r>
          </w:p>
        </w:tc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Cuts both supplier concentration and Hamburg-corridor dependence</w:t>
            </w:r>
          </w:p>
        </w:tc>
        <w:tc>
          <w:tcPr>
            <w:tcW w:type="dxa" w:w="1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Clause 5 + signals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an indirect financial-health assessment of the supplier</w:t>
            </w:r>
          </w:p>
        </w:tc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public financials exist; the insolvency environment makes early warning critical</w:t>
            </w:r>
          </w:p>
        </w:tc>
        <w:tc>
          <w:tcPr>
            <w:tcW w:type="dxa" w:w="1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Country + gap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Engage Hamburg-contingency freight routing (Rotterdam / Bremerhaven)</w:t>
            </w:r>
          </w:p>
        </w:tc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Hamburg-only routing is a single logistics point of failure</w:t>
            </w:r>
          </w:p>
        </w:tc>
        <w:tc>
          <w:tcPr>
            <w:tcW w:type="dxa" w:w="1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Corridor signals</w:t>
            </w:r>
          </w:p>
        </w:tc>
      </w:tr>
      <w:tr>
        <w:tc>
          <w:tcPr>
            <w:tcW w:type="dxa" w:w="3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 notice of intent to renegotiate now</w:t>
            </w:r>
          </w:p>
        </w:tc>
        <w:tc>
          <w:tcPr>
            <w:tcW w:type="dxa" w:w="43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180-day window governs non-renewal, or the unfavourable terms auto-renew</w:t>
            </w:r>
          </w:p>
        </w:tc>
        <w:tc>
          <w:tcPr>
            <w:tcW w:type="dxa" w:w="16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Clause 8</w:t>
            </w:r>
          </w:p>
        </w:tc>
      </w:tr>
    </w:tbl>
    <w:p>
      <w:pPr>
        <w:pBdr>
          <w:bottom w:val="single" w:color="2E5A88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2E5A88"/>
          <w:sz w:val="18"/>
          <w:szCs w:val="18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Architecture</w:t>
      </w:r>
    </w:p>
    <w:p>
      <w:pPr>
        <w:spacing w:after="70" w:before="0" w:line="248"/>
        <w:jc w:val="both"/>
      </w:pPr>
      <w:r>
        <w:rPr>
          <w:rFonts w:ascii="Arial" w:cs="Arial" w:eastAsia="Arial" w:hAnsi="Arial"/>
          <w:sz w:val="19"/>
          <w:szCs w:val="19"/>
        </w:rPr>
        <w:t xml:space="preserve">Four nodes: two deterministic bookends (Profile, Validate) in pure Python and two model-driven nodes (Research, Synthesize) between them.</w:t>
      </w:r>
    </w:p>
    <w:p>
      <w:pPr>
        <w:pStyle w:val="ListParagraph"/>
        <w:numPr>
          <w:ilvl w:val="0"/>
          <w:numId w:val="2"/>
        </w:numPr>
        <w:spacing w:after="40" w:before="0" w:line="248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Agentic research loop — </w:t>
      </w:r>
      <w:r>
        <w:rPr>
          <w:rFonts w:ascii="Arial" w:cs="Arial" w:eastAsia="Arial" w:hAnsi="Arial"/>
          <w:sz w:val="19"/>
          <w:szCs w:val="19"/>
        </w:rPr>
        <w:t xml:space="preserve">the model reasons about what to investigate, calls a tool, reads the result, and chooses its next move, under a hard six-turn cap with a forced structured-output fallback. This is the architectural opposite of the closed deterministic pipeline used in the portfolio’s first project.</w:t>
      </w:r>
    </w:p>
    <w:p>
      <w:pPr>
        <w:pStyle w:val="ListParagraph"/>
        <w:numPr>
          <w:ilvl w:val="0"/>
          <w:numId w:val="2"/>
        </w:numPr>
        <w:spacing w:after="40" w:before="0" w:line="248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Two-gate fabrication defense — </w:t>
      </w:r>
      <w:r>
        <w:rPr>
          <w:rFonts w:ascii="Arial" w:cs="Arial" w:eastAsia="Arial" w:hAnsi="Arial"/>
          <w:sz w:val="19"/>
          <w:szCs w:val="19"/>
        </w:rPr>
        <w:t xml:space="preserve">as tools return, code builds a ledger of every URL and contract clause actually retrieved. At research exit, any finding citing a source not in the ledger is dropped; at validation, the finished brief is re-checked against the same ledger, and the renderer refuses any brief carrying an unverifiable number, a bare digit, or a fabricated citation. The agent reaches into the live web yet cannot cite what it did not retrieve.</w:t>
      </w:r>
    </w:p>
    <w:p>
      <w:pPr>
        <w:pStyle w:val="ListParagraph"/>
        <w:numPr>
          <w:ilvl w:val="0"/>
          <w:numId w:val="2"/>
        </w:numPr>
        <w:spacing w:after="40" w:before="0" w:line="248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Structural supplier isolation — </w:t>
      </w:r>
      <w:r>
        <w:rPr>
          <w:rFonts w:ascii="Arial" w:cs="Arial" w:eastAsia="Arial" w:hAnsi="Arial"/>
          <w:sz w:val="19"/>
          <w:szCs w:val="19"/>
        </w:rPr>
        <w:t xml:space="preserve">the contract-search tool never exposes the supplier identity as a parameter the model can set; the run injects it. The model cannot search the wrong supplier’s contract because the lever does not exist in its hands, proven by an adversarial test in which a smuggled identifier is ignored.</w:t>
      </w:r>
    </w:p>
    <w:p>
      <w:pPr>
        <w:pBdr>
          <w:bottom w:val="single" w:color="2E5A88" w:sz="6" w:space="2"/>
        </w:pBdr>
        <w:spacing w:after="70" w:before="200"/>
      </w:pPr>
      <w:r>
        <w:rPr>
          <w:rFonts w:ascii="Arial" w:cs="Arial" w:eastAsia="Arial" w:hAnsi="Arial"/>
          <w:b/>
          <w:bCs/>
          <w:color w:val="2E5A88"/>
          <w:sz w:val="18"/>
          <w:szCs w:val="18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Capabilities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Problem framing</w:t>
            </w:r>
          </w:p>
        </w:tc>
        <w:tc>
          <w:tcPr>
            <w:tcW w:type="dxa" w:w="6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CPO/CRO problem denominated in production-halt risk and contractual remedy, not model accuracy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Procurement-risk depth</w:t>
            </w:r>
          </w:p>
        </w:tc>
        <w:tc>
          <w:tcPr>
            <w:tcW w:type="dxa" w:w="6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Concentration scoring, single-source exposure, days-of-cover, and contract-remedy analysis in a GCC import context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agent design</w:t>
            </w:r>
          </w:p>
        </w:tc>
        <w:tc>
          <w:tcPr>
            <w:tcW w:type="dxa" w:w="6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Tool-using ReAct loop, RAG over contracts with metadata isolation, structured-output enforcement, an LLM that computes nothing</w:t>
            </w:r>
          </w:p>
        </w:tc>
      </w:tr>
      <w:tr>
        <w:tc>
          <w:tcPr>
            <w:tcW w:type="dxa" w:w="2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Consulting-grade output</w:t>
            </w:r>
          </w:p>
        </w:tc>
        <w:tc>
          <w:tcPr>
            <w:tcW w:type="dxa" w:w="69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sourced, board-ready brief defensible line by line under partner-level questioning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A6473"/>
        <w:sz w:val="15"/>
        <w:szCs w:val="15"/>
      </w:rPr>
      <w:t xml:space="preserve">Supplier Resilience Radar  ·  Project 2 of 4, AI Supply Chain Portfolio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color w:val="5A6473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2026-06-20T18:26:52.312Z</dcterms:created>
  <dcterms:modified xsi:type="dcterms:W3CDTF">2026-06-20T18:26:52.312Z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