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10224"/>
      </w:tblGrid>
      <w:tr>
        <w:tc>
          <w:tcPr>
            <w:tcW w:type="dxa" w:w="10224"/>
            <w:shd w:val="clear" w:fill="0F2540"/>
            <w:tcMar>
              <w:top w:w="150" w:type="dxa"/>
              <w:bottom w:w="150" w:type="dxa"/>
              <w:start w:w="200" w:type="dxa"/>
              <w:end w:w="200" w:type="dxa"/>
            </w:tcMar>
          </w:tcPr>
          <w:p>
            <w:pPr>
              <w:spacing w:after="0" w:before="0"/>
            </w:pPr>
            <w:r>
              <w:rPr>
                <w:rFonts w:ascii="Calibri" w:hAnsi="Calibri"/>
                <w:b/>
                <w:i w:val="0"/>
                <w:color w:val="FFFFFF"/>
                <w:sz w:val="34"/>
                <w:spacing w:val="10"/>
              </w:rPr>
              <w:t>SUPPLY CHAIN COPILOT</w:t>
            </w:r>
          </w:p>
          <w:p>
            <w:pPr>
              <w:spacing w:after="0" w:before="60"/>
            </w:pPr>
            <w:r>
              <w:rPr>
                <w:rFonts w:ascii="Calibri" w:hAnsi="Calibri"/>
                <w:b w:val="0"/>
                <w:i w:val="0"/>
                <w:caps/>
                <w:color w:val="B9B4EC"/>
                <w:sz w:val="19"/>
                <w:spacing w:val="30"/>
              </w:rPr>
              <w:t>CASE STUDY</w:t>
            </w:r>
            <w:r>
              <w:rPr>
                <w:rFonts w:ascii="Calibri" w:hAnsi="Calibri"/>
                <w:b w:val="0"/>
                <w:i w:val="0"/>
                <w:color w:val="C7D3DF"/>
                <w:sz w:val="19"/>
              </w:rPr>
              <w:t xml:space="preserve">     Mawarid Distribution.  A fictional GCC distributor; all data is synthetic.</w:t>
            </w:r>
          </w:p>
        </w:tc>
      </w:tr>
    </w:tbl>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2556"/>
        <w:gridCol w:w="2556"/>
        <w:gridCol w:w="2556"/>
        <w:gridCol w:w="2556"/>
      </w:tblGrid>
      <w:tr>
        <w:tc>
          <w:tcPr>
            <w:tcW w:type="dxa" w:w="2556"/>
            <w:shd w:val="clear" w:fill="0F2540"/>
            <w:tcMar>
              <w:top w:w="130" w:type="dxa"/>
              <w:bottom w:w="130" w:type="dxa"/>
              <w:start w:w="130" w:type="dxa"/>
              <w:end w:w="110" w:type="dxa"/>
            </w:tcMar>
          </w:tcPr>
          <w:p>
            <w:pPr>
              <w:spacing w:after="20" w:before="0"/>
            </w:pPr>
            <w:r>
              <w:rPr>
                <w:rFonts w:ascii="Calibri" w:hAnsi="Calibri"/>
                <w:b/>
                <w:i w:val="0"/>
                <w:color w:val="FFFFFF"/>
                <w:sz w:val="40"/>
              </w:rPr>
              <w:t>96.7%</w:t>
            </w:r>
          </w:p>
          <w:p>
            <w:pPr>
              <w:spacing w:after="0" w:before="40"/>
            </w:pPr>
            <w:r>
              <w:rPr>
                <w:rFonts w:ascii="Calibri" w:hAnsi="Calibri"/>
                <w:b/>
                <w:i w:val="0"/>
                <w:caps/>
                <w:color w:val="FFFFFF"/>
                <w:sz w:val="17"/>
                <w:spacing w:val="6"/>
              </w:rPr>
              <w:t>Spec accuracy, clean</w:t>
            </w:r>
          </w:p>
          <w:p>
            <w:pPr>
              <w:spacing w:after="0" w:before="20"/>
            </w:pPr>
            <w:r>
              <w:rPr>
                <w:rFonts w:ascii="Calibri" w:hAnsi="Calibri"/>
                <w:b w:val="0"/>
                <w:i w:val="0"/>
                <w:color w:val="AFBECD"/>
                <w:sz w:val="15"/>
              </w:rPr>
              <w:t>stable across four runs</w:t>
            </w:r>
          </w:p>
        </w:tc>
        <w:tc>
          <w:tcPr>
            <w:tcW w:type="dxa" w:w="2556"/>
            <w:shd w:val="clear" w:fill="1C3A5E"/>
            <w:tcMar>
              <w:top w:w="130" w:type="dxa"/>
              <w:bottom w:w="130" w:type="dxa"/>
              <w:start w:w="130" w:type="dxa"/>
              <w:end w:w="110" w:type="dxa"/>
            </w:tcMar>
          </w:tcPr>
          <w:p>
            <w:pPr>
              <w:spacing w:after="20" w:before="0"/>
            </w:pPr>
            <w:r>
              <w:rPr>
                <w:rFonts w:ascii="Calibri" w:hAnsi="Calibri"/>
                <w:b/>
                <w:i w:val="0"/>
                <w:color w:val="FFFFFF"/>
                <w:sz w:val="40"/>
              </w:rPr>
              <w:t>100%</w:t>
            </w:r>
          </w:p>
          <w:p>
            <w:pPr>
              <w:spacing w:after="0" w:before="40"/>
            </w:pPr>
            <w:r>
              <w:rPr>
                <w:rFonts w:ascii="Calibri" w:hAnsi="Calibri"/>
                <w:b/>
                <w:i w:val="0"/>
                <w:caps/>
                <w:color w:val="FFFFFF"/>
                <w:sz w:val="17"/>
                <w:spacing w:val="6"/>
              </w:rPr>
              <w:t>Adversarial refusal</w:t>
            </w:r>
          </w:p>
          <w:p>
            <w:pPr>
              <w:spacing w:after="0" w:before="20"/>
            </w:pPr>
            <w:r>
              <w:rPr>
                <w:rFonts w:ascii="Calibri" w:hAnsi="Calibri"/>
                <w:b w:val="0"/>
                <w:i w:val="0"/>
                <w:color w:val="AFBECD"/>
                <w:sz w:val="15"/>
              </w:rPr>
              <w:t>deploy-blocking gate</w:t>
            </w:r>
          </w:p>
        </w:tc>
        <w:tc>
          <w:tcPr>
            <w:tcW w:type="dxa" w:w="2556"/>
            <w:shd w:val="clear" w:fill="0F2540"/>
            <w:tcMar>
              <w:top w:w="130" w:type="dxa"/>
              <w:bottom w:w="130" w:type="dxa"/>
              <w:start w:w="130" w:type="dxa"/>
              <w:end w:w="110" w:type="dxa"/>
            </w:tcMar>
          </w:tcPr>
          <w:p>
            <w:pPr>
              <w:spacing w:after="20" w:before="0"/>
            </w:pPr>
            <w:r>
              <w:rPr>
                <w:rFonts w:ascii="Calibri" w:hAnsi="Calibri"/>
                <w:b/>
                <w:i w:val="0"/>
                <w:color w:val="FFFFFF"/>
                <w:sz w:val="40"/>
              </w:rPr>
              <w:t>492</w:t>
            </w:r>
          </w:p>
          <w:p>
            <w:pPr>
              <w:spacing w:after="0" w:before="40"/>
            </w:pPr>
            <w:r>
              <w:rPr>
                <w:rFonts w:ascii="Calibri" w:hAnsi="Calibri"/>
                <w:b/>
                <w:i w:val="0"/>
                <w:caps/>
                <w:color w:val="FFFFFF"/>
                <w:sz w:val="17"/>
                <w:spacing w:val="6"/>
              </w:rPr>
              <w:t>Automated tests</w:t>
            </w:r>
          </w:p>
          <w:p>
            <w:pPr>
              <w:spacing w:after="0" w:before="20"/>
            </w:pPr>
            <w:r>
              <w:rPr>
                <w:rFonts w:ascii="Calibri" w:hAnsi="Calibri"/>
                <w:b w:val="0"/>
                <w:i w:val="0"/>
                <w:color w:val="AFBECD"/>
                <w:sz w:val="15"/>
              </w:rPr>
              <w:t>hand-verified fixtures</w:t>
            </w:r>
          </w:p>
        </w:tc>
        <w:tc>
          <w:tcPr>
            <w:tcW w:type="dxa" w:w="2556"/>
            <w:shd w:val="clear" w:fill="1C3A5E"/>
            <w:tcMar>
              <w:top w:w="130" w:type="dxa"/>
              <w:bottom w:w="130" w:type="dxa"/>
              <w:start w:w="130" w:type="dxa"/>
              <w:end w:w="110" w:type="dxa"/>
            </w:tcMar>
          </w:tcPr>
          <w:p>
            <w:pPr>
              <w:spacing w:after="20" w:before="0"/>
            </w:pPr>
            <w:r>
              <w:rPr>
                <w:rFonts w:ascii="Calibri" w:hAnsi="Calibri"/>
                <w:b/>
                <w:i w:val="0"/>
                <w:color w:val="FFFFFF"/>
                <w:sz w:val="40"/>
              </w:rPr>
              <w:t>$0.14</w:t>
            </w:r>
          </w:p>
          <w:p>
            <w:pPr>
              <w:spacing w:after="0" w:before="40"/>
            </w:pPr>
            <w:r>
              <w:rPr>
                <w:rFonts w:ascii="Calibri" w:hAnsi="Calibri"/>
                <w:b/>
                <w:i w:val="0"/>
                <w:caps/>
                <w:color w:val="FFFFFF"/>
                <w:sz w:val="17"/>
                <w:spacing w:val="6"/>
              </w:rPr>
              <w:t>Per 5-question thread</w:t>
            </w:r>
          </w:p>
          <w:p>
            <w:pPr>
              <w:spacing w:after="0" w:before="20"/>
            </w:pPr>
            <w:r>
              <w:rPr>
                <w:rFonts w:ascii="Calibri" w:hAnsi="Calibri"/>
                <w:b w:val="0"/>
                <w:i w:val="0"/>
                <w:color w:val="AFBECD"/>
                <w:sz w:val="15"/>
              </w:rPr>
              <w:t>real pipeline cost</w:t>
            </w:r>
          </w:p>
        </w:tc>
      </w:tr>
    </w:tbl>
    <w:p>
      <w:pPr>
        <w:spacing w:before="200" w:after="60"/>
      </w:pPr>
      <w:r>
        <w:rPr>
          <w:rFonts w:ascii="Calibri" w:hAnsi="Calibri"/>
          <w:b/>
          <w:i w:val="0"/>
          <w:color w:val="0F2540"/>
          <w:sz w:val="24"/>
        </w:rPr>
        <w:t>The problem</w:t>
      </w:r>
    </w:p>
    <w:p>
      <w:pPr>
        <w:spacing w:before="0" w:after="160" w:line="278" w:lineRule="auto"/>
      </w:pPr>
      <w:r>
        <w:rPr>
          <w:rFonts w:ascii="Calibri" w:hAnsi="Calibri"/>
          <w:b w:val="0"/>
          <w:i w:val="0"/>
          <w:color w:val="1A1F28"/>
          <w:sz w:val="20"/>
        </w:rPr>
        <w:t>A demand planner at a GCC FMCG distributor wants to know why OTIF dropped in March. Today that question is a ticket, an analyst, an Excel pull, and a meeting next week. The data already sits in the ERP. Getting a grounded answer out of it does not. The cost is not the analyst's afternoon. It is the decisions taken on stale numbers while the answer is still in a queue, and the questions that never get asked because asking is expensive.</w:t>
      </w:r>
    </w:p>
    <w:p>
      <w:pPr>
        <w:spacing w:before="200" w:after="60"/>
      </w:pPr>
      <w:r>
        <w:rPr>
          <w:rFonts w:ascii="Calibri" w:hAnsi="Calibri"/>
          <w:b/>
          <w:i w:val="0"/>
          <w:color w:val="0F2540"/>
          <w:sz w:val="24"/>
        </w:rPr>
        <w:t>The approach</w:t>
      </w:r>
    </w:p>
    <w:p>
      <w:pPr>
        <w:spacing w:before="0" w:after="160" w:line="278" w:lineRule="auto"/>
      </w:pPr>
      <w:r>
        <w:rPr>
          <w:rFonts w:ascii="Calibri" w:hAnsi="Calibri"/>
          <w:b w:val="0"/>
          <w:i w:val="0"/>
          <w:color w:val="1A1F28"/>
          <w:sz w:val="20"/>
        </w:rPr>
        <w:t>A conversational interface where the model interprets the question into a typed query spec, not SQL. Deterministic code validates that spec, compiles it, executes it against a read-only database, and narrates the result. Two model calls per question; everything between them and around them is tested Python. The model is structurally incapable of writing SQL, computing a number, or showing a figure it cannot trace.</w:t>
      </w:r>
    </w:p>
    <w:p>
      <w:pPr>
        <w:spacing w:before="200" w:after="60"/>
      </w:pPr>
      <w:r>
        <w:rPr>
          <w:rFonts w:ascii="Calibri" w:hAnsi="Calibri"/>
          <w:b/>
          <w:i w:val="0"/>
          <w:color w:val="0F2540"/>
          <w:sz w:val="24"/>
        </w:rPr>
        <w:t>At a glance</w:t>
      </w:r>
    </w:p>
    <w:tbl>
      <w:tblPr>
        <w:tblW w:type="auto" w:w="0"/>
        <w:tblLayout w:type="fixed"/>
        <w:tblLook w:firstColumn="1" w:firstRow="1" w:lastColumn="0" w:lastRow="0" w:noHBand="0" w:noVBand="1" w:val="04A0"/>
        <w:tblBorders>
          <w:top w:val="single" w:sz="4" w:color="D6DCE4"/>
          <w:bottom w:val="single" w:sz="4" w:color="D6DCE4"/>
          <w:insideH w:val="single" w:sz="4" w:color="D6DCE4"/>
          <w:left w:val="nil"/>
          <w:right w:val="nil"/>
          <w:insideV w:val="nil"/>
        </w:tblBorders>
      </w:tblPr>
      <w:tblGrid>
        <w:gridCol w:w="5112"/>
        <w:gridCol w:w="5112"/>
      </w:tblGrid>
      <w:tr>
        <w:tc>
          <w:tcPr>
            <w:tcW w:type="dxa" w:w="3600"/>
            <w:shd w:val="clear" w:fill="FFFFFF"/>
            <w:tcMar>
              <w:top w:w="60" w:type="dxa"/>
              <w:bottom w:w="60" w:type="dxa"/>
              <w:start w:w="110" w:type="dxa"/>
              <w:end w:w="110" w:type="dxa"/>
            </w:tcMar>
            <w:vAlign w:val="center"/>
          </w:tcPr>
          <w:p>
            <w:pPr>
              <w:spacing w:after="0" w:before="0"/>
            </w:pPr>
            <w:r>
              <w:rPr>
                <w:rFonts w:ascii="Calibri" w:hAnsi="Calibri"/>
                <w:b/>
                <w:i w:val="0"/>
                <w:color w:val="0F2540"/>
                <w:sz w:val="19"/>
              </w:rPr>
              <w:t>Coverage</w:t>
            </w:r>
          </w:p>
        </w:tc>
        <w:tc>
          <w:tcPr>
            <w:tcW w:type="dxa" w:w="6624"/>
            <w:shd w:val="clear" w:fill="FFFFFF"/>
            <w:tcMar>
              <w:top w:w="60" w:type="dxa"/>
              <w:bottom w:w="60" w:type="dxa"/>
              <w:start w:w="110" w:type="dxa"/>
              <w:end w:w="110" w:type="dxa"/>
            </w:tcMar>
            <w:vAlign w:val="center"/>
          </w:tcPr>
          <w:p>
            <w:pPr>
              <w:spacing w:after="0" w:before="0"/>
            </w:pPr>
            <w:r>
              <w:rPr>
                <w:rFonts w:ascii="Calibri" w:hAnsi="Calibri"/>
                <w:b w:val="0"/>
                <w:i w:val="0"/>
                <w:color w:val="1A1F28"/>
                <w:sz w:val="19"/>
              </w:rPr>
              <w:t>11 metrics, 7 dimensions, 3 query types</w:t>
            </w:r>
          </w:p>
        </w:tc>
      </w:tr>
      <w:tr>
        <w:tc>
          <w:tcPr>
            <w:tcW w:type="dxa" w:w="3600"/>
            <w:shd w:val="clear" w:fill="EEF0F7"/>
            <w:tcMar>
              <w:top w:w="60" w:type="dxa"/>
              <w:bottom w:w="60" w:type="dxa"/>
              <w:start w:w="110" w:type="dxa"/>
              <w:end w:w="110" w:type="dxa"/>
            </w:tcMar>
            <w:vAlign w:val="center"/>
          </w:tcPr>
          <w:p>
            <w:pPr>
              <w:spacing w:after="0" w:before="0"/>
            </w:pPr>
            <w:r>
              <w:rPr>
                <w:rFonts w:ascii="Calibri" w:hAnsi="Calibri"/>
                <w:b/>
                <w:i w:val="0"/>
                <w:color w:val="0F2540"/>
                <w:sz w:val="19"/>
              </w:rPr>
              <w:t>Test suite</w:t>
            </w:r>
          </w:p>
        </w:tc>
        <w:tc>
          <w:tcPr>
            <w:tcW w:type="dxa" w:w="6624"/>
            <w:shd w:val="clear" w:fill="EEF0F7"/>
            <w:tcMar>
              <w:top w:w="60" w:type="dxa"/>
              <w:bottom w:w="60" w:type="dxa"/>
              <w:start w:w="110" w:type="dxa"/>
              <w:end w:w="110" w:type="dxa"/>
            </w:tcMar>
            <w:vAlign w:val="center"/>
          </w:tcPr>
          <w:p>
            <w:pPr>
              <w:spacing w:after="0" w:before="0"/>
            </w:pPr>
            <w:r>
              <w:rPr>
                <w:rFonts w:ascii="Calibri" w:hAnsi="Calibri"/>
                <w:b w:val="0"/>
                <w:i w:val="0"/>
                <w:color w:val="1A1F28"/>
                <w:sz w:val="19"/>
              </w:rPr>
              <w:t>492 automated tests, fixtures verified by hand</w:t>
            </w:r>
          </w:p>
        </w:tc>
      </w:tr>
      <w:tr>
        <w:tc>
          <w:tcPr>
            <w:tcW w:type="dxa" w:w="3600"/>
            <w:shd w:val="clear" w:fill="FFFFFF"/>
            <w:tcMar>
              <w:top w:w="60" w:type="dxa"/>
              <w:bottom w:w="60" w:type="dxa"/>
              <w:start w:w="110" w:type="dxa"/>
              <w:end w:w="110" w:type="dxa"/>
            </w:tcMar>
            <w:vAlign w:val="center"/>
          </w:tcPr>
          <w:p>
            <w:pPr>
              <w:spacing w:after="0" w:before="0"/>
            </w:pPr>
            <w:r>
              <w:rPr>
                <w:rFonts w:ascii="Calibri" w:hAnsi="Calibri"/>
                <w:b/>
                <w:i w:val="0"/>
                <w:color w:val="0F2540"/>
                <w:sz w:val="19"/>
              </w:rPr>
              <w:t>Evaluation</w:t>
            </w:r>
          </w:p>
        </w:tc>
        <w:tc>
          <w:tcPr>
            <w:tcW w:type="dxa" w:w="6624"/>
            <w:shd w:val="clear" w:fill="FFFFFF"/>
            <w:tcMar>
              <w:top w:w="60" w:type="dxa"/>
              <w:bottom w:w="60" w:type="dxa"/>
              <w:start w:w="110" w:type="dxa"/>
              <w:end w:w="110" w:type="dxa"/>
            </w:tcMar>
            <w:vAlign w:val="center"/>
          </w:tcPr>
          <w:p>
            <w:pPr>
              <w:spacing w:after="0" w:before="0"/>
            </w:pPr>
            <w:r>
              <w:rPr>
                <w:rFonts w:ascii="Calibri" w:hAnsi="Calibri"/>
                <w:b w:val="0"/>
                <w:i w:val="0"/>
                <w:color w:val="1A1F28"/>
                <w:sz w:val="19"/>
              </w:rPr>
              <w:t>80-question golden set, 4 independent runs, $8.04 of tokens</w:t>
            </w:r>
          </w:p>
        </w:tc>
      </w:tr>
      <w:tr>
        <w:tc>
          <w:tcPr>
            <w:tcW w:type="dxa" w:w="3600"/>
            <w:shd w:val="clear" w:fill="EEF0F7"/>
            <w:tcMar>
              <w:top w:w="60" w:type="dxa"/>
              <w:bottom w:w="60" w:type="dxa"/>
              <w:start w:w="110" w:type="dxa"/>
              <w:end w:w="110" w:type="dxa"/>
            </w:tcMar>
            <w:vAlign w:val="center"/>
          </w:tcPr>
          <w:p>
            <w:pPr>
              <w:spacing w:after="0" w:before="0"/>
            </w:pPr>
            <w:r>
              <w:rPr>
                <w:rFonts w:ascii="Calibri" w:hAnsi="Calibri"/>
                <w:b/>
                <w:i w:val="0"/>
                <w:color w:val="0F2540"/>
                <w:sz w:val="19"/>
              </w:rPr>
              <w:t>Accuracy</w:t>
            </w:r>
          </w:p>
        </w:tc>
        <w:tc>
          <w:tcPr>
            <w:tcW w:type="dxa" w:w="6624"/>
            <w:shd w:val="clear" w:fill="EEF0F7"/>
            <w:tcMar>
              <w:top w:w="60" w:type="dxa"/>
              <w:bottom w:w="60" w:type="dxa"/>
              <w:start w:w="110" w:type="dxa"/>
              <w:end w:w="110" w:type="dxa"/>
            </w:tcMar>
            <w:vAlign w:val="center"/>
          </w:tcPr>
          <w:p>
            <w:pPr>
              <w:spacing w:after="0" w:before="0"/>
            </w:pPr>
            <w:r>
              <w:rPr>
                <w:rFonts w:ascii="Calibri" w:hAnsi="Calibri"/>
                <w:b w:val="0"/>
                <w:i w:val="0"/>
                <w:color w:val="1A1F28"/>
                <w:sz w:val="19"/>
              </w:rPr>
              <w:t>96.7% on clean questions, 100% adversarial refusal</w:t>
            </w:r>
          </w:p>
        </w:tc>
      </w:tr>
      <w:tr>
        <w:tc>
          <w:tcPr>
            <w:tcW w:type="dxa" w:w="3600"/>
            <w:shd w:val="clear" w:fill="FFFFFF"/>
            <w:tcMar>
              <w:top w:w="60" w:type="dxa"/>
              <w:bottom w:w="60" w:type="dxa"/>
              <w:start w:w="110" w:type="dxa"/>
              <w:end w:w="110" w:type="dxa"/>
            </w:tcMar>
            <w:vAlign w:val="center"/>
          </w:tcPr>
          <w:p>
            <w:pPr>
              <w:spacing w:after="0" w:before="0"/>
            </w:pPr>
            <w:r>
              <w:rPr>
                <w:rFonts w:ascii="Calibri" w:hAnsi="Calibri"/>
                <w:b/>
                <w:i w:val="0"/>
                <w:color w:val="0F2540"/>
                <w:sz w:val="19"/>
              </w:rPr>
              <w:t>Cost</w:t>
            </w:r>
          </w:p>
        </w:tc>
        <w:tc>
          <w:tcPr>
            <w:tcW w:type="dxa" w:w="6624"/>
            <w:shd w:val="clear" w:fill="FFFFFF"/>
            <w:tcMar>
              <w:top w:w="60" w:type="dxa"/>
              <w:bottom w:w="60" w:type="dxa"/>
              <w:start w:w="110" w:type="dxa"/>
              <w:end w:w="110" w:type="dxa"/>
            </w:tcMar>
            <w:vAlign w:val="center"/>
          </w:tcPr>
          <w:p>
            <w:pPr>
              <w:spacing w:after="0" w:before="0"/>
            </w:pPr>
            <w:r>
              <w:rPr>
                <w:rFonts w:ascii="Calibri" w:hAnsi="Calibri"/>
                <w:b w:val="0"/>
                <w:i w:val="0"/>
                <w:color w:val="1A1F28"/>
                <w:sz w:val="19"/>
              </w:rPr>
              <w:t>$0.14 for the full 5-question demo thread</w:t>
            </w:r>
          </w:p>
        </w:tc>
      </w:tr>
    </w:tbl>
    <w:p>
      <w:pPr>
        <w:spacing w:before="200" w:after="60"/>
      </w:pPr>
      <w:r>
        <w:rPr>
          <w:rFonts w:ascii="Calibri" w:hAnsi="Calibri"/>
          <w:b/>
          <w:i w:val="0"/>
          <w:color w:val="0F2540"/>
          <w:sz w:val="24"/>
        </w:rPr>
        <w:t>The architecture</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10224"/>
      </w:tblGrid>
      <w:tr>
        <w:tc>
          <w:tcPr>
            <w:tcW w:type="dxa" w:w="10224"/>
            <w:shd w:val="clear" w:fill="F1F1FB"/>
            <w:tcMar>
              <w:top w:w="120" w:type="dxa"/>
              <w:bottom w:w="120" w:type="dxa"/>
              <w:start w:w="150" w:type="dxa"/>
              <w:end w:w="150" w:type="dxa"/>
            </w:tcMar>
          </w:tcPr>
          <w:p>
            <w:pPr>
              <w:spacing w:after="0" w:before="0" w:line="312" w:lineRule="auto"/>
            </w:pPr>
            <w:r>
              <w:rPr>
                <w:rFonts w:ascii="Calibri" w:hAnsi="Calibri"/>
                <w:b/>
                <w:i w:val="0"/>
                <w:color w:val="0F2540"/>
                <w:sz w:val="19"/>
              </w:rPr>
              <w:t>Question</w:t>
            </w:r>
            <w:r>
              <w:rPr>
                <w:rFonts w:ascii="Calibri" w:hAnsi="Calibri"/>
                <w:b w:val="0"/>
                <w:i w:val="0"/>
                <w:color w:val="5B6470"/>
                <w:sz w:val="18"/>
              </w:rPr>
              <w:t xml:space="preserve">  →  </w:t>
            </w:r>
            <w:r>
              <w:rPr>
                <w:rFonts w:ascii="Calibri" w:hAnsi="Calibri"/>
                <w:b/>
                <w:i w:val="0"/>
                <w:color w:val="4338CA"/>
                <w:sz w:val="19"/>
              </w:rPr>
              <w:t>Interpret</w:t>
            </w:r>
            <w:r>
              <w:rPr>
                <w:rFonts w:ascii="Calibri" w:hAnsi="Calibri"/>
                <w:b w:val="0"/>
                <w:i w:val="0"/>
                <w:color w:val="5B6470"/>
                <w:sz w:val="18"/>
              </w:rPr>
              <w:t xml:space="preserve">  →  </w:t>
            </w:r>
            <w:r>
              <w:rPr>
                <w:rFonts w:ascii="Calibri" w:hAnsi="Calibri"/>
                <w:b/>
                <w:i w:val="0"/>
                <w:color w:val="0F2540"/>
                <w:sz w:val="19"/>
              </w:rPr>
              <w:t>Validate (V1–V6)</w:t>
            </w:r>
            <w:r>
              <w:rPr>
                <w:rFonts w:ascii="Calibri" w:hAnsi="Calibri"/>
                <w:b w:val="0"/>
                <w:i w:val="0"/>
                <w:color w:val="5B6470"/>
                <w:sz w:val="18"/>
              </w:rPr>
              <w:t xml:space="preserve">  →  </w:t>
            </w:r>
            <w:r>
              <w:rPr>
                <w:rFonts w:ascii="Calibri" w:hAnsi="Calibri"/>
                <w:b/>
                <w:i w:val="0"/>
                <w:color w:val="0F2540"/>
                <w:sz w:val="19"/>
              </w:rPr>
              <w:t>Compile</w:t>
            </w:r>
            <w:r>
              <w:rPr>
                <w:rFonts w:ascii="Calibri" w:hAnsi="Calibri"/>
                <w:b w:val="0"/>
                <w:i w:val="0"/>
                <w:color w:val="5B6470"/>
                <w:sz w:val="18"/>
              </w:rPr>
              <w:t xml:space="preserve">  →  </w:t>
            </w:r>
            <w:r>
              <w:rPr>
                <w:rFonts w:ascii="Calibri" w:hAnsi="Calibri"/>
                <w:b/>
                <w:i w:val="0"/>
                <w:color w:val="0F2540"/>
                <w:sz w:val="19"/>
              </w:rPr>
              <w:t>Execute</w:t>
            </w:r>
            <w:r>
              <w:rPr>
                <w:rFonts w:ascii="Calibri" w:hAnsi="Calibri"/>
                <w:b w:val="0"/>
                <w:i w:val="0"/>
                <w:color w:val="5B6470"/>
                <w:sz w:val="18"/>
              </w:rPr>
              <w:t xml:space="preserve">  →  </w:t>
            </w:r>
            <w:r>
              <w:rPr>
                <w:rFonts w:ascii="Calibri" w:hAnsi="Calibri"/>
                <w:b/>
                <w:i w:val="0"/>
                <w:color w:val="0F2540"/>
                <w:sz w:val="19"/>
              </w:rPr>
              <w:t>Decompose</w:t>
            </w:r>
            <w:r>
              <w:rPr>
                <w:rFonts w:ascii="Calibri" w:hAnsi="Calibri"/>
                <w:b w:val="0"/>
                <w:i w:val="0"/>
                <w:color w:val="5B6470"/>
                <w:sz w:val="18"/>
              </w:rPr>
              <w:t xml:space="preserve">  →  </w:t>
            </w:r>
            <w:r>
              <w:rPr>
                <w:rFonts w:ascii="Calibri" w:hAnsi="Calibri"/>
                <w:b/>
                <w:i w:val="0"/>
                <w:color w:val="4338CA"/>
                <w:sz w:val="19"/>
              </w:rPr>
              <w:t>Narrate</w:t>
            </w:r>
            <w:r>
              <w:rPr>
                <w:rFonts w:ascii="Calibri" w:hAnsi="Calibri"/>
                <w:b w:val="0"/>
                <w:i w:val="0"/>
                <w:color w:val="5B6470"/>
                <w:sz w:val="18"/>
              </w:rPr>
              <w:t xml:space="preserve">  →  </w:t>
            </w:r>
            <w:r>
              <w:rPr>
                <w:rFonts w:ascii="Calibri" w:hAnsi="Calibri"/>
                <w:b/>
                <w:i w:val="0"/>
                <w:color w:val="0F2540"/>
                <w:sz w:val="19"/>
              </w:rPr>
              <w:t>Render gate (R1–R4)</w:t>
            </w:r>
            <w:r>
              <w:rPr>
                <w:rFonts w:ascii="Calibri" w:hAnsi="Calibri"/>
                <w:b w:val="0"/>
                <w:i w:val="0"/>
                <w:color w:val="5B6470"/>
                <w:sz w:val="18"/>
              </w:rPr>
              <w:t xml:space="preserve">  →  </w:t>
            </w:r>
            <w:r>
              <w:rPr>
                <w:rFonts w:ascii="Calibri" w:hAnsi="Calibri"/>
                <w:b/>
                <w:i w:val="0"/>
                <w:color w:val="0F2540"/>
                <w:sz w:val="19"/>
              </w:rPr>
              <w:t>Answer</w:t>
            </w:r>
          </w:p>
          <w:p>
            <w:pPr>
              <w:spacing w:after="0" w:before="100"/>
            </w:pPr>
            <w:r>
              <w:rPr>
                <w:rFonts w:ascii="Calibri" w:hAnsi="Calibri"/>
                <w:b w:val="0"/>
                <w:i/>
                <w:color w:val="5B6470"/>
                <w:sz w:val="16"/>
              </w:rPr>
              <w:t>Two model stages, indigo. Read-only DuckDB at execute. Everything else is tested code.</w:t>
            </w:r>
          </w:p>
        </w:tc>
      </w:tr>
    </w:tbl>
    <w:p>
      <w:pPr>
        <w:spacing w:before="80" w:after="0" w:line="274" w:lineRule="auto"/>
      </w:pPr>
      <w:r>
        <w:rPr>
          <w:rFonts w:ascii="Calibri" w:hAnsi="Calibri"/>
          <w:b/>
          <w:i w:val="0"/>
          <w:color w:val="4338CA"/>
          <w:sz w:val="20"/>
        </w:rPr>
        <w:t xml:space="preserve">1.  </w:t>
      </w:r>
      <w:r>
        <w:rPr>
          <w:rFonts w:ascii="Calibri" w:hAnsi="Calibri"/>
          <w:b/>
          <w:i w:val="0"/>
          <w:color w:val="1A1F28"/>
          <w:sz w:val="20"/>
        </w:rPr>
        <w:t xml:space="preserve">The model never writes SQL. </w:t>
      </w:r>
      <w:r>
        <w:rPr>
          <w:rFonts w:ascii="Calibri" w:hAnsi="Calibri"/>
          <w:b w:val="0"/>
          <w:i w:val="0"/>
          <w:color w:val="1A1F28"/>
          <w:sz w:val="20"/>
        </w:rPr>
        <w:t>It emits a typed QuerySpec with enum fields. An injection attempt is a type error, not a filtered attack, because free text never reaches the database.</w:t>
      </w:r>
    </w:p>
    <w:p>
      <w:pPr>
        <w:spacing w:before="60" w:after="0" w:line="274" w:lineRule="auto"/>
      </w:pPr>
      <w:r>
        <w:rPr>
          <w:rFonts w:ascii="Calibri" w:hAnsi="Calibri"/>
          <w:b/>
          <w:i w:val="0"/>
          <w:color w:val="4338CA"/>
          <w:sz w:val="20"/>
        </w:rPr>
        <w:t xml:space="preserve">2.  </w:t>
      </w:r>
      <w:r>
        <w:rPr>
          <w:rFonts w:ascii="Calibri" w:hAnsi="Calibri"/>
          <w:b/>
          <w:i w:val="0"/>
          <w:color w:val="1A1F28"/>
          <w:sz w:val="20"/>
        </w:rPr>
        <w:t xml:space="preserve">The model never computes a number. </w:t>
      </w:r>
      <w:r>
        <w:rPr>
          <w:rFonts w:ascii="Calibri" w:hAnsi="Calibri"/>
          <w:b w:val="0"/>
          <w:i w:val="0"/>
          <w:color w:val="1A1F28"/>
          <w:sz w:val="20"/>
        </w:rPr>
        <w:t>Decomposition contributions must sum to the total delta exactly (integer fils for additive metrics, 1e-9 relative tolerance for ratios) or the member breakdown is withheld and only totals show.</w:t>
      </w:r>
    </w:p>
    <w:p>
      <w:pPr>
        <w:spacing w:before="60" w:after="0" w:line="274" w:lineRule="auto"/>
      </w:pPr>
      <w:r>
        <w:rPr>
          <w:rFonts w:ascii="Calibri" w:hAnsi="Calibri"/>
          <w:b/>
          <w:i w:val="0"/>
          <w:color w:val="4338CA"/>
          <w:sz w:val="20"/>
        </w:rPr>
        <w:t xml:space="preserve">3.  </w:t>
      </w:r>
      <w:r>
        <w:rPr>
          <w:rFonts w:ascii="Calibri" w:hAnsi="Calibri"/>
          <w:b/>
          <w:i w:val="0"/>
          <w:color w:val="1A1F28"/>
          <w:sz w:val="20"/>
        </w:rPr>
        <w:t xml:space="preserve">The model never shows an unverifiable number. </w:t>
      </w:r>
      <w:r>
        <w:rPr>
          <w:rFonts w:ascii="Calibri" w:hAnsi="Calibri"/>
          <w:b w:val="0"/>
          <w:i w:val="0"/>
          <w:color w:val="1A1F28"/>
          <w:sz w:val="20"/>
        </w:rPr>
        <w:t>The render gate rejects bare digits, hallucinated placeholder paths, and spelled-out quantities. The narration is withheld; the chart, which never depended on the model, stays.</w:t>
      </w:r>
    </w:p>
    <w:p>
      <w:r>
        <w:br w:type="page"/>
      </w:r>
    </w:p>
    <w:p>
      <w:pPr>
        <w:spacing w:before="200" w:after="60"/>
      </w:pPr>
      <w:r>
        <w:rPr>
          <w:rFonts w:ascii="Calibri" w:hAnsi="Calibri"/>
          <w:b/>
          <w:i w:val="0"/>
          <w:color w:val="0F2540"/>
          <w:sz w:val="26"/>
        </w:rPr>
        <w:t>The demo thread: one incident, end to end</w:t>
      </w:r>
    </w:p>
    <w:p>
      <w:pPr>
        <w:spacing w:before="0" w:after="160" w:line="278" w:lineRule="auto"/>
      </w:pPr>
      <w:r>
        <w:rPr>
          <w:rFonts w:ascii="Calibri" w:hAnsi="Calibri"/>
          <w:b w:val="0"/>
          <w:i w:val="0"/>
          <w:color w:val="1A1F28"/>
          <w:sz w:val="20"/>
        </w:rPr>
        <w:t>The tool's signature capability is that a reviewer can watch a real investigation unfold in five questions. In March 2026 the distributor's OTIF fell from 91.0% to 84.2%, the sharpest drop in two years of data. The thread below traces that drop from the headline number to the supplier behind it, to the warehouse that took the damage, to the recovery. Every answer was produced by the live pipeline and saved; between each question and its answer sits the exact interpretation that produced it.</w:t>
      </w:r>
    </w:p>
    <w:tbl>
      <w:tblPr>
        <w:tblW w:type="auto" w:w="0"/>
        <w:tblLayout w:type="fixed"/>
        <w:tblLook w:firstColumn="1" w:firstRow="1" w:lastColumn="0" w:lastRow="0" w:noHBand="0" w:noVBand="1" w:val="04A0"/>
        <w:tblBorders>
          <w:top w:val="single" w:sz="4" w:color="D6DCE4"/>
          <w:bottom w:val="single" w:sz="4" w:color="D6DCE4"/>
          <w:insideH w:val="single" w:sz="4" w:color="D6DCE4"/>
          <w:left w:val="nil"/>
          <w:right w:val="nil"/>
          <w:insideV w:val="nil"/>
        </w:tblBorders>
      </w:tblPr>
      <w:tblGrid>
        <w:gridCol w:w="3408"/>
        <w:gridCol w:w="3408"/>
        <w:gridCol w:w="3408"/>
      </w:tblGrid>
      <w:tr>
        <w:tc>
          <w:tcPr>
            <w:tcW w:type="dxa" w:w="576"/>
            <w:shd w:val="clear" w:fill="0F2540"/>
            <w:tcMar>
              <w:top w:w="60" w:type="dxa"/>
              <w:bottom w:w="60" w:type="dxa"/>
              <w:start w:w="110" w:type="dxa"/>
              <w:end w:w="110" w:type="dxa"/>
            </w:tcMar>
          </w:tcPr>
          <w:p>
            <w:pPr>
              <w:spacing w:after="0" w:before="0"/>
              <w:jc w:val="left"/>
            </w:pPr>
            <w:r>
              <w:rPr>
                <w:rFonts w:ascii="Calibri" w:hAnsi="Calibri"/>
                <w:b/>
                <w:i w:val="0"/>
                <w:caps/>
                <w:color w:val="FFFFFF"/>
                <w:sz w:val="17"/>
                <w:spacing w:val="4"/>
              </w:rPr>
              <w:t>#</w:t>
            </w:r>
          </w:p>
        </w:tc>
        <w:tc>
          <w:tcPr>
            <w:tcW w:type="dxa" w:w="4320"/>
            <w:shd w:val="clear" w:fill="0F2540"/>
            <w:tcMar>
              <w:top w:w="60" w:type="dxa"/>
              <w:bottom w:w="60" w:type="dxa"/>
              <w:start w:w="110" w:type="dxa"/>
              <w:end w:w="110" w:type="dxa"/>
            </w:tcMar>
          </w:tcPr>
          <w:p>
            <w:pPr>
              <w:spacing w:after="0" w:before="0"/>
              <w:jc w:val="left"/>
            </w:pPr>
            <w:r>
              <w:rPr>
                <w:rFonts w:ascii="Calibri" w:hAnsi="Calibri"/>
                <w:b/>
                <w:i w:val="0"/>
                <w:caps/>
                <w:color w:val="FFFFFF"/>
                <w:sz w:val="17"/>
                <w:spacing w:val="4"/>
              </w:rPr>
              <w:t>Question</w:t>
            </w:r>
          </w:p>
        </w:tc>
        <w:tc>
          <w:tcPr>
            <w:tcW w:type="dxa" w:w="5328"/>
            <w:shd w:val="clear" w:fill="0F2540"/>
            <w:tcMar>
              <w:top w:w="60" w:type="dxa"/>
              <w:bottom w:w="60" w:type="dxa"/>
              <w:start w:w="110" w:type="dxa"/>
              <w:end w:w="110" w:type="dxa"/>
            </w:tcMar>
          </w:tcPr>
          <w:p>
            <w:pPr>
              <w:spacing w:after="0" w:before="0"/>
              <w:jc w:val="left"/>
            </w:pPr>
            <w:r>
              <w:rPr>
                <w:rFonts w:ascii="Calibri" w:hAnsi="Calibri"/>
                <w:b/>
                <w:i w:val="0"/>
                <w:caps/>
                <w:color w:val="FFFFFF"/>
                <w:sz w:val="17"/>
                <w:spacing w:val="4"/>
              </w:rPr>
              <w:t>What the data shows</w:t>
            </w:r>
          </w:p>
        </w:tc>
      </w:tr>
      <w:tr>
        <w:tc>
          <w:tcPr>
            <w:tcW w:type="dxa" w:w="576"/>
            <w:shd w:val="clear" w:fill="FFFFFF"/>
            <w:tcMar>
              <w:top w:w="60" w:type="dxa"/>
              <w:bottom w:w="60" w:type="dxa"/>
              <w:start w:w="110" w:type="dxa"/>
              <w:end w:w="110" w:type="dxa"/>
            </w:tcMar>
            <w:vAlign w:val="center"/>
          </w:tcPr>
          <w:p>
            <w:pPr>
              <w:spacing w:after="0" w:before="0" w:line="264" w:lineRule="auto"/>
            </w:pPr>
            <w:r>
              <w:rPr>
                <w:rFonts w:ascii="Calibri" w:hAnsi="Calibri"/>
                <w:b/>
                <w:i w:val="0"/>
                <w:color w:val="4338CA"/>
                <w:sz w:val="19"/>
              </w:rPr>
              <w:t>1</w:t>
            </w:r>
          </w:p>
        </w:tc>
        <w:tc>
          <w:tcPr>
            <w:tcW w:type="dxa" w:w="4320"/>
            <w:shd w:val="clear" w:fill="FFFFFF"/>
            <w:tcMar>
              <w:top w:w="60" w:type="dxa"/>
              <w:bottom w:w="60" w:type="dxa"/>
              <w:start w:w="110" w:type="dxa"/>
              <w:end w:w="110" w:type="dxa"/>
            </w:tcMar>
            <w:vAlign w:val="center"/>
          </w:tcPr>
          <w:p>
            <w:pPr>
              <w:spacing w:after="0" w:before="0" w:line="264" w:lineRule="auto"/>
            </w:pPr>
            <w:r>
              <w:rPr>
                <w:rFonts w:ascii="Calibri" w:hAnsi="Calibri"/>
                <w:b w:val="0"/>
                <w:i w:val="0"/>
                <w:color w:val="1A1F28"/>
                <w:sz w:val="19"/>
              </w:rPr>
              <w:t>How did OTIF perform over the last year?</w:t>
            </w:r>
          </w:p>
        </w:tc>
        <w:tc>
          <w:tcPr>
            <w:tcW w:type="dxa" w:w="5328"/>
            <w:shd w:val="clear" w:fill="FFFFFF"/>
            <w:tcMar>
              <w:top w:w="60" w:type="dxa"/>
              <w:bottom w:w="60" w:type="dxa"/>
              <w:start w:w="110" w:type="dxa"/>
              <w:end w:w="110" w:type="dxa"/>
            </w:tcMar>
            <w:vAlign w:val="center"/>
          </w:tcPr>
          <w:p>
            <w:pPr>
              <w:spacing w:after="0" w:before="0" w:line="264" w:lineRule="auto"/>
            </w:pPr>
            <w:r>
              <w:rPr>
                <w:rFonts w:ascii="Calibri" w:hAnsi="Calibri"/>
                <w:b w:val="0"/>
                <w:i w:val="0"/>
                <w:color w:val="1A1F28"/>
                <w:sz w:val="19"/>
              </w:rPr>
              <w:t>A monthly trend with a clear dip in March.</w:t>
            </w:r>
          </w:p>
        </w:tc>
      </w:tr>
      <w:tr>
        <w:tc>
          <w:tcPr>
            <w:tcW w:type="dxa" w:w="576"/>
            <w:shd w:val="clear" w:fill="EEF0F7"/>
            <w:tcMar>
              <w:top w:w="60" w:type="dxa"/>
              <w:bottom w:w="60" w:type="dxa"/>
              <w:start w:w="110" w:type="dxa"/>
              <w:end w:w="110" w:type="dxa"/>
            </w:tcMar>
            <w:vAlign w:val="center"/>
          </w:tcPr>
          <w:p>
            <w:pPr>
              <w:spacing w:after="0" w:before="0" w:line="264" w:lineRule="auto"/>
            </w:pPr>
            <w:r>
              <w:rPr>
                <w:rFonts w:ascii="Calibri" w:hAnsi="Calibri"/>
                <w:b/>
                <w:i w:val="0"/>
                <w:color w:val="4338CA"/>
                <w:sz w:val="19"/>
              </w:rPr>
              <w:t>2</w:t>
            </w:r>
          </w:p>
        </w:tc>
        <w:tc>
          <w:tcPr>
            <w:tcW w:type="dxa" w:w="4320"/>
            <w:shd w:val="clear" w:fill="EEF0F7"/>
            <w:tcMar>
              <w:top w:w="60" w:type="dxa"/>
              <w:bottom w:w="60" w:type="dxa"/>
              <w:start w:w="110" w:type="dxa"/>
              <w:end w:w="110" w:type="dxa"/>
            </w:tcMar>
            <w:vAlign w:val="center"/>
          </w:tcPr>
          <w:p>
            <w:pPr>
              <w:spacing w:after="0" w:before="0" w:line="264" w:lineRule="auto"/>
            </w:pPr>
            <w:r>
              <w:rPr>
                <w:rFonts w:ascii="Calibri" w:hAnsi="Calibri"/>
                <w:b w:val="0"/>
                <w:i w:val="0"/>
                <w:color w:val="1A1F28"/>
                <w:sz w:val="19"/>
              </w:rPr>
              <w:t>Why did OTIF drop in March?</w:t>
            </w:r>
          </w:p>
        </w:tc>
        <w:tc>
          <w:tcPr>
            <w:tcW w:type="dxa" w:w="5328"/>
            <w:shd w:val="clear" w:fill="EEF0F7"/>
            <w:tcMar>
              <w:top w:w="60" w:type="dxa"/>
              <w:bottom w:w="60" w:type="dxa"/>
              <w:start w:w="110" w:type="dxa"/>
              <w:end w:w="110" w:type="dxa"/>
            </w:tcMar>
            <w:vAlign w:val="center"/>
          </w:tcPr>
          <w:p>
            <w:pPr>
              <w:spacing w:after="0" w:before="0" w:line="264" w:lineRule="auto"/>
            </w:pPr>
            <w:r>
              <w:rPr>
                <w:rFonts w:ascii="Calibri" w:hAnsi="Calibri"/>
                <w:b w:val="0"/>
                <w:i w:val="0"/>
                <w:color w:val="1A1F28"/>
                <w:sz w:val="19"/>
              </w:rPr>
              <w:t>A supplier decomposition. SUP-07 dominates at −3.7 pts.</w:t>
            </w:r>
          </w:p>
        </w:tc>
      </w:tr>
      <w:tr>
        <w:tc>
          <w:tcPr>
            <w:tcW w:type="dxa" w:w="576"/>
            <w:shd w:val="clear" w:fill="FFFFFF"/>
            <w:tcMar>
              <w:top w:w="60" w:type="dxa"/>
              <w:bottom w:w="60" w:type="dxa"/>
              <w:start w:w="110" w:type="dxa"/>
              <w:end w:w="110" w:type="dxa"/>
            </w:tcMar>
            <w:vAlign w:val="center"/>
          </w:tcPr>
          <w:p>
            <w:pPr>
              <w:spacing w:after="0" w:before="0" w:line="264" w:lineRule="auto"/>
            </w:pPr>
            <w:r>
              <w:rPr>
                <w:rFonts w:ascii="Calibri" w:hAnsi="Calibri"/>
                <w:b/>
                <w:i w:val="0"/>
                <w:color w:val="4338CA"/>
                <w:sz w:val="19"/>
              </w:rPr>
              <w:t>3</w:t>
            </w:r>
          </w:p>
        </w:tc>
        <w:tc>
          <w:tcPr>
            <w:tcW w:type="dxa" w:w="4320"/>
            <w:shd w:val="clear" w:fill="FFFFFF"/>
            <w:tcMar>
              <w:top w:w="60" w:type="dxa"/>
              <w:bottom w:w="60" w:type="dxa"/>
              <w:start w:w="110" w:type="dxa"/>
              <w:end w:w="110" w:type="dxa"/>
            </w:tcMar>
            <w:vAlign w:val="center"/>
          </w:tcPr>
          <w:p>
            <w:pPr>
              <w:spacing w:after="0" w:before="0" w:line="264" w:lineRule="auto"/>
            </w:pPr>
            <w:r>
              <w:rPr>
                <w:rFonts w:ascii="Calibri" w:hAnsi="Calibri"/>
                <w:b w:val="0"/>
                <w:i w:val="0"/>
                <w:color w:val="1A1F28"/>
                <w:sz w:val="19"/>
              </w:rPr>
              <w:t>What happened to Anadolu's lead times?</w:t>
            </w:r>
          </w:p>
        </w:tc>
        <w:tc>
          <w:tcPr>
            <w:tcW w:type="dxa" w:w="5328"/>
            <w:shd w:val="clear" w:fill="FFFFFF"/>
            <w:tcMar>
              <w:top w:w="60" w:type="dxa"/>
              <w:bottom w:w="60" w:type="dxa"/>
              <w:start w:w="110" w:type="dxa"/>
              <w:end w:w="110" w:type="dxa"/>
            </w:tcMar>
            <w:vAlign w:val="center"/>
          </w:tcPr>
          <w:p>
            <w:pPr>
              <w:spacing w:after="0" w:before="0" w:line="264" w:lineRule="auto"/>
            </w:pPr>
            <w:r>
              <w:rPr>
                <w:rFonts w:ascii="Calibri" w:hAnsi="Calibri"/>
                <w:b w:val="0"/>
                <w:i w:val="0"/>
                <w:color w:val="1A1F28"/>
                <w:sz w:val="19"/>
              </w:rPr>
              <w:t>Anadolu's June lead time sits at 41.4 days, near its 42-day standard. Recovery confirmed.</w:t>
            </w:r>
          </w:p>
        </w:tc>
      </w:tr>
      <w:tr>
        <w:tc>
          <w:tcPr>
            <w:tcW w:type="dxa" w:w="576"/>
            <w:shd w:val="clear" w:fill="EEF0F7"/>
            <w:tcMar>
              <w:top w:w="60" w:type="dxa"/>
              <w:bottom w:w="60" w:type="dxa"/>
              <w:start w:w="110" w:type="dxa"/>
              <w:end w:w="110" w:type="dxa"/>
            </w:tcMar>
            <w:vAlign w:val="center"/>
          </w:tcPr>
          <w:p>
            <w:pPr>
              <w:spacing w:after="0" w:before="0" w:line="264" w:lineRule="auto"/>
            </w:pPr>
            <w:r>
              <w:rPr>
                <w:rFonts w:ascii="Calibri" w:hAnsi="Calibri"/>
                <w:b/>
                <w:i w:val="0"/>
                <w:color w:val="4338CA"/>
                <w:sz w:val="19"/>
              </w:rPr>
              <w:t>4</w:t>
            </w:r>
          </w:p>
        </w:tc>
        <w:tc>
          <w:tcPr>
            <w:tcW w:type="dxa" w:w="4320"/>
            <w:shd w:val="clear" w:fill="EEF0F7"/>
            <w:tcMar>
              <w:top w:w="60" w:type="dxa"/>
              <w:bottom w:w="60" w:type="dxa"/>
              <w:start w:w="110" w:type="dxa"/>
              <w:end w:w="110" w:type="dxa"/>
            </w:tcMar>
            <w:vAlign w:val="center"/>
          </w:tcPr>
          <w:p>
            <w:pPr>
              <w:spacing w:after="0" w:before="0" w:line="264" w:lineRule="auto"/>
            </w:pPr>
            <w:r>
              <w:rPr>
                <w:rFonts w:ascii="Calibri" w:hAnsi="Calibri"/>
                <w:b w:val="0"/>
                <w:i w:val="0"/>
                <w:color w:val="1A1F28"/>
                <w:sz w:val="19"/>
              </w:rPr>
              <w:t>Was Abu Dhabi hit harder than Jebel Ali?</w:t>
            </w:r>
          </w:p>
        </w:tc>
        <w:tc>
          <w:tcPr>
            <w:tcW w:type="dxa" w:w="5328"/>
            <w:shd w:val="clear" w:fill="EEF0F7"/>
            <w:tcMar>
              <w:top w:w="60" w:type="dxa"/>
              <w:bottom w:w="60" w:type="dxa"/>
              <w:start w:w="110" w:type="dxa"/>
              <w:end w:w="110" w:type="dxa"/>
            </w:tcMar>
            <w:vAlign w:val="center"/>
          </w:tcPr>
          <w:p>
            <w:pPr>
              <w:spacing w:after="0" w:before="0" w:line="264" w:lineRule="auto"/>
            </w:pPr>
            <w:r>
              <w:rPr>
                <w:rFonts w:ascii="Calibri" w:hAnsi="Calibri"/>
                <w:b w:val="0"/>
                <w:i w:val="0"/>
                <w:color w:val="1A1F28"/>
                <w:sz w:val="19"/>
              </w:rPr>
              <w:t>AUH accounts for −6.2 of the −6.8 pt delta.</w:t>
            </w:r>
          </w:p>
        </w:tc>
      </w:tr>
      <w:tr>
        <w:tc>
          <w:tcPr>
            <w:tcW w:type="dxa" w:w="576"/>
            <w:shd w:val="clear" w:fill="FFFFFF"/>
            <w:tcMar>
              <w:top w:w="60" w:type="dxa"/>
              <w:bottom w:w="60" w:type="dxa"/>
              <w:start w:w="110" w:type="dxa"/>
              <w:end w:w="110" w:type="dxa"/>
            </w:tcMar>
            <w:vAlign w:val="center"/>
          </w:tcPr>
          <w:p>
            <w:pPr>
              <w:spacing w:after="0" w:before="0" w:line="264" w:lineRule="auto"/>
            </w:pPr>
            <w:r>
              <w:rPr>
                <w:rFonts w:ascii="Calibri" w:hAnsi="Calibri"/>
                <w:b/>
                <w:i w:val="0"/>
                <w:color w:val="4338CA"/>
                <w:sz w:val="19"/>
              </w:rPr>
              <w:t>5</w:t>
            </w:r>
          </w:p>
        </w:tc>
        <w:tc>
          <w:tcPr>
            <w:tcW w:type="dxa" w:w="4320"/>
            <w:shd w:val="clear" w:fill="FFFFFF"/>
            <w:tcMar>
              <w:top w:w="60" w:type="dxa"/>
              <w:bottom w:w="60" w:type="dxa"/>
              <w:start w:w="110" w:type="dxa"/>
              <w:end w:w="110" w:type="dxa"/>
            </w:tcMar>
            <w:vAlign w:val="center"/>
          </w:tcPr>
          <w:p>
            <w:pPr>
              <w:spacing w:after="0" w:before="0" w:line="264" w:lineRule="auto"/>
            </w:pPr>
            <w:r>
              <w:rPr>
                <w:rFonts w:ascii="Calibri" w:hAnsi="Calibri"/>
                <w:b w:val="0"/>
                <w:i w:val="0"/>
                <w:color w:val="1A1F28"/>
                <w:sz w:val="19"/>
              </w:rPr>
              <w:t>How are we doing now?</w:t>
            </w:r>
          </w:p>
        </w:tc>
        <w:tc>
          <w:tcPr>
            <w:tcW w:type="dxa" w:w="5328"/>
            <w:shd w:val="clear" w:fill="FFFFFF"/>
            <w:tcMar>
              <w:top w:w="60" w:type="dxa"/>
              <w:bottom w:w="60" w:type="dxa"/>
              <w:start w:w="110" w:type="dxa"/>
              <w:end w:w="110" w:type="dxa"/>
            </w:tcMar>
            <w:vAlign w:val="center"/>
          </w:tcPr>
          <w:p>
            <w:pPr>
              <w:spacing w:after="0" w:before="0" w:line="264" w:lineRule="auto"/>
            </w:pPr>
            <w:r>
              <w:rPr>
                <w:rFonts w:ascii="Calibri" w:hAnsi="Calibri"/>
                <w:b w:val="0"/>
                <w:i w:val="0"/>
                <w:color w:val="1A1F28"/>
                <w:sz w:val="19"/>
              </w:rPr>
              <w:t>Recovery. OTIF back to 93.9% by June.</w:t>
            </w:r>
          </w:p>
        </w:tc>
      </w:tr>
    </w:tbl>
    <w:p>
      <w:pPr>
        <w:spacing w:before="80" w:after="0"/>
      </w:pPr>
      <w:r>
        <w:rPr>
          <w:rFonts w:ascii="Calibri" w:hAnsi="Calibri"/>
          <w:b w:val="0"/>
          <w:i/>
          <w:color w:val="5B6470"/>
          <w:sz w:val="16"/>
        </w:rPr>
        <w:t>The full 5-question thread cost $0.14 of tokens to produce and is served on the live site without an API key.</w:t>
      </w:r>
    </w:p>
    <w:p>
      <w:pPr>
        <w:spacing w:before="200" w:after="60"/>
      </w:pPr>
      <w:r>
        <w:rPr>
          <w:rFonts w:ascii="Calibri" w:hAnsi="Calibri"/>
          <w:b/>
          <w:i w:val="0"/>
          <w:color w:val="0F2540"/>
          <w:sz w:val="26"/>
        </w:rPr>
        <w:t>The measurement</w:t>
      </w:r>
    </w:p>
    <w:p>
      <w:pPr>
        <w:spacing w:before="0" w:after="120" w:line="278" w:lineRule="auto"/>
      </w:pPr>
      <w:r>
        <w:rPr>
          <w:rFonts w:ascii="Calibri" w:hAnsi="Calibri"/>
          <w:b w:val="0"/>
          <w:i w:val="0"/>
          <w:color w:val="1A1F28"/>
          <w:sz w:val="20"/>
        </w:rPr>
        <w:t>Before deploy: 80 golden-set questions run 4 independent times against the live model, $8.04 of tokens. Three release gates, all passed. The golden set was written and frozen before the interpreter existed, so the bar predates the thing it measures. Near-miss questions, built to trip metric confusion (fill rate versus in-full, stockout count versus days of cover), are scored as their own slice and measured at 93.3%. Two misses are disclosed by name rather than averaged away: n14, a deterministic DC-versus-emirate confusion on “AUH,” since fixed; and n11, an intermittent over-clarification. Adversarial refusal sits at 100%, which is a deploy-blocking gate, not a target: one answered injection stops the release.</w:t>
      </w:r>
    </w:p>
    <w:p>
      <w:pPr>
        <w:spacing w:before="200" w:after="60"/>
      </w:pPr>
      <w:r>
        <w:rPr>
          <w:rFonts w:ascii="Calibri" w:hAnsi="Calibri"/>
          <w:b/>
          <w:i w:val="0"/>
          <w:color w:val="0F2540"/>
          <w:sz w:val="26"/>
        </w:rPr>
        <w:t>What this proves for a consulting engagement</w:t>
      </w:r>
    </w:p>
    <w:p>
      <w:pPr>
        <w:spacing w:before="0" w:after="160" w:line="278" w:lineRule="auto"/>
      </w:pPr>
      <w:r>
        <w:rPr>
          <w:rFonts w:ascii="Calibri" w:hAnsi="Calibri"/>
          <w:b w:val="0"/>
          <w:i w:val="0"/>
          <w:color w:val="1A1F28"/>
          <w:sz w:val="20"/>
        </w:rPr>
        <w:t>This architecture applies wherever a client has structured operational data and non-technical users who need answers from it. The QuerySpec pattern, where the model selects from a catalog and deterministic code does the rest, works for any domain with a fixed schema: procurement, logistics, warehouse operations, finance. The measurement framework, a frozen golden set with sliced accuracy, deploy-blocking gates, and honest-miss disclosure, is how you prove a tool works before it goes in front of a client.</w:t>
      </w:r>
    </w:p>
    <w:p>
      <w:pPr>
        <w:spacing w:before="160" w:after="40"/>
      </w:pPr>
      <w:r>
        <w:rPr>
          <w:rFonts w:ascii="Calibri" w:hAnsi="Calibri"/>
          <w:b/>
          <w:i w:val="0"/>
          <w:color w:val="0F2540"/>
          <w:sz w:val="18"/>
        </w:rPr>
        <w:t xml:space="preserve">Built with  </w:t>
      </w:r>
      <w:r>
        <w:rPr>
          <w:rFonts w:ascii="Calibri" w:hAnsi="Calibri"/>
          <w:b w:val="0"/>
          <w:i w:val="0"/>
          <w:color w:val="1A1F28"/>
          <w:sz w:val="18"/>
        </w:rPr>
        <w:t>Python, FastAPI, DuckDB, Pydantic, Claude, Next.js, Recharts, Tailwind.  Verified by 492 passing tests.</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10224"/>
      </w:tblGrid>
      <w:tr>
        <w:tc>
          <w:tcPr>
            <w:tcW w:type="dxa" w:w="10224"/>
            <w:shd w:val="clear" w:fill="F4F6F8"/>
            <w:tcMar>
              <w:top w:w="110" w:type="dxa"/>
              <w:bottom w:w="110" w:type="dxa"/>
              <w:start w:w="150" w:type="dxa"/>
              <w:end w:w="150" w:type="dxa"/>
            </w:tcMar>
          </w:tcPr>
          <w:p>
            <w:pPr>
              <w:spacing w:after="0" w:before="0"/>
            </w:pPr>
            <w:r>
              <w:rPr>
                <w:rFonts w:ascii="Calibri" w:hAnsi="Calibri"/>
                <w:b/>
                <w:i w:val="0"/>
                <w:color w:val="0F2540"/>
                <w:sz w:val="18"/>
              </w:rPr>
              <w:t xml:space="preserve">Live  </w:t>
            </w:r>
            <w:r>
              <w:rPr>
                <w:rFonts w:ascii="Calibri" w:hAnsi="Calibri"/>
                <w:b/>
                <w:i w:val="0"/>
                <w:color w:val="4338CA"/>
                <w:sz w:val="18"/>
              </w:rPr>
              <w:t>supply-chain-copilot-nine.vercel.app</w:t>
            </w:r>
            <w:r>
              <w:rPr>
                <w:rFonts w:ascii="Calibri" w:hAnsi="Calibri"/>
                <w:b w:val="0"/>
                <w:i/>
                <w:color w:val="5B6470"/>
                <w:sz w:val="16"/>
              </w:rPr>
              <w:t xml:space="preserve">     Mawarid Distribution is fictional and all data is synthetic, generated with a fixed seed so every figure here is reproducible. Prepared by Prajwal.</w:t>
            </w:r>
          </w:p>
        </w:tc>
      </w:tr>
    </w:tbl>
    <w:sectPr w:rsidR="00FC693F" w:rsidRPr="0006063C" w:rsidSect="00034616">
      <w:footerReference w:type="default" r:id="rId9"/>
      <w:pgSz w:w="12240" w:h="15840"/>
      <w:pgMar w:top="720" w:right="1008" w:bottom="64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aps/>
        <w:color w:val="5B6470"/>
        <w:sz w:val="15"/>
        <w:spacing w:val="4"/>
      </w:rPr>
      <w:t>Supply Chain Copilot  ·  Case Study  ·  Prajwal  ·  Illustrative, synthetic data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F2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