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44"/>
          <w:szCs w:val="44"/>
        </w:rPr>
        <w:t xml:space="preserve">FEATURE STORE — DATA DICTIONARY</w:t>
      </w:r>
    </w:p>
    <w:p>
      <w:pPr>
        <w:spacing w:after="40"/>
      </w:pPr>
      <w:r>
        <w:rPr>
          <w:rFonts w:ascii="Calibri" w:cs="Calibri" w:eastAsia="Calibri" w:hAnsi="Calibri"/>
          <w:b/>
          <w:bCs/>
          <w:color w:val="2E5A8C"/>
          <w:sz w:val="26"/>
          <w:szCs w:val="26"/>
        </w:rPr>
        <w:t xml:space="preserve">LinkedIn Job Posting Volume Forecasting — Pre-Feature-Engineering Snapshot</w:t>
      </w:r>
    </w:p>
    <w:p>
      <w:pPr>
        <w:spacing w:after="300"/>
      </w:pPr>
      <w:r>
        <w:rPr>
          <w:rFonts w:ascii="Calibri" w:cs="Calibri" w:eastAsia="Calibri" w:hAnsi="Calibri"/>
          <w:i/>
          <w:iCs/>
          <w:color w:val="595959"/>
          <w:sz w:val="20"/>
          <w:szCs w:val="20"/>
        </w:rPr>
        <w:t xml:space="preserve">Prepared for internal project review  ·  July 31, 2026</w:t>
      </w:r>
    </w:p>
    <w:p>
      <w:pPr>
        <w:pStyle w:val="Heading1"/>
        <w:pBdr>
          <w:bottom w:val="single" w:color="1F3864" w:sz="8" w:space="4"/>
        </w:pBdr>
        <w:spacing w:after="180" w:before="380"/>
      </w:pPr>
      <w:r>
        <w:rPr>
          <w:rFonts w:ascii="Calibri" w:cs="Calibri" w:eastAsia="Calibri" w:hAnsi="Calibri"/>
          <w:b/>
          <w:bCs/>
          <w:color w:val="1F3864"/>
          <w:sz w:val="30"/>
          <w:szCs w:val="30"/>
        </w:rPr>
        <w:t xml:space="preserve">1. Dataset Overview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Metric</w:t>
            </w:r>
          </w:p>
        </w:tc>
        <w:tc>
          <w:tcPr>
            <w:tcW w:type="dxa" w:w="45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Value</w:t>
            </w:r>
          </w:p>
        </w:tc>
      </w:tr>
      <w:tr>
        <w:tc>
          <w:tcPr>
            <w:tcW w:type="dxa" w:w="4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Rows (job postings)</w:t>
            </w:r>
          </w:p>
        </w:tc>
        <w:tc>
          <w:tcPr>
            <w:tcW w:type="dxa" w:w="4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r>
      <w:tr>
        <w:tc>
          <w:tcPr>
            <w:tcW w:type="dxa" w:w="45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Columns</w:t>
            </w:r>
          </w:p>
        </w:tc>
        <w:tc>
          <w:tcPr>
            <w:tcW w:type="dxa" w:w="4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65</w:t>
            </w:r>
          </w:p>
        </w:tc>
      </w:tr>
      <w:tr>
        <w:tc>
          <w:tcPr>
            <w:tcW w:type="dxa" w:w="4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Memory footprint</w:t>
            </w:r>
          </w:p>
        </w:tc>
        <w:tc>
          <w:tcPr>
            <w:tcW w:type="dxa" w:w="4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~62.1 MB (in-memory, mixed dtypes)</w:t>
            </w:r>
          </w:p>
        </w:tc>
      </w:tr>
      <w:tr>
        <w:tc>
          <w:tcPr>
            <w:tcW w:type="dxa" w:w="45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Source composition</w:t>
            </w:r>
          </w:p>
        </w:tc>
        <w:tc>
          <w:tcPr>
            <w:tcW w:type="dxa" w:w="4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Version_9 + Version_13 raw dumps, schema-aligned</w:t>
            </w:r>
          </w:p>
        </w:tc>
      </w:tr>
      <w:tr>
        <w:tc>
          <w:tcPr>
            <w:tcW w:type="dxa" w:w="4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Posting date range (listed_time)</w:t>
            </w:r>
          </w:p>
        </w:tc>
        <w:tc>
          <w:tcPr>
            <w:tcW w:type="dxa" w:w="4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2023-08-10  →  2024-04-20</w:t>
            </w:r>
          </w:p>
        </w:tc>
      </w:tr>
      <w:tr>
        <w:tc>
          <w:tcPr>
            <w:tcW w:type="dxa" w:w="45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Expiry date range</w:t>
            </w:r>
          </w:p>
        </w:tc>
        <w:tc>
          <w:tcPr>
            <w:tcW w:type="dxa" w:w="4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2023-09-09  →  2024-10-17</w:t>
            </w:r>
          </w:p>
        </w:tc>
      </w:tr>
      <w:tr>
        <w:tc>
          <w:tcPr>
            <w:tcW w:type="dxa" w:w="4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Distinct dtypes present</w:t>
            </w:r>
          </w:p>
        </w:tc>
        <w:tc>
          <w:tcPr>
            <w:tcW w:type="dxa" w:w="4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object, category, string[python], Int64/int64, float64, boolean, datetime64[ns]</w:t>
            </w:r>
          </w:p>
        </w:tc>
      </w:tr>
    </w:tbl>
    <w:p>
      <w:pPr>
        <w:spacing w:after="220" w:before="60"/>
      </w:pPr>
      <w:r>
        <w:rPr>
          <w:rFonts w:ascii="Calibri" w:cs="Calibri" w:eastAsia="Calibri" w:hAnsi="Calibri"/>
          <w:i/>
          <w:iCs/>
          <w:color w:val="595959"/>
          <w:sz w:val="18"/>
          <w:szCs w:val="18"/>
        </w:rPr>
        <w:t xml:space="preserve">Table 1.1 — Feature store shape and coverage at a glance.</w:t>
      </w:r>
    </w:p>
    <w:p>
      <w:pPr>
        <w:spacing w:after="160" w:line="300"/>
      </w:pPr>
      <w:r>
        <w:rPr>
          <w:rFonts w:ascii="Calibri" w:cs="Calibri" w:eastAsia="Calibri" w:hAnsi="Calibri"/>
          <w:color w:val="262626"/>
          <w:sz w:val="21"/>
          <w:szCs w:val="21"/>
        </w:rPr>
        <w:t xml:space="preserve">This feature store is the pre-feature-engineering master dataset produced by merging two raw LinkedIn job-posting dumps (Version_9 and Version_13) through schema alignment and basic validation/cleaning. It has not yet been through the feature-engineering stage of the forecasting pipeline (Raw Data → Schema Alignment → Master Dataset → Data Validation → Data Cleaning → Feature Engineering → Forecasting Dataset). The purpose of this document is to inventory every column, quantify missingness, and flag data-quality evidence that should inform the cleaning and feature-engineering steps that follow.</w:t>
      </w:r>
    </w:p>
    <w:p>
      <w:pPr>
        <w:pStyle w:val="Heading1"/>
        <w:pBdr>
          <w:bottom w:val="single" w:color="1F3864" w:sz="8" w:space="4"/>
        </w:pBdr>
        <w:spacing w:after="180" w:before="380"/>
      </w:pPr>
      <w:r>
        <w:rPr>
          <w:rFonts w:ascii="Calibri" w:cs="Calibri" w:eastAsia="Calibri" w:hAnsi="Calibri"/>
          <w:b/>
          <w:bCs/>
          <w:color w:val="1F3864"/>
          <w:sz w:val="30"/>
          <w:szCs w:val="30"/>
        </w:rPr>
        <w:t xml:space="preserve">2. Column Inventory by Domain</w:t>
      </w:r>
    </w:p>
    <w:p>
      <w:pPr>
        <w:spacing w:after="160" w:line="300"/>
      </w:pPr>
      <w:r>
        <w:rPr>
          <w:rFonts w:ascii="Calibri" w:cs="Calibri" w:eastAsia="Calibri" w:hAnsi="Calibri"/>
          <w:color w:val="262626"/>
          <w:sz w:val="21"/>
          <w:szCs w:val="21"/>
        </w:rPr>
        <w:t xml:space="preserve">The 65 columns are organized below into twelve functional domains rather than raw column order, so related fields (e.g. all salary fields, all timestamp fields) can be read together. Each row reports the pandas dtype, the non-null count, and the missingness severity.</w:t>
      </w:r>
    </w:p>
    <w:p>
      <w:pPr>
        <w:pStyle w:val="Heading2"/>
        <w:spacing w:after="140" w:before="300"/>
      </w:pPr>
      <w:r>
        <w:rPr>
          <w:rFonts w:ascii="Calibri" w:cs="Calibri" w:eastAsia="Calibri" w:hAnsi="Calibri"/>
          <w:b/>
          <w:bCs/>
          <w:color w:val="2E5A8C"/>
          <w:sz w:val="24"/>
          <w:szCs w:val="24"/>
        </w:rPr>
        <w:t xml:space="preserve">A. Identifiers &amp; Free Text</w:t>
      </w:r>
    </w:p>
    <w:p>
      <w:pPr>
        <w:spacing w:after="160" w:line="300"/>
      </w:pPr>
      <w:r>
        <w:rPr>
          <w:rFonts w:ascii="Calibri" w:cs="Calibri" w:eastAsia="Calibri" w:hAnsi="Calibri"/>
          <w:i/>
          <w:iCs/>
          <w:color w:val="595959"/>
          <w:sz w:val="20"/>
          <w:szCs w:val="20"/>
        </w:rPr>
        <w:t xml:space="preserve">Core listing identity fields — job title, free-text description, and raw location string.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400"/>
        <w:gridCol w:w="1400"/>
        <w:gridCol w:w="1300"/>
        <w:gridCol w:w="1400"/>
      </w:tblGrid>
      <w:tr>
        <w:trPr>
          <w:tblHeader/>
        </w:trPr>
        <w:tc>
          <w:tcPr>
            <w:tcW w:type="dxa" w:w="2500"/>
            <w:shd w:fill="1F386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Column</w:t>
            </w:r>
          </w:p>
        </w:tc>
        <w:tc>
          <w:tcPr>
            <w:tcW w:type="dxa" w:w="15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Dtype</w:t>
            </w:r>
          </w:p>
        </w:tc>
        <w:tc>
          <w:tcPr>
            <w:tcW w:type="dxa" w:w="14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Non-Null</w:t>
            </w:r>
          </w:p>
        </w:tc>
        <w:tc>
          <w:tcPr>
            <w:tcW w:type="dxa" w:w="14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Missing</w:t>
            </w:r>
          </w:p>
        </w:tc>
        <w:tc>
          <w:tcPr>
            <w:tcW w:type="dxa" w:w="13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Missing %</w:t>
            </w:r>
          </w:p>
        </w:tc>
        <w:tc>
          <w:tcPr>
            <w:tcW w:type="dxa" w:w="14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Severity</w:t>
            </w:r>
          </w:p>
        </w:tc>
      </w:tr>
      <w:tr>
        <w:tc>
          <w:tcPr>
            <w:tcW w:type="dxa" w:w="2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title</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object</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description</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object</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location</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object</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bl>
    <w:p>
      <w:pPr>
        <w:spacing w:after="220" w:before="60"/>
      </w:pPr>
      <w:r>
        <w:rPr>
          <w:rFonts w:ascii="Calibri" w:cs="Calibri" w:eastAsia="Calibri" w:hAnsi="Calibri"/>
          <w:i/>
          <w:iCs/>
          <w:color w:val="595959"/>
          <w:sz w:val="18"/>
          <w:szCs w:val="18"/>
        </w:rPr>
        <w:t xml:space="preserve">Table 2.1 — A. Identifiers &amp; Free Text.</w:t>
      </w:r>
    </w:p>
    <w:p>
      <w:pPr>
        <w:pStyle w:val="Heading2"/>
        <w:spacing w:after="140" w:before="300"/>
      </w:pPr>
      <w:r>
        <w:rPr>
          <w:rFonts w:ascii="Calibri" w:cs="Calibri" w:eastAsia="Calibri" w:hAnsi="Calibri"/>
          <w:b/>
          <w:bCs/>
          <w:color w:val="2E5A8C"/>
          <w:sz w:val="24"/>
          <w:szCs w:val="24"/>
        </w:rPr>
        <w:t xml:space="preserve">B. Engagement Metrics</w:t>
      </w:r>
    </w:p>
    <w:p>
      <w:pPr>
        <w:spacing w:after="160" w:line="300"/>
      </w:pPr>
      <w:r>
        <w:rPr>
          <w:rFonts w:ascii="Calibri" w:cs="Calibri" w:eastAsia="Calibri" w:hAnsi="Calibri"/>
          <w:i/>
          <w:iCs/>
          <w:color w:val="595959"/>
          <w:sz w:val="20"/>
          <w:szCs w:val="20"/>
        </w:rPr>
        <w:t xml:space="preserve">LinkedIn-reported interaction counts for each posting.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400"/>
        <w:gridCol w:w="1400"/>
        <w:gridCol w:w="1300"/>
        <w:gridCol w:w="1400"/>
      </w:tblGrid>
      <w:tr>
        <w:trPr>
          <w:tblHeader/>
        </w:trPr>
        <w:tc>
          <w:tcPr>
            <w:tcW w:type="dxa" w:w="2500"/>
            <w:shd w:fill="1F386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Column</w:t>
            </w:r>
          </w:p>
        </w:tc>
        <w:tc>
          <w:tcPr>
            <w:tcW w:type="dxa" w:w="15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Dtype</w:t>
            </w:r>
          </w:p>
        </w:tc>
        <w:tc>
          <w:tcPr>
            <w:tcW w:type="dxa" w:w="14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Non-Null</w:t>
            </w:r>
          </w:p>
        </w:tc>
        <w:tc>
          <w:tcPr>
            <w:tcW w:type="dxa" w:w="14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Missing</w:t>
            </w:r>
          </w:p>
        </w:tc>
        <w:tc>
          <w:tcPr>
            <w:tcW w:type="dxa" w:w="13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Missing %</w:t>
            </w:r>
          </w:p>
        </w:tc>
        <w:tc>
          <w:tcPr>
            <w:tcW w:type="dxa" w:w="14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Severity</w:t>
            </w:r>
          </w:p>
        </w:tc>
      </w:tr>
      <w:tr>
        <w:tc>
          <w:tcPr>
            <w:tcW w:type="dxa" w:w="2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views</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Int64</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applies</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Int64</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bl>
    <w:p>
      <w:pPr>
        <w:spacing w:after="220" w:before="60"/>
      </w:pPr>
      <w:r>
        <w:rPr>
          <w:rFonts w:ascii="Calibri" w:cs="Calibri" w:eastAsia="Calibri" w:hAnsi="Calibri"/>
          <w:i/>
          <w:iCs/>
          <w:color w:val="595959"/>
          <w:sz w:val="18"/>
          <w:szCs w:val="18"/>
        </w:rPr>
        <w:t xml:space="preserve">Table 2.2 — B. Engagement Metrics.</w:t>
      </w:r>
    </w:p>
    <w:p>
      <w:pPr>
        <w:pStyle w:val="Heading2"/>
        <w:spacing w:after="140" w:before="300"/>
      </w:pPr>
      <w:r>
        <w:rPr>
          <w:rFonts w:ascii="Calibri" w:cs="Calibri" w:eastAsia="Calibri" w:hAnsi="Calibri"/>
          <w:b/>
          <w:bCs/>
          <w:color w:val="2E5A8C"/>
          <w:sz w:val="24"/>
          <w:szCs w:val="24"/>
        </w:rPr>
        <w:t xml:space="preserve">C. Raw Salary Fields</w:t>
      </w:r>
    </w:p>
    <w:p>
      <w:pPr>
        <w:spacing w:after="160" w:line="300"/>
      </w:pPr>
      <w:r>
        <w:rPr>
          <w:rFonts w:ascii="Calibri" w:cs="Calibri" w:eastAsia="Calibri" w:hAnsi="Calibri"/>
          <w:i/>
          <w:iCs/>
          <w:color w:val="595959"/>
          <w:sz w:val="20"/>
          <w:szCs w:val="20"/>
        </w:rPr>
        <w:t xml:space="preserve">As-scraped compensation figures; sparsely populated and not normalized for pay period.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400"/>
        <w:gridCol w:w="1400"/>
        <w:gridCol w:w="1300"/>
        <w:gridCol w:w="1400"/>
      </w:tblGrid>
      <w:tr>
        <w:trPr>
          <w:tblHeader/>
        </w:trPr>
        <w:tc>
          <w:tcPr>
            <w:tcW w:type="dxa" w:w="2500"/>
            <w:shd w:fill="1F386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Column</w:t>
            </w:r>
          </w:p>
        </w:tc>
        <w:tc>
          <w:tcPr>
            <w:tcW w:type="dxa" w:w="15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Dtype</w:t>
            </w:r>
          </w:p>
        </w:tc>
        <w:tc>
          <w:tcPr>
            <w:tcW w:type="dxa" w:w="14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Non-Null</w:t>
            </w:r>
          </w:p>
        </w:tc>
        <w:tc>
          <w:tcPr>
            <w:tcW w:type="dxa" w:w="14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Missing</w:t>
            </w:r>
          </w:p>
        </w:tc>
        <w:tc>
          <w:tcPr>
            <w:tcW w:type="dxa" w:w="13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Missing %</w:t>
            </w:r>
          </w:p>
        </w:tc>
        <w:tc>
          <w:tcPr>
            <w:tcW w:type="dxa" w:w="14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Severity</w:t>
            </w:r>
          </w:p>
        </w:tc>
      </w:tr>
      <w:tr>
        <w:tc>
          <w:tcPr>
            <w:tcW w:type="dxa" w:w="2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min_salary</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float64</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40,243</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114,433</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C0392B"/>
                <w:sz w:val="19"/>
                <w:szCs w:val="19"/>
              </w:rPr>
              <w:t xml:space="preserve">73.98%</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C0392B"/>
                <w:sz w:val="19"/>
                <w:szCs w:val="19"/>
              </w:rPr>
              <w:t xml:space="preserve">Severe</w:t>
            </w:r>
          </w:p>
        </w:tc>
      </w:tr>
      <w:tr>
        <w:tc>
          <w:tcPr>
            <w:tcW w:type="dxa" w:w="25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med_salary</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float64</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8,436</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146,240</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C0392B"/>
                <w:sz w:val="19"/>
                <w:szCs w:val="19"/>
              </w:rPr>
              <w:t xml:space="preserve">94.55%</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C0392B"/>
                <w:sz w:val="19"/>
                <w:szCs w:val="19"/>
              </w:rPr>
              <w:t xml:space="preserve">Critical</w:t>
            </w:r>
          </w:p>
        </w:tc>
      </w:tr>
      <w:tr>
        <w:tc>
          <w:tcPr>
            <w:tcW w:type="dxa" w:w="2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max_salary</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float64</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40,243</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114,433</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C0392B"/>
                <w:sz w:val="19"/>
                <w:szCs w:val="19"/>
              </w:rPr>
              <w:t xml:space="preserve">73.98%</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C0392B"/>
                <w:sz w:val="19"/>
                <w:szCs w:val="19"/>
              </w:rPr>
              <w:t xml:space="preserve">Severe</w:t>
            </w:r>
          </w:p>
        </w:tc>
      </w:tr>
      <w:tr>
        <w:tc>
          <w:tcPr>
            <w:tcW w:type="dxa" w:w="25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pay_period</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category</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currency</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category</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compensation_type</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category</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normalized_salary</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float64</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35,563</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119,113</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C0392B"/>
                <w:sz w:val="19"/>
                <w:szCs w:val="19"/>
              </w:rPr>
              <w:t xml:space="preserve">77.01%</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C0392B"/>
                <w:sz w:val="19"/>
                <w:szCs w:val="19"/>
              </w:rPr>
              <w:t xml:space="preserve">Critical</w:t>
            </w:r>
          </w:p>
        </w:tc>
      </w:tr>
    </w:tbl>
    <w:p>
      <w:pPr>
        <w:spacing w:after="220" w:before="60"/>
      </w:pPr>
      <w:r>
        <w:rPr>
          <w:rFonts w:ascii="Calibri" w:cs="Calibri" w:eastAsia="Calibri" w:hAnsi="Calibri"/>
          <w:i/>
          <w:iCs/>
          <w:color w:val="595959"/>
          <w:sz w:val="18"/>
          <w:szCs w:val="18"/>
        </w:rPr>
        <w:t xml:space="preserve">Table 2.3 — C. Raw Salary Fields.</w:t>
      </w:r>
    </w:p>
    <w:p>
      <w:pPr>
        <w:pStyle w:val="Heading2"/>
        <w:spacing w:after="140" w:before="300"/>
      </w:pPr>
      <w:r>
        <w:rPr>
          <w:rFonts w:ascii="Calibri" w:cs="Calibri" w:eastAsia="Calibri" w:hAnsi="Calibri"/>
          <w:b/>
          <w:bCs/>
          <w:color w:val="2E5A8C"/>
          <w:sz w:val="24"/>
          <w:szCs w:val="24"/>
        </w:rPr>
        <w:t xml:space="preserve">D. LinkedIn-Provided "Listed" Salary Fields</w:t>
      </w:r>
    </w:p>
    <w:p>
      <w:pPr>
        <w:spacing w:after="160" w:line="300"/>
      </w:pPr>
      <w:r>
        <w:rPr>
          <w:rFonts w:ascii="Calibri" w:cs="Calibri" w:eastAsia="Calibri" w:hAnsi="Calibri"/>
          <w:i/>
          <w:iCs/>
          <w:color w:val="595959"/>
          <w:sz w:val="20"/>
          <w:szCs w:val="20"/>
        </w:rPr>
        <w:t xml:space="preserve">A parallel, fully-populated salary block sourced from LinkedIn's own listed_* fields — appears pre-filled/imputed rather than raw (see Section 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400"/>
        <w:gridCol w:w="1400"/>
        <w:gridCol w:w="1300"/>
        <w:gridCol w:w="1400"/>
      </w:tblGrid>
      <w:tr>
        <w:trPr>
          <w:tblHeader/>
        </w:trPr>
        <w:tc>
          <w:tcPr>
            <w:tcW w:type="dxa" w:w="2500"/>
            <w:shd w:fill="1F386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Column</w:t>
            </w:r>
          </w:p>
        </w:tc>
        <w:tc>
          <w:tcPr>
            <w:tcW w:type="dxa" w:w="15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Dtype</w:t>
            </w:r>
          </w:p>
        </w:tc>
        <w:tc>
          <w:tcPr>
            <w:tcW w:type="dxa" w:w="14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Non-Null</w:t>
            </w:r>
          </w:p>
        </w:tc>
        <w:tc>
          <w:tcPr>
            <w:tcW w:type="dxa" w:w="14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Missing</w:t>
            </w:r>
          </w:p>
        </w:tc>
        <w:tc>
          <w:tcPr>
            <w:tcW w:type="dxa" w:w="13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Missing %</w:t>
            </w:r>
          </w:p>
        </w:tc>
        <w:tc>
          <w:tcPr>
            <w:tcW w:type="dxa" w:w="14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Severity</w:t>
            </w:r>
          </w:p>
        </w:tc>
      </w:tr>
      <w:tr>
        <w:tc>
          <w:tcPr>
            <w:tcW w:type="dxa" w:w="2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listed_max_salary</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float64</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listed_med_salary</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float64</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listed_min_salary</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float64</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listed_pay_period</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string</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listed_currency</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string</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listed_compensation_type</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string</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bl>
    <w:p>
      <w:pPr>
        <w:spacing w:after="220" w:before="60"/>
      </w:pPr>
      <w:r>
        <w:rPr>
          <w:rFonts w:ascii="Calibri" w:cs="Calibri" w:eastAsia="Calibri" w:hAnsi="Calibri"/>
          <w:i/>
          <w:iCs/>
          <w:color w:val="595959"/>
          <w:sz w:val="18"/>
          <w:szCs w:val="18"/>
        </w:rPr>
        <w:t xml:space="preserve">Table 2.4 — D. LinkedIn-Provided "Listed" Salary Fields.</w:t>
      </w:r>
    </w:p>
    <w:p>
      <w:pPr>
        <w:pStyle w:val="Heading2"/>
        <w:spacing w:after="140" w:before="300"/>
      </w:pPr>
      <w:r>
        <w:rPr>
          <w:rFonts w:ascii="Calibri" w:cs="Calibri" w:eastAsia="Calibri" w:hAnsi="Calibri"/>
          <w:b/>
          <w:bCs/>
          <w:color w:val="2E5A8C"/>
          <w:sz w:val="24"/>
          <w:szCs w:val="24"/>
        </w:rPr>
        <w:t xml:space="preserve">E. Employment Type &amp; Seniority</w:t>
      </w:r>
    </w:p>
    <w:p>
      <w:pPr>
        <w:spacing w:after="160" w:line="300"/>
      </w:pPr>
      <w:r>
        <w:rPr>
          <w:rFonts w:ascii="Calibri" w:cs="Calibri" w:eastAsia="Calibri" w:hAnsi="Calibri"/>
          <w:i/>
          <w:iCs/>
          <w:color w:val="595959"/>
          <w:sz w:val="20"/>
          <w:szCs w:val="20"/>
        </w:rPr>
        <w:t xml:space="preserve">Job classification attributes.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400"/>
        <w:gridCol w:w="1400"/>
        <w:gridCol w:w="1300"/>
        <w:gridCol w:w="1400"/>
      </w:tblGrid>
      <w:tr>
        <w:trPr>
          <w:tblHeader/>
        </w:trPr>
        <w:tc>
          <w:tcPr>
            <w:tcW w:type="dxa" w:w="2500"/>
            <w:shd w:fill="1F386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Column</w:t>
            </w:r>
          </w:p>
        </w:tc>
        <w:tc>
          <w:tcPr>
            <w:tcW w:type="dxa" w:w="15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Dtype</w:t>
            </w:r>
          </w:p>
        </w:tc>
        <w:tc>
          <w:tcPr>
            <w:tcW w:type="dxa" w:w="14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Non-Null</w:t>
            </w:r>
          </w:p>
        </w:tc>
        <w:tc>
          <w:tcPr>
            <w:tcW w:type="dxa" w:w="14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Missing</w:t>
            </w:r>
          </w:p>
        </w:tc>
        <w:tc>
          <w:tcPr>
            <w:tcW w:type="dxa" w:w="13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Missing %</w:t>
            </w:r>
          </w:p>
        </w:tc>
        <w:tc>
          <w:tcPr>
            <w:tcW w:type="dxa" w:w="14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Severity</w:t>
            </w:r>
          </w:p>
        </w:tc>
      </w:tr>
      <w:tr>
        <w:tc>
          <w:tcPr>
            <w:tcW w:type="dxa" w:w="2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formatted_work_type</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category</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work_type</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category</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remote_allowed</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boolean</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formatted_experience_level</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category</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bl>
    <w:p>
      <w:pPr>
        <w:spacing w:after="220" w:before="60"/>
      </w:pPr>
      <w:r>
        <w:rPr>
          <w:rFonts w:ascii="Calibri" w:cs="Calibri" w:eastAsia="Calibri" w:hAnsi="Calibri"/>
          <w:i/>
          <w:iCs/>
          <w:color w:val="595959"/>
          <w:sz w:val="18"/>
          <w:szCs w:val="18"/>
        </w:rPr>
        <w:t xml:space="preserve">Table 2.5 — E. Employment Type &amp; Seniority.</w:t>
      </w:r>
    </w:p>
    <w:p>
      <w:pPr>
        <w:pStyle w:val="Heading2"/>
        <w:spacing w:after="140" w:before="300"/>
      </w:pPr>
      <w:r>
        <w:rPr>
          <w:rFonts w:ascii="Calibri" w:cs="Calibri" w:eastAsia="Calibri" w:hAnsi="Calibri"/>
          <w:b/>
          <w:bCs/>
          <w:color w:val="2E5A8C"/>
          <w:sz w:val="24"/>
          <w:szCs w:val="24"/>
        </w:rPr>
        <w:t xml:space="preserve">F. Posting Lifecycle Timestamps</w:t>
      </w:r>
    </w:p>
    <w:p>
      <w:pPr>
        <w:spacing w:after="160" w:line="300"/>
      </w:pPr>
      <w:r>
        <w:rPr>
          <w:rFonts w:ascii="Calibri" w:cs="Calibri" w:eastAsia="Calibri" w:hAnsi="Calibri"/>
          <w:i/>
          <w:iCs/>
          <w:color w:val="595959"/>
          <w:sz w:val="20"/>
          <w:szCs w:val="20"/>
        </w:rPr>
        <w:t xml:space="preserve">Dates governing when a posting entered/left the marketplace — the backbone for a volume time series.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400"/>
        <w:gridCol w:w="1400"/>
        <w:gridCol w:w="1300"/>
        <w:gridCol w:w="1400"/>
      </w:tblGrid>
      <w:tr>
        <w:trPr>
          <w:tblHeader/>
        </w:trPr>
        <w:tc>
          <w:tcPr>
            <w:tcW w:type="dxa" w:w="2500"/>
            <w:shd w:fill="1F386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Column</w:t>
            </w:r>
          </w:p>
        </w:tc>
        <w:tc>
          <w:tcPr>
            <w:tcW w:type="dxa" w:w="15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Dtype</w:t>
            </w:r>
          </w:p>
        </w:tc>
        <w:tc>
          <w:tcPr>
            <w:tcW w:type="dxa" w:w="14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Non-Null</w:t>
            </w:r>
          </w:p>
        </w:tc>
        <w:tc>
          <w:tcPr>
            <w:tcW w:type="dxa" w:w="14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Missing</w:t>
            </w:r>
          </w:p>
        </w:tc>
        <w:tc>
          <w:tcPr>
            <w:tcW w:type="dxa" w:w="13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Missing %</w:t>
            </w:r>
          </w:p>
        </w:tc>
        <w:tc>
          <w:tcPr>
            <w:tcW w:type="dxa" w:w="14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Severity</w:t>
            </w:r>
          </w:p>
        </w:tc>
      </w:tr>
      <w:tr>
        <w:tc>
          <w:tcPr>
            <w:tcW w:type="dxa" w:w="2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listed_time</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datetime64[ns]</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original_listed_time</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datetime64[ns]</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expiry</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datetime64[ns]</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closed_time</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datetime64[ns]</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2,205</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152,471</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C0392B"/>
                <w:sz w:val="19"/>
                <w:szCs w:val="19"/>
              </w:rPr>
              <w:t xml:space="preserve">98.57%</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C0392B"/>
                <w:sz w:val="19"/>
                <w:szCs w:val="19"/>
              </w:rPr>
              <w:t xml:space="preserve">Critical</w:t>
            </w:r>
          </w:p>
        </w:tc>
      </w:tr>
      <w:tr>
        <w:tc>
          <w:tcPr>
            <w:tcW w:type="dxa" w:w="2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sponsored</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boolean</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bl>
    <w:p>
      <w:pPr>
        <w:spacing w:after="220" w:before="60"/>
      </w:pPr>
      <w:r>
        <w:rPr>
          <w:rFonts w:ascii="Calibri" w:cs="Calibri" w:eastAsia="Calibri" w:hAnsi="Calibri"/>
          <w:i/>
          <w:iCs/>
          <w:color w:val="595959"/>
          <w:sz w:val="18"/>
          <w:szCs w:val="18"/>
        </w:rPr>
        <w:t xml:space="preserve">Table 2.6 — F. Posting Lifecycle Timestamps.</w:t>
      </w:r>
    </w:p>
    <w:p>
      <w:pPr>
        <w:pStyle w:val="Heading2"/>
        <w:spacing w:after="140" w:before="300"/>
      </w:pPr>
      <w:r>
        <w:rPr>
          <w:rFonts w:ascii="Calibri" w:cs="Calibri" w:eastAsia="Calibri" w:hAnsi="Calibri"/>
          <w:b/>
          <w:bCs/>
          <w:color w:val="2E5A8C"/>
          <w:sz w:val="24"/>
          <w:szCs w:val="24"/>
        </w:rPr>
        <w:t xml:space="preserve">G. Geography</w:t>
      </w:r>
    </w:p>
    <w:p>
      <w:pPr>
        <w:spacing w:after="160" w:line="300"/>
      </w:pPr>
      <w:r>
        <w:rPr>
          <w:rFonts w:ascii="Calibri" w:cs="Calibri" w:eastAsia="Calibri" w:hAnsi="Calibri"/>
          <w:i/>
          <w:iCs/>
          <w:color w:val="595959"/>
          <w:sz w:val="20"/>
          <w:szCs w:val="20"/>
        </w:rPr>
        <w:t xml:space="preserve">Location resolution fields for the posting.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400"/>
        <w:gridCol w:w="1400"/>
        <w:gridCol w:w="1300"/>
        <w:gridCol w:w="1400"/>
      </w:tblGrid>
      <w:tr>
        <w:trPr>
          <w:tblHeader/>
        </w:trPr>
        <w:tc>
          <w:tcPr>
            <w:tcW w:type="dxa" w:w="2500"/>
            <w:shd w:fill="1F386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Column</w:t>
            </w:r>
          </w:p>
        </w:tc>
        <w:tc>
          <w:tcPr>
            <w:tcW w:type="dxa" w:w="15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Dtype</w:t>
            </w:r>
          </w:p>
        </w:tc>
        <w:tc>
          <w:tcPr>
            <w:tcW w:type="dxa" w:w="14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Non-Null</w:t>
            </w:r>
          </w:p>
        </w:tc>
        <w:tc>
          <w:tcPr>
            <w:tcW w:type="dxa" w:w="14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Missing</w:t>
            </w:r>
          </w:p>
        </w:tc>
        <w:tc>
          <w:tcPr>
            <w:tcW w:type="dxa" w:w="13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Missing %</w:t>
            </w:r>
          </w:p>
        </w:tc>
        <w:tc>
          <w:tcPr>
            <w:tcW w:type="dxa" w:w="14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Severity</w:t>
            </w:r>
          </w:p>
        </w:tc>
      </w:tr>
      <w:tr>
        <w:tc>
          <w:tcPr>
            <w:tcW w:type="dxa" w:w="2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zip_code</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string</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101,857</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52,819</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B7791F"/>
                <w:sz w:val="19"/>
                <w:szCs w:val="19"/>
              </w:rPr>
              <w:t xml:space="preserve">34.15%</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B7791F"/>
                <w:sz w:val="19"/>
                <w:szCs w:val="19"/>
              </w:rPr>
              <w:t xml:space="preserve">Moderate</w:t>
            </w:r>
          </w:p>
        </w:tc>
      </w:tr>
      <w:tr>
        <w:tc>
          <w:tcPr>
            <w:tcW w:type="dxa" w:w="25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fips</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float64</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95,393</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59,283</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B7791F"/>
                <w:sz w:val="19"/>
                <w:szCs w:val="19"/>
              </w:rPr>
              <w:t xml:space="preserve">38.33%</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B7791F"/>
                <w:sz w:val="19"/>
                <w:szCs w:val="19"/>
              </w:rPr>
              <w:t xml:space="preserve">Moderate</w:t>
            </w:r>
          </w:p>
        </w:tc>
      </w:tr>
    </w:tbl>
    <w:p>
      <w:pPr>
        <w:spacing w:after="220" w:before="60"/>
      </w:pPr>
      <w:r>
        <w:rPr>
          <w:rFonts w:ascii="Calibri" w:cs="Calibri" w:eastAsia="Calibri" w:hAnsi="Calibri"/>
          <w:i/>
          <w:iCs/>
          <w:color w:val="595959"/>
          <w:sz w:val="18"/>
          <w:szCs w:val="18"/>
        </w:rPr>
        <w:t xml:space="preserve">Table 2.7 — G. Geography.</w:t>
      </w:r>
    </w:p>
    <w:p>
      <w:pPr>
        <w:pStyle w:val="Heading2"/>
        <w:spacing w:after="140" w:before="300"/>
      </w:pPr>
      <w:r>
        <w:rPr>
          <w:rFonts w:ascii="Calibri" w:cs="Calibri" w:eastAsia="Calibri" w:hAnsi="Calibri"/>
          <w:b/>
          <w:bCs/>
          <w:color w:val="2E5A8C"/>
          <w:sz w:val="24"/>
          <w:szCs w:val="24"/>
        </w:rPr>
        <w:t xml:space="preserve">H. Unmapped / Raw Scrape Metadata</w:t>
      </w:r>
    </w:p>
    <w:p>
      <w:pPr>
        <w:spacing w:after="160" w:line="300"/>
      </w:pPr>
      <w:r>
        <w:rPr>
          <w:rFonts w:ascii="Calibri" w:cs="Calibri" w:eastAsia="Calibri" w:hAnsi="Calibri"/>
          <w:i/>
          <w:iCs/>
          <w:color w:val="595959"/>
          <w:sz w:val="20"/>
          <w:szCs w:val="20"/>
        </w:rPr>
        <w:t xml:space="preserve">Fields carried over unmodified from the original scrape — largely operational rather than analytical.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400"/>
        <w:gridCol w:w="1400"/>
        <w:gridCol w:w="1300"/>
        <w:gridCol w:w="1400"/>
      </w:tblGrid>
      <w:tr>
        <w:trPr>
          <w:tblHeader/>
        </w:trPr>
        <w:tc>
          <w:tcPr>
            <w:tcW w:type="dxa" w:w="2500"/>
            <w:shd w:fill="1F386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Column</w:t>
            </w:r>
          </w:p>
        </w:tc>
        <w:tc>
          <w:tcPr>
            <w:tcW w:type="dxa" w:w="15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Dtype</w:t>
            </w:r>
          </w:p>
        </w:tc>
        <w:tc>
          <w:tcPr>
            <w:tcW w:type="dxa" w:w="14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Non-Null</w:t>
            </w:r>
          </w:p>
        </w:tc>
        <w:tc>
          <w:tcPr>
            <w:tcW w:type="dxa" w:w="14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Missing</w:t>
            </w:r>
          </w:p>
        </w:tc>
        <w:tc>
          <w:tcPr>
            <w:tcW w:type="dxa" w:w="13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Missing %</w:t>
            </w:r>
          </w:p>
        </w:tc>
        <w:tc>
          <w:tcPr>
            <w:tcW w:type="dxa" w:w="14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Severity</w:t>
            </w:r>
          </w:p>
        </w:tc>
      </w:tr>
      <w:tr>
        <w:tc>
          <w:tcPr>
            <w:tcW w:type="dxa" w:w="2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unmapped__job_posting_url</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string</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unmapped__application_url</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string</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108,026</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46,650</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B7791F"/>
                <w:sz w:val="19"/>
                <w:szCs w:val="19"/>
              </w:rPr>
              <w:t xml:space="preserve">30.16%</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B7791F"/>
                <w:sz w:val="19"/>
                <w:szCs w:val="19"/>
              </w:rPr>
              <w:t xml:space="preserve">Moderate</w:t>
            </w:r>
          </w:p>
        </w:tc>
      </w:tr>
      <w:tr>
        <w:tc>
          <w:tcPr>
            <w:tcW w:type="dxa" w:w="2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unmapped__application_type</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string</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unmapped__skills_desc</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string</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2,772</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151,904</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C0392B"/>
                <w:sz w:val="19"/>
                <w:szCs w:val="19"/>
              </w:rPr>
              <w:t xml:space="preserve">98.21%</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C0392B"/>
                <w:sz w:val="19"/>
                <w:szCs w:val="19"/>
              </w:rPr>
              <w:t xml:space="preserve">Critical</w:t>
            </w:r>
          </w:p>
        </w:tc>
      </w:tr>
      <w:tr>
        <w:tc>
          <w:tcPr>
            <w:tcW w:type="dxa" w:w="2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unmapped__posting_domain</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string</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103,564</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51,112</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B7791F"/>
                <w:sz w:val="19"/>
                <w:szCs w:val="19"/>
              </w:rPr>
              <w:t xml:space="preserve">33.04%</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B7791F"/>
                <w:sz w:val="19"/>
                <w:szCs w:val="19"/>
              </w:rPr>
              <w:t xml:space="preserve">Moderate</w:t>
            </w:r>
          </w:p>
        </w:tc>
      </w:tr>
      <w:tr>
        <w:tc>
          <w:tcPr>
            <w:tcW w:type="dxa" w:w="25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unmapped__scraped</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float64</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bl>
    <w:p>
      <w:pPr>
        <w:spacing w:after="220" w:before="60"/>
      </w:pPr>
      <w:r>
        <w:rPr>
          <w:rFonts w:ascii="Calibri" w:cs="Calibri" w:eastAsia="Calibri" w:hAnsi="Calibri"/>
          <w:i/>
          <w:iCs/>
          <w:color w:val="595959"/>
          <w:sz w:val="18"/>
          <w:szCs w:val="18"/>
        </w:rPr>
        <w:t xml:space="preserve">Table 2.8 — H. Unmapped / Raw Scrape Metadata.</w:t>
      </w:r>
    </w:p>
    <w:p>
      <w:pPr>
        <w:pStyle w:val="Heading2"/>
        <w:spacing w:after="140" w:before="300"/>
      </w:pPr>
      <w:r>
        <w:rPr>
          <w:rFonts w:ascii="Calibri" w:cs="Calibri" w:eastAsia="Calibri" w:hAnsi="Calibri"/>
          <w:b/>
          <w:bCs/>
          <w:color w:val="2E5A8C"/>
          <w:sz w:val="24"/>
          <w:szCs w:val="24"/>
        </w:rPr>
        <w:t xml:space="preserve">I. Company Identity</w:t>
      </w:r>
    </w:p>
    <w:p>
      <w:pPr>
        <w:spacing w:after="160" w:line="300"/>
      </w:pPr>
      <w:r>
        <w:rPr>
          <w:rFonts w:ascii="Calibri" w:cs="Calibri" w:eastAsia="Calibri" w:hAnsi="Calibri"/>
          <w:i/>
          <w:iCs/>
          <w:color w:val="595959"/>
          <w:sz w:val="20"/>
          <w:szCs w:val="20"/>
        </w:rPr>
        <w:t xml:space="preserve">Employer-level descriptive fields.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400"/>
        <w:gridCol w:w="1400"/>
        <w:gridCol w:w="1300"/>
        <w:gridCol w:w="1400"/>
      </w:tblGrid>
      <w:tr>
        <w:trPr>
          <w:tblHeader/>
        </w:trPr>
        <w:tc>
          <w:tcPr>
            <w:tcW w:type="dxa" w:w="2500"/>
            <w:shd w:fill="1F386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Column</w:t>
            </w:r>
          </w:p>
        </w:tc>
        <w:tc>
          <w:tcPr>
            <w:tcW w:type="dxa" w:w="15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Dtype</w:t>
            </w:r>
          </w:p>
        </w:tc>
        <w:tc>
          <w:tcPr>
            <w:tcW w:type="dxa" w:w="14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Non-Null</w:t>
            </w:r>
          </w:p>
        </w:tc>
        <w:tc>
          <w:tcPr>
            <w:tcW w:type="dxa" w:w="14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Missing</w:t>
            </w:r>
          </w:p>
        </w:tc>
        <w:tc>
          <w:tcPr>
            <w:tcW w:type="dxa" w:w="13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Missing %</w:t>
            </w:r>
          </w:p>
        </w:tc>
        <w:tc>
          <w:tcPr>
            <w:tcW w:type="dxa" w:w="14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Severity</w:t>
            </w:r>
          </w:p>
        </w:tc>
      </w:tr>
      <w:tr>
        <w:tc>
          <w:tcPr>
            <w:tcW w:type="dxa" w:w="2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company_name</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object</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company_description</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object</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company_size</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category</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company_state</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category</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company_country</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category</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company_city</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category</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company_zip_code</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string</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154,394</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282</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0.18%</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Minor</w:t>
            </w:r>
          </w:p>
        </w:tc>
      </w:tr>
      <w:tr>
        <w:tc>
          <w:tcPr>
            <w:tcW w:type="dxa" w:w="25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company_address</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object</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company_url</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string</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unmapped__company_name</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string</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122,130</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32,546</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B7791F"/>
                <w:sz w:val="19"/>
                <w:szCs w:val="19"/>
              </w:rPr>
              <w:t xml:space="preserve">21.04%</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B7791F"/>
                <w:sz w:val="19"/>
                <w:szCs w:val="19"/>
              </w:rPr>
              <w:t xml:space="preserve">Moderate</w:t>
            </w:r>
          </w:p>
        </w:tc>
      </w:tr>
    </w:tbl>
    <w:p>
      <w:pPr>
        <w:spacing w:after="220" w:before="60"/>
      </w:pPr>
      <w:r>
        <w:rPr>
          <w:rFonts w:ascii="Calibri" w:cs="Calibri" w:eastAsia="Calibri" w:hAnsi="Calibri"/>
          <w:i/>
          <w:iCs/>
          <w:color w:val="595959"/>
          <w:sz w:val="18"/>
          <w:szCs w:val="18"/>
        </w:rPr>
        <w:t xml:space="preserve">Table 2.9 — I. Company Identity.</w:t>
      </w:r>
    </w:p>
    <w:p>
      <w:pPr>
        <w:pStyle w:val="Heading2"/>
        <w:spacing w:after="140" w:before="300"/>
      </w:pPr>
      <w:r>
        <w:rPr>
          <w:rFonts w:ascii="Calibri" w:cs="Calibri" w:eastAsia="Calibri" w:hAnsi="Calibri"/>
          <w:b/>
          <w:bCs/>
          <w:color w:val="2E5A8C"/>
          <w:sz w:val="24"/>
          <w:szCs w:val="24"/>
        </w:rPr>
        <w:t xml:space="preserve">J. Company Scale</w:t>
      </w:r>
    </w:p>
    <w:p>
      <w:pPr>
        <w:spacing w:after="160" w:line="300"/>
      </w:pPr>
      <w:r>
        <w:rPr>
          <w:rFonts w:ascii="Calibri" w:cs="Calibri" w:eastAsia="Calibri" w:hAnsi="Calibri"/>
          <w:i/>
          <w:iCs/>
          <w:color w:val="595959"/>
          <w:sz w:val="20"/>
          <w:szCs w:val="20"/>
        </w:rPr>
        <w:t xml:space="preserve">Employer size proxies pulled from the company's LinkedIn page.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400"/>
        <w:gridCol w:w="1400"/>
        <w:gridCol w:w="1300"/>
        <w:gridCol w:w="1400"/>
      </w:tblGrid>
      <w:tr>
        <w:trPr>
          <w:tblHeader/>
        </w:trPr>
        <w:tc>
          <w:tcPr>
            <w:tcW w:type="dxa" w:w="2500"/>
            <w:shd w:fill="1F386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Column</w:t>
            </w:r>
          </w:p>
        </w:tc>
        <w:tc>
          <w:tcPr>
            <w:tcW w:type="dxa" w:w="15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Dtype</w:t>
            </w:r>
          </w:p>
        </w:tc>
        <w:tc>
          <w:tcPr>
            <w:tcW w:type="dxa" w:w="14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Non-Null</w:t>
            </w:r>
          </w:p>
        </w:tc>
        <w:tc>
          <w:tcPr>
            <w:tcW w:type="dxa" w:w="14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Missing</w:t>
            </w:r>
          </w:p>
        </w:tc>
        <w:tc>
          <w:tcPr>
            <w:tcW w:type="dxa" w:w="13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Missing %</w:t>
            </w:r>
          </w:p>
        </w:tc>
        <w:tc>
          <w:tcPr>
            <w:tcW w:type="dxa" w:w="14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Severity</w:t>
            </w:r>
          </w:p>
        </w:tc>
      </w:tr>
      <w:tr>
        <w:tc>
          <w:tcPr>
            <w:tcW w:type="dxa" w:w="2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company_employee_count</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Int64</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company_follower_count</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Int64</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company_employee_count_recorded_at</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float64</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bl>
    <w:p>
      <w:pPr>
        <w:spacing w:after="220" w:before="60"/>
      </w:pPr>
      <w:r>
        <w:rPr>
          <w:rFonts w:ascii="Calibri" w:cs="Calibri" w:eastAsia="Calibri" w:hAnsi="Calibri"/>
          <w:i/>
          <w:iCs/>
          <w:color w:val="595959"/>
          <w:sz w:val="18"/>
          <w:szCs w:val="18"/>
        </w:rPr>
        <w:t xml:space="preserve">Table 2.10 — J. Company Scale.</w:t>
      </w:r>
    </w:p>
    <w:p>
      <w:pPr>
        <w:pStyle w:val="Heading2"/>
        <w:spacing w:after="140" w:before="300"/>
      </w:pPr>
      <w:r>
        <w:rPr>
          <w:rFonts w:ascii="Calibri" w:cs="Calibri" w:eastAsia="Calibri" w:hAnsi="Calibri"/>
          <w:b/>
          <w:bCs/>
          <w:color w:val="2E5A8C"/>
          <w:sz w:val="24"/>
          <w:szCs w:val="24"/>
        </w:rPr>
        <w:t xml:space="preserve">K. Industry / Skill / Benefit / Speciality Aggregates</w:t>
      </w:r>
    </w:p>
    <w:p>
      <w:pPr>
        <w:spacing w:after="160" w:line="300"/>
      </w:pPr>
      <w:r>
        <w:rPr>
          <w:rFonts w:ascii="Calibri" w:cs="Calibri" w:eastAsia="Calibri" w:hAnsi="Calibri"/>
          <w:i/>
          <w:iCs/>
          <w:color w:val="595959"/>
          <w:sz w:val="20"/>
          <w:szCs w:val="20"/>
        </w:rPr>
        <w:t xml:space="preserve">Engineered summary fields (counts + top value + pipe-delimited list) derived from underlying LinkedIn taxonomy tables.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400"/>
        <w:gridCol w:w="1400"/>
        <w:gridCol w:w="1300"/>
        <w:gridCol w:w="1400"/>
      </w:tblGrid>
      <w:tr>
        <w:trPr>
          <w:tblHeader/>
        </w:trPr>
        <w:tc>
          <w:tcPr>
            <w:tcW w:type="dxa" w:w="2500"/>
            <w:shd w:fill="1F386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Column</w:t>
            </w:r>
          </w:p>
        </w:tc>
        <w:tc>
          <w:tcPr>
            <w:tcW w:type="dxa" w:w="15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Dtype</w:t>
            </w:r>
          </w:p>
        </w:tc>
        <w:tc>
          <w:tcPr>
            <w:tcW w:type="dxa" w:w="14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Non-Null</w:t>
            </w:r>
          </w:p>
        </w:tc>
        <w:tc>
          <w:tcPr>
            <w:tcW w:type="dxa" w:w="14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Missing</w:t>
            </w:r>
          </w:p>
        </w:tc>
        <w:tc>
          <w:tcPr>
            <w:tcW w:type="dxa" w:w="13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Missing %</w:t>
            </w:r>
          </w:p>
        </w:tc>
        <w:tc>
          <w:tcPr>
            <w:tcW w:type="dxa" w:w="14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Severity</w:t>
            </w:r>
          </w:p>
        </w:tc>
      </w:tr>
      <w:tr>
        <w:tc>
          <w:tcPr>
            <w:tcW w:type="dxa" w:w="2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industry_count</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int64</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top_industry</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string</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154,543</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133</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0.09%</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Minor</w:t>
            </w:r>
          </w:p>
        </w:tc>
      </w:tr>
      <w:tr>
        <w:tc>
          <w:tcPr>
            <w:tcW w:type="dxa" w:w="2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industry_list</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object</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154,543</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133</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0.09%</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Minor</w:t>
            </w:r>
          </w:p>
        </w:tc>
      </w:tr>
      <w:tr>
        <w:tc>
          <w:tcPr>
            <w:tcW w:type="dxa" w:w="25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skill_count</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int64</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top_skill</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string</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skill_list</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object</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152,119</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2,557</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1.65%</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Minor</w:t>
            </w:r>
          </w:p>
        </w:tc>
      </w:tr>
      <w:tr>
        <w:tc>
          <w:tcPr>
            <w:tcW w:type="dxa" w:w="2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benefit_count</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int64</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top_benefit</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string</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benefit_list</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object</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39,974</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114,702</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C0392B"/>
                <w:sz w:val="19"/>
                <w:szCs w:val="19"/>
              </w:rPr>
              <w:t xml:space="preserve">74.16%</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C0392B"/>
                <w:sz w:val="19"/>
                <w:szCs w:val="19"/>
              </w:rPr>
              <w:t xml:space="preserve">Severe</w:t>
            </w:r>
          </w:p>
        </w:tc>
      </w:tr>
      <w:tr>
        <w:tc>
          <w:tcPr>
            <w:tcW w:type="dxa" w:w="25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speciality_count</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int64</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top_speciality</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string</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121,942</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32,734</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B7791F"/>
                <w:sz w:val="19"/>
                <w:szCs w:val="19"/>
              </w:rPr>
              <w:t xml:space="preserve">21.16%</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B7791F"/>
                <w:sz w:val="19"/>
                <w:szCs w:val="19"/>
              </w:rPr>
              <w:t xml:space="preserve">Moderate</w:t>
            </w:r>
          </w:p>
        </w:tc>
      </w:tr>
      <w:tr>
        <w:tc>
          <w:tcPr>
            <w:tcW w:type="dxa" w:w="25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speciality_list</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object</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121,938</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32,738</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B7791F"/>
                <w:sz w:val="19"/>
                <w:szCs w:val="19"/>
              </w:rPr>
              <w:t xml:space="preserve">21.17%</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B7791F"/>
                <w:sz w:val="19"/>
                <w:szCs w:val="19"/>
              </w:rPr>
              <w:t xml:space="preserve">Moderate</w:t>
            </w:r>
          </w:p>
        </w:tc>
      </w:tr>
    </w:tbl>
    <w:p>
      <w:pPr>
        <w:spacing w:after="220" w:before="60"/>
      </w:pPr>
      <w:r>
        <w:rPr>
          <w:rFonts w:ascii="Calibri" w:cs="Calibri" w:eastAsia="Calibri" w:hAnsi="Calibri"/>
          <w:i/>
          <w:iCs/>
          <w:color w:val="595959"/>
          <w:sz w:val="18"/>
          <w:szCs w:val="18"/>
        </w:rPr>
        <w:t xml:space="preserve">Table 2.11 — K. Industry / Skill / Benefit / Speciality Aggregates.</w:t>
      </w:r>
    </w:p>
    <w:p>
      <w:pPr>
        <w:pStyle w:val="Heading2"/>
        <w:spacing w:after="140" w:before="300"/>
      </w:pPr>
      <w:r>
        <w:rPr>
          <w:rFonts w:ascii="Calibri" w:cs="Calibri" w:eastAsia="Calibri" w:hAnsi="Calibri"/>
          <w:b/>
          <w:bCs/>
          <w:color w:val="2E5A8C"/>
          <w:sz w:val="24"/>
          <w:szCs w:val="24"/>
        </w:rPr>
        <w:t xml:space="preserve">L. Dataset Provenance &amp; Boolean Flags</w:t>
      </w:r>
    </w:p>
    <w:p>
      <w:pPr>
        <w:spacing w:after="160" w:line="300"/>
      </w:pPr>
      <w:r>
        <w:rPr>
          <w:rFonts w:ascii="Calibri" w:cs="Calibri" w:eastAsia="Calibri" w:hAnsi="Calibri"/>
          <w:i/>
          <w:iCs/>
          <w:color w:val="595959"/>
          <w:sz w:val="20"/>
          <w:szCs w:val="20"/>
        </w:rPr>
        <w:t xml:space="preserve">Merge/version tracking and derived availability flags.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400"/>
        <w:gridCol w:w="1400"/>
        <w:gridCol w:w="1300"/>
        <w:gridCol w:w="1400"/>
      </w:tblGrid>
      <w:tr>
        <w:trPr>
          <w:tblHeader/>
        </w:trPr>
        <w:tc>
          <w:tcPr>
            <w:tcW w:type="dxa" w:w="2500"/>
            <w:shd w:fill="1F386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Column</w:t>
            </w:r>
          </w:p>
        </w:tc>
        <w:tc>
          <w:tcPr>
            <w:tcW w:type="dxa" w:w="15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Dtype</w:t>
            </w:r>
          </w:p>
        </w:tc>
        <w:tc>
          <w:tcPr>
            <w:tcW w:type="dxa" w:w="14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Non-Null</w:t>
            </w:r>
          </w:p>
        </w:tc>
        <w:tc>
          <w:tcPr>
            <w:tcW w:type="dxa" w:w="14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Missing</w:t>
            </w:r>
          </w:p>
        </w:tc>
        <w:tc>
          <w:tcPr>
            <w:tcW w:type="dxa" w:w="13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Missing %</w:t>
            </w:r>
          </w:p>
        </w:tc>
        <w:tc>
          <w:tcPr>
            <w:tcW w:type="dxa" w:w="14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Severity</w:t>
            </w:r>
          </w:p>
        </w:tc>
      </w:tr>
      <w:tr>
        <w:tc>
          <w:tcPr>
            <w:tcW w:type="dxa" w:w="2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dataset_version</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object</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salary_available</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boolean</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has_company_description</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boolean</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has_description</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boolean</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r>
        <w:tc>
          <w:tcPr>
            <w:tcW w:type="dxa" w:w="25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listing_age_available</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boolean</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1E7A46"/>
                <w:sz w:val="19"/>
                <w:szCs w:val="19"/>
              </w:rPr>
              <w:t xml:space="preserve">0.00%</w:t>
            </w:r>
          </w:p>
        </w:tc>
        <w:tc>
          <w:tcPr>
            <w:tcW w:type="dxa" w:w="14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Complete</w:t>
            </w:r>
          </w:p>
        </w:tc>
      </w:tr>
    </w:tbl>
    <w:p>
      <w:pPr>
        <w:spacing w:after="220" w:before="60"/>
      </w:pPr>
      <w:r>
        <w:rPr>
          <w:rFonts w:ascii="Calibri" w:cs="Calibri" w:eastAsia="Calibri" w:hAnsi="Calibri"/>
          <w:i/>
          <w:iCs/>
          <w:color w:val="595959"/>
          <w:sz w:val="18"/>
          <w:szCs w:val="18"/>
        </w:rPr>
        <w:t xml:space="preserve">Table 2.12 — L. Dataset Provenance &amp; Boolean Flags.</w:t>
      </w:r>
    </w:p>
    <w:p>
      <w:r>
        <w:br w:type="page"/>
      </w:r>
    </w:p>
    <w:p>
      <w:pPr>
        <w:pStyle w:val="Heading1"/>
        <w:pBdr>
          <w:bottom w:val="single" w:color="1F3864" w:sz="8" w:space="4"/>
        </w:pBdr>
        <w:spacing w:after="180" w:before="380"/>
      </w:pPr>
      <w:r>
        <w:rPr>
          <w:rFonts w:ascii="Calibri" w:cs="Calibri" w:eastAsia="Calibri" w:hAnsi="Calibri"/>
          <w:b/>
          <w:bCs/>
          <w:color w:val="1F3864"/>
          <w:sz w:val="30"/>
          <w:szCs w:val="30"/>
        </w:rPr>
        <w:t xml:space="preserve">3. Missingness Ranked (Worst First)</w:t>
      </w:r>
    </w:p>
    <w:p>
      <w:pPr>
        <w:spacing w:after="160" w:line="300"/>
      </w:pPr>
      <w:r>
        <w:rPr>
          <w:rFonts w:ascii="Calibri" w:cs="Calibri" w:eastAsia="Calibri" w:hAnsi="Calibri"/>
          <w:color w:val="262626"/>
          <w:sz w:val="21"/>
          <w:szCs w:val="21"/>
        </w:rPr>
        <w:t xml:space="preserve">All columns with any missing values, sorted from most to least incomplete. This is the priority order for deciding imputation, dropping, or flag-encoding strategy during data cleaning.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700"/>
      </w:tblGrid>
      <w:tr>
        <w:trPr>
          <w:tblHeader/>
        </w:trPr>
        <w:tc>
          <w:tcPr>
            <w:tcW w:type="dxa" w:w="3200"/>
            <w:shd w:fill="1F386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Column</w:t>
            </w:r>
          </w:p>
        </w:tc>
        <w:tc>
          <w:tcPr>
            <w:tcW w:type="dxa" w:w="15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Missing</w:t>
            </w:r>
          </w:p>
        </w:tc>
        <w:tc>
          <w:tcPr>
            <w:tcW w:type="dxa" w:w="15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Missing %</w:t>
            </w:r>
          </w:p>
        </w:tc>
        <w:tc>
          <w:tcPr>
            <w:tcW w:type="dxa" w:w="15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Non-Null</w:t>
            </w:r>
          </w:p>
        </w:tc>
        <w:tc>
          <w:tcPr>
            <w:tcW w:type="dxa" w:w="17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Severity</w:t>
            </w:r>
          </w:p>
        </w:tc>
      </w:tr>
      <w:tr>
        <w:tc>
          <w:tcPr>
            <w:tcW w:type="dxa" w:w="32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closed_time</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152,471</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C0392B"/>
                <w:sz w:val="19"/>
                <w:szCs w:val="19"/>
              </w:rPr>
              <w:t xml:space="preserve">98.57%</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2,205</w:t>
            </w:r>
          </w:p>
        </w:tc>
        <w:tc>
          <w:tcPr>
            <w:tcW w:type="dxa" w:w="17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C0392B"/>
                <w:sz w:val="19"/>
                <w:szCs w:val="19"/>
              </w:rPr>
              <w:t xml:space="preserve">Critical</w:t>
            </w:r>
          </w:p>
        </w:tc>
      </w:tr>
      <w:tr>
        <w:tc>
          <w:tcPr>
            <w:tcW w:type="dxa" w:w="32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unmapped__skills_desc</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151,904</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C0392B"/>
                <w:sz w:val="19"/>
                <w:szCs w:val="19"/>
              </w:rPr>
              <w:t xml:space="preserve">98.21%</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2,772</w:t>
            </w:r>
          </w:p>
        </w:tc>
        <w:tc>
          <w:tcPr>
            <w:tcW w:type="dxa" w:w="17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C0392B"/>
                <w:sz w:val="19"/>
                <w:szCs w:val="19"/>
              </w:rPr>
              <w:t xml:space="preserve">Critical</w:t>
            </w:r>
          </w:p>
        </w:tc>
      </w:tr>
      <w:tr>
        <w:tc>
          <w:tcPr>
            <w:tcW w:type="dxa" w:w="32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med_salary</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146,240</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C0392B"/>
                <w:sz w:val="19"/>
                <w:szCs w:val="19"/>
              </w:rPr>
              <w:t xml:space="preserve">94.55%</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8,436</w:t>
            </w:r>
          </w:p>
        </w:tc>
        <w:tc>
          <w:tcPr>
            <w:tcW w:type="dxa" w:w="17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C0392B"/>
                <w:sz w:val="19"/>
                <w:szCs w:val="19"/>
              </w:rPr>
              <w:t xml:space="preserve">Critical</w:t>
            </w:r>
          </w:p>
        </w:tc>
      </w:tr>
      <w:tr>
        <w:tc>
          <w:tcPr>
            <w:tcW w:type="dxa" w:w="32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normalized_salary</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119,113</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C0392B"/>
                <w:sz w:val="19"/>
                <w:szCs w:val="19"/>
              </w:rPr>
              <w:t xml:space="preserve">77.01%</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35,563</w:t>
            </w:r>
          </w:p>
        </w:tc>
        <w:tc>
          <w:tcPr>
            <w:tcW w:type="dxa" w:w="17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C0392B"/>
                <w:sz w:val="19"/>
                <w:szCs w:val="19"/>
              </w:rPr>
              <w:t xml:space="preserve">Critical</w:t>
            </w:r>
          </w:p>
        </w:tc>
      </w:tr>
      <w:tr>
        <w:tc>
          <w:tcPr>
            <w:tcW w:type="dxa" w:w="32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benefit_list</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114,702</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C0392B"/>
                <w:sz w:val="19"/>
                <w:szCs w:val="19"/>
              </w:rPr>
              <w:t xml:space="preserve">74.16%</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39,974</w:t>
            </w:r>
          </w:p>
        </w:tc>
        <w:tc>
          <w:tcPr>
            <w:tcW w:type="dxa" w:w="17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C0392B"/>
                <w:sz w:val="19"/>
                <w:szCs w:val="19"/>
              </w:rPr>
              <w:t xml:space="preserve">Severe</w:t>
            </w:r>
          </w:p>
        </w:tc>
      </w:tr>
      <w:tr>
        <w:tc>
          <w:tcPr>
            <w:tcW w:type="dxa" w:w="32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min_salary</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114,433</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C0392B"/>
                <w:sz w:val="19"/>
                <w:szCs w:val="19"/>
              </w:rPr>
              <w:t xml:space="preserve">73.98%</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40,243</w:t>
            </w:r>
          </w:p>
        </w:tc>
        <w:tc>
          <w:tcPr>
            <w:tcW w:type="dxa" w:w="17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C0392B"/>
                <w:sz w:val="19"/>
                <w:szCs w:val="19"/>
              </w:rPr>
              <w:t xml:space="preserve">Severe</w:t>
            </w:r>
          </w:p>
        </w:tc>
      </w:tr>
      <w:tr>
        <w:tc>
          <w:tcPr>
            <w:tcW w:type="dxa" w:w="32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max_salary</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114,433</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C0392B"/>
                <w:sz w:val="19"/>
                <w:szCs w:val="19"/>
              </w:rPr>
              <w:t xml:space="preserve">73.98%</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40,243</w:t>
            </w:r>
          </w:p>
        </w:tc>
        <w:tc>
          <w:tcPr>
            <w:tcW w:type="dxa" w:w="17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C0392B"/>
                <w:sz w:val="19"/>
                <w:szCs w:val="19"/>
              </w:rPr>
              <w:t xml:space="preserve">Severe</w:t>
            </w:r>
          </w:p>
        </w:tc>
      </w:tr>
      <w:tr>
        <w:tc>
          <w:tcPr>
            <w:tcW w:type="dxa" w:w="32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fips</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59,283</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B7791F"/>
                <w:sz w:val="19"/>
                <w:szCs w:val="19"/>
              </w:rPr>
              <w:t xml:space="preserve">38.33%</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95,393</w:t>
            </w:r>
          </w:p>
        </w:tc>
        <w:tc>
          <w:tcPr>
            <w:tcW w:type="dxa" w:w="17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B7791F"/>
                <w:sz w:val="19"/>
                <w:szCs w:val="19"/>
              </w:rPr>
              <w:t xml:space="preserve">Moderate</w:t>
            </w:r>
          </w:p>
        </w:tc>
      </w:tr>
      <w:tr>
        <w:tc>
          <w:tcPr>
            <w:tcW w:type="dxa" w:w="32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zip_code</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52,819</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B7791F"/>
                <w:sz w:val="19"/>
                <w:szCs w:val="19"/>
              </w:rPr>
              <w:t xml:space="preserve">34.15%</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101,857</w:t>
            </w:r>
          </w:p>
        </w:tc>
        <w:tc>
          <w:tcPr>
            <w:tcW w:type="dxa" w:w="17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B7791F"/>
                <w:sz w:val="19"/>
                <w:szCs w:val="19"/>
              </w:rPr>
              <w:t xml:space="preserve">Moderate</w:t>
            </w:r>
          </w:p>
        </w:tc>
      </w:tr>
      <w:tr>
        <w:tc>
          <w:tcPr>
            <w:tcW w:type="dxa" w:w="32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unmapped__posting_domain</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51,112</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B7791F"/>
                <w:sz w:val="19"/>
                <w:szCs w:val="19"/>
              </w:rPr>
              <w:t xml:space="preserve">33.04%</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103,564</w:t>
            </w:r>
          </w:p>
        </w:tc>
        <w:tc>
          <w:tcPr>
            <w:tcW w:type="dxa" w:w="17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B7791F"/>
                <w:sz w:val="19"/>
                <w:szCs w:val="19"/>
              </w:rPr>
              <w:t xml:space="preserve">Moderate</w:t>
            </w:r>
          </w:p>
        </w:tc>
      </w:tr>
      <w:tr>
        <w:tc>
          <w:tcPr>
            <w:tcW w:type="dxa" w:w="32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unmapped__application_url</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46,650</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B7791F"/>
                <w:sz w:val="19"/>
                <w:szCs w:val="19"/>
              </w:rPr>
              <w:t xml:space="preserve">30.16%</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108,026</w:t>
            </w:r>
          </w:p>
        </w:tc>
        <w:tc>
          <w:tcPr>
            <w:tcW w:type="dxa" w:w="17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B7791F"/>
                <w:sz w:val="19"/>
                <w:szCs w:val="19"/>
              </w:rPr>
              <w:t xml:space="preserve">Moderate</w:t>
            </w:r>
          </w:p>
        </w:tc>
      </w:tr>
      <w:tr>
        <w:tc>
          <w:tcPr>
            <w:tcW w:type="dxa" w:w="32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speciality_list</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32,738</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B7791F"/>
                <w:sz w:val="19"/>
                <w:szCs w:val="19"/>
              </w:rPr>
              <w:t xml:space="preserve">21.17%</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121,938</w:t>
            </w:r>
          </w:p>
        </w:tc>
        <w:tc>
          <w:tcPr>
            <w:tcW w:type="dxa" w:w="17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B7791F"/>
                <w:sz w:val="19"/>
                <w:szCs w:val="19"/>
              </w:rPr>
              <w:t xml:space="preserve">Moderate</w:t>
            </w:r>
          </w:p>
        </w:tc>
      </w:tr>
      <w:tr>
        <w:tc>
          <w:tcPr>
            <w:tcW w:type="dxa" w:w="32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top_speciality</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32,734</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B7791F"/>
                <w:sz w:val="19"/>
                <w:szCs w:val="19"/>
              </w:rPr>
              <w:t xml:space="preserve">21.16%</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121,942</w:t>
            </w:r>
          </w:p>
        </w:tc>
        <w:tc>
          <w:tcPr>
            <w:tcW w:type="dxa" w:w="17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B7791F"/>
                <w:sz w:val="19"/>
                <w:szCs w:val="19"/>
              </w:rPr>
              <w:t xml:space="preserve">Moderate</w:t>
            </w:r>
          </w:p>
        </w:tc>
      </w:tr>
      <w:tr>
        <w:tc>
          <w:tcPr>
            <w:tcW w:type="dxa" w:w="32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unmapped__company_name</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32,546</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B7791F"/>
                <w:sz w:val="19"/>
                <w:szCs w:val="19"/>
              </w:rPr>
              <w:t xml:space="preserve">21.04%</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122,130</w:t>
            </w:r>
          </w:p>
        </w:tc>
        <w:tc>
          <w:tcPr>
            <w:tcW w:type="dxa" w:w="17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B7791F"/>
                <w:sz w:val="19"/>
                <w:szCs w:val="19"/>
              </w:rPr>
              <w:t xml:space="preserve">Moderate</w:t>
            </w:r>
          </w:p>
        </w:tc>
      </w:tr>
      <w:tr>
        <w:tc>
          <w:tcPr>
            <w:tcW w:type="dxa" w:w="32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skill_list</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2,557</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1.65%</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152,119</w:t>
            </w:r>
          </w:p>
        </w:tc>
        <w:tc>
          <w:tcPr>
            <w:tcW w:type="dxa" w:w="17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Minor</w:t>
            </w:r>
          </w:p>
        </w:tc>
      </w:tr>
      <w:tr>
        <w:tc>
          <w:tcPr>
            <w:tcW w:type="dxa" w:w="32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company_zip_code</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282</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0.18%</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154,394</w:t>
            </w:r>
          </w:p>
        </w:tc>
        <w:tc>
          <w:tcPr>
            <w:tcW w:type="dxa" w:w="17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Minor</w:t>
            </w:r>
          </w:p>
        </w:tc>
      </w:tr>
      <w:tr>
        <w:tc>
          <w:tcPr>
            <w:tcW w:type="dxa" w:w="32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top_industry</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133</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0.09%</w:t>
            </w:r>
          </w:p>
        </w:tc>
        <w:tc>
          <w:tcPr>
            <w:tcW w:type="dxa" w:w="15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154,543</w:t>
            </w:r>
          </w:p>
        </w:tc>
        <w:tc>
          <w:tcPr>
            <w:tcW w:type="dxa" w:w="1700"/>
            <w:shd w:fill="FFFFFF"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Minor</w:t>
            </w:r>
          </w:p>
        </w:tc>
      </w:tr>
      <w:tr>
        <w:tc>
          <w:tcPr>
            <w:tcW w:type="dxa" w:w="32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industry_list</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133</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0.09%</w:t>
            </w:r>
          </w:p>
        </w:tc>
        <w:tc>
          <w:tcPr>
            <w:tcW w:type="dxa" w:w="15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154,543</w:t>
            </w:r>
          </w:p>
        </w:tc>
        <w:tc>
          <w:tcPr>
            <w:tcW w:type="dxa" w:w="1700"/>
            <w:shd w:fill="EDF2F8" w:color="auto" w:val="clear"/>
            <w:tcMar>
              <w:top w:type="dxa" w:w="60"/>
              <w:left w:type="dxa" w:w="100"/>
              <w:bottom w:type="dxa" w:w="60"/>
              <w:right w:type="dxa" w:w="100"/>
            </w:tcMar>
            <w:vAlign w:val="center"/>
          </w:tcPr>
          <w:p>
            <w:pPr>
              <w:jc w:val="center"/>
            </w:pPr>
            <w:r>
              <w:rPr>
                <w:rFonts w:ascii="Calibri" w:cs="Calibri" w:eastAsia="Calibri" w:hAnsi="Calibri"/>
                <w:b/>
                <w:bCs/>
                <w:color w:val="1E7A46"/>
                <w:sz w:val="19"/>
                <w:szCs w:val="19"/>
              </w:rPr>
              <w:t xml:space="preserve">Minor</w:t>
            </w:r>
          </w:p>
        </w:tc>
      </w:tr>
    </w:tbl>
    <w:p>
      <w:pPr>
        <w:spacing w:after="220" w:before="60"/>
      </w:pPr>
      <w:r>
        <w:rPr>
          <w:rFonts w:ascii="Calibri" w:cs="Calibri" w:eastAsia="Calibri" w:hAnsi="Calibri"/>
          <w:i/>
          <w:iCs/>
          <w:color w:val="595959"/>
          <w:sz w:val="18"/>
          <w:szCs w:val="18"/>
        </w:rPr>
        <w:t xml:space="preserve">Table 3.1 — 18 of 65 columns carry missing values; the remaining 47 are fully populated.</w:t>
      </w:r>
    </w:p>
    <w:p>
      <w:pPr>
        <w:spacing w:after="100" w:before="200"/>
      </w:pPr>
      <w:r>
        <w:rPr>
          <w:rFonts w:ascii="Calibri" w:cs="Calibri" w:eastAsia="Calibri" w:hAnsi="Calibri"/>
          <w:b/>
          <w:bCs/>
          <w:color w:val="1F3864"/>
          <w:sz w:val="21"/>
          <w:szCs w:val="21"/>
        </w:rPr>
        <w:t xml:space="preserve">Reading the pattern</w:t>
      </w:r>
    </w:p>
    <w:p>
      <w:pPr>
        <w:pStyle w:val="ListParagraph"/>
        <w:numPr>
          <w:ilvl w:val="0"/>
          <w:numId w:val="1"/>
        </w:numPr>
        <w:spacing w:after="90" w:line="280"/>
      </w:pPr>
      <w:r>
        <w:rPr>
          <w:rFonts w:ascii="Calibri" w:cs="Calibri" w:eastAsia="Calibri" w:hAnsi="Calibri"/>
          <w:b/>
          <w:bCs/>
          <w:color w:val="262626"/>
          <w:sz w:val="21"/>
          <w:szCs w:val="21"/>
        </w:rPr>
        <w:t xml:space="preserve">Critical (&gt;75% missing): </w:t>
      </w:r>
      <w:r>
        <w:rPr>
          <w:rFonts w:ascii="Calibri" w:cs="Calibri" w:eastAsia="Calibri" w:hAnsi="Calibri"/>
          <w:color w:val="262626"/>
          <w:sz w:val="21"/>
          <w:szCs w:val="21"/>
        </w:rPr>
        <w:t xml:space="preserve">closed_time (98.6%), unmapped__skills_desc (98.2%), med_salary (94.5%), benefit_list (74.2%), normalized_salary (77.0%) — these are structurally sparse; a posting simply doesn't generate this data unless a specific condition holds (e.g. med_salary is only populated when an employer reports a single midpoint instead of a range).</w:t>
      </w:r>
    </w:p>
    <w:p>
      <w:pPr>
        <w:pStyle w:val="ListParagraph"/>
        <w:numPr>
          <w:ilvl w:val="0"/>
          <w:numId w:val="1"/>
        </w:numPr>
        <w:spacing w:after="90" w:line="280"/>
      </w:pPr>
      <w:r>
        <w:rPr>
          <w:rFonts w:ascii="Calibri" w:cs="Calibri" w:eastAsia="Calibri" w:hAnsi="Calibri"/>
          <w:b/>
          <w:bCs/>
          <w:color w:val="262626"/>
          <w:sz w:val="21"/>
          <w:szCs w:val="21"/>
        </w:rPr>
        <w:t xml:space="preserve">Severe (40–75% missing): </w:t>
      </w:r>
      <w:r>
        <w:rPr>
          <w:rFonts w:ascii="Calibri" w:cs="Calibri" w:eastAsia="Calibri" w:hAnsi="Calibri"/>
          <w:color w:val="262626"/>
          <w:sz w:val="21"/>
          <w:szCs w:val="21"/>
        </w:rPr>
        <w:t xml:space="preserve">min_salary and max_salary (74.0% each) — the two are missing together in lockstep, consistent with employers either disclosing a full range or nothing at all.</w:t>
      </w:r>
    </w:p>
    <w:p>
      <w:pPr>
        <w:pStyle w:val="ListParagraph"/>
        <w:numPr>
          <w:ilvl w:val="0"/>
          <w:numId w:val="1"/>
        </w:numPr>
        <w:spacing w:after="90" w:line="280"/>
      </w:pPr>
      <w:r>
        <w:rPr>
          <w:rFonts w:ascii="Calibri" w:cs="Calibri" w:eastAsia="Calibri" w:hAnsi="Calibri"/>
          <w:b/>
          <w:bCs/>
          <w:color w:val="262626"/>
          <w:sz w:val="21"/>
          <w:szCs w:val="21"/>
        </w:rPr>
        <w:t xml:space="preserve">Moderate (10–40% missing): </w:t>
      </w:r>
      <w:r>
        <w:rPr>
          <w:rFonts w:ascii="Calibri" w:cs="Calibri" w:eastAsia="Calibri" w:hAnsi="Calibri"/>
          <w:color w:val="262626"/>
          <w:sz w:val="21"/>
          <w:szCs w:val="21"/>
        </w:rPr>
        <w:t xml:space="preserve">fips (38.3%), zip_code (34.2%), unmapped__posting_domain (33.1%), unmapped__application_url (30.2%), unmapped__company_name (21.0%), top_speciality / speciality_list (21.2%) — these thin out for postings with incomplete location or off-platform application flows.</w:t>
      </w:r>
    </w:p>
    <w:p>
      <w:pPr>
        <w:pStyle w:val="ListParagraph"/>
        <w:numPr>
          <w:ilvl w:val="0"/>
          <w:numId w:val="1"/>
        </w:numPr>
        <w:spacing w:after="90" w:line="280"/>
      </w:pPr>
      <w:r>
        <w:rPr>
          <w:rFonts w:ascii="Calibri" w:cs="Calibri" w:eastAsia="Calibri" w:hAnsi="Calibri"/>
          <w:b/>
          <w:bCs/>
          <w:color w:val="262626"/>
          <w:sz w:val="21"/>
          <w:szCs w:val="21"/>
        </w:rPr>
        <w:t xml:space="preserve">Minor (&lt;10% missing): </w:t>
      </w:r>
      <w:r>
        <w:rPr>
          <w:rFonts w:ascii="Calibri" w:cs="Calibri" w:eastAsia="Calibri" w:hAnsi="Calibri"/>
          <w:color w:val="262626"/>
          <w:sz w:val="21"/>
          <w:szCs w:val="21"/>
        </w:rPr>
        <w:t xml:space="preserve">skill_list (1.65%), top_industry / industry_list (0.086%), company_zip_code (0.18%) — negligible and safe to impute or drop-row without material data loss.</w:t>
      </w:r>
    </w:p>
    <w:p>
      <w:pPr>
        <w:pStyle w:val="Heading1"/>
        <w:pBdr>
          <w:bottom w:val="single" w:color="1F3864" w:sz="8" w:space="4"/>
        </w:pBdr>
        <w:spacing w:after="180" w:before="380"/>
      </w:pPr>
      <w:r>
        <w:rPr>
          <w:rFonts w:ascii="Calibri" w:cs="Calibri" w:eastAsia="Calibri" w:hAnsi="Calibri"/>
          <w:b/>
          <w:bCs/>
          <w:color w:val="1F3864"/>
          <w:sz w:val="30"/>
          <w:szCs w:val="30"/>
        </w:rPr>
        <w:t xml:space="preserve">4. Categorical / Object Column Cardinality</w:t>
      </w:r>
    </w:p>
    <w:p>
      <w:pPr>
        <w:spacing w:after="160" w:line="300"/>
      </w:pPr>
      <w:r>
        <w:rPr>
          <w:rFonts w:ascii="Calibri" w:cs="Calibri" w:eastAsia="Calibri" w:hAnsi="Calibri"/>
          <w:color w:val="262626"/>
          <w:sz w:val="21"/>
          <w:szCs w:val="21"/>
        </w:rPr>
        <w:t xml:space="preserve">Distinct-value counts for every category, string, and object column — informs one-hot vs. target/frequency encoding choices during feature engineering.</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100"/>
      </w:tblGrid>
      <w:tr>
        <w:trPr>
          <w:tblHeader/>
        </w:trPr>
        <w:tc>
          <w:tcPr>
            <w:tcW w:type="dxa" w:w="3000"/>
            <w:shd w:fill="1F386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Column</w:t>
            </w:r>
          </w:p>
        </w:tc>
        <w:tc>
          <w:tcPr>
            <w:tcW w:type="dxa" w:w="18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Distinct Values</w:t>
            </w:r>
          </w:p>
        </w:tc>
        <w:tc>
          <w:tcPr>
            <w:tcW w:type="dxa" w:w="41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Encoding Guidance</w:t>
            </w:r>
          </w:p>
        </w:tc>
      </w:tr>
      <w:tr>
        <w:tc>
          <w:tcPr>
            <w:tcW w:type="dxa" w:w="30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title</w:t>
            </w:r>
          </w:p>
        </w:tc>
        <w:tc>
          <w:tcPr>
            <w:tcW w:type="dxa" w:w="18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89,189</w:t>
            </w:r>
          </w:p>
        </w:tc>
        <w:tc>
          <w:tcPr>
            <w:tcW w:type="dxa" w:w="41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High cardinality free text/ID — hashing, embeddings, or aggregation needed.</w:t>
            </w:r>
          </w:p>
        </w:tc>
      </w:tr>
      <w:tr>
        <w:tc>
          <w:tcPr>
            <w:tcW w:type="dxa" w:w="30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description</w:t>
            </w:r>
          </w:p>
        </w:tc>
        <w:tc>
          <w:tcPr>
            <w:tcW w:type="dxa" w:w="18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134,852</w:t>
            </w:r>
          </w:p>
        </w:tc>
        <w:tc>
          <w:tcPr>
            <w:tcW w:type="dxa" w:w="41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High cardinality free text/ID — hashing, embeddings, or aggregation needed.</w:t>
            </w:r>
          </w:p>
        </w:tc>
      </w:tr>
      <w:tr>
        <w:tc>
          <w:tcPr>
            <w:tcW w:type="dxa" w:w="30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location</w:t>
            </w:r>
          </w:p>
        </w:tc>
        <w:tc>
          <w:tcPr>
            <w:tcW w:type="dxa" w:w="18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9,229</w:t>
            </w:r>
          </w:p>
        </w:tc>
        <w:tc>
          <w:tcPr>
            <w:tcW w:type="dxa" w:w="41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High cardinality free text/ID — hashing, embeddings, or aggregation needed.</w:t>
            </w:r>
          </w:p>
        </w:tc>
      </w:tr>
      <w:tr>
        <w:tc>
          <w:tcPr>
            <w:tcW w:type="dxa" w:w="30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pay_period</w:t>
            </w:r>
          </w:p>
        </w:tc>
        <w:tc>
          <w:tcPr>
            <w:tcW w:type="dxa" w:w="18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6</w:t>
            </w:r>
          </w:p>
        </w:tc>
        <w:tc>
          <w:tcPr>
            <w:tcW w:type="dxa" w:w="41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Very low cardinality — one-hot encode directly.</w:t>
            </w:r>
          </w:p>
        </w:tc>
      </w:tr>
      <w:tr>
        <w:tc>
          <w:tcPr>
            <w:tcW w:type="dxa" w:w="30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currency</w:t>
            </w:r>
          </w:p>
        </w:tc>
        <w:tc>
          <w:tcPr>
            <w:tcW w:type="dxa" w:w="18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5</w:t>
            </w:r>
          </w:p>
        </w:tc>
        <w:tc>
          <w:tcPr>
            <w:tcW w:type="dxa" w:w="41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Very low cardinality — one-hot encode directly.</w:t>
            </w:r>
          </w:p>
        </w:tc>
      </w:tr>
      <w:tr>
        <w:tc>
          <w:tcPr>
            <w:tcW w:type="dxa" w:w="30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compensation_type</w:t>
            </w:r>
          </w:p>
        </w:tc>
        <w:tc>
          <w:tcPr>
            <w:tcW w:type="dxa" w:w="18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w:t>
            </w:r>
          </w:p>
        </w:tc>
        <w:tc>
          <w:tcPr>
            <w:tcW w:type="dxa" w:w="41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Very low cardinality — one-hot encode directly.</w:t>
            </w:r>
          </w:p>
        </w:tc>
      </w:tr>
      <w:tr>
        <w:tc>
          <w:tcPr>
            <w:tcW w:type="dxa" w:w="30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formatted_work_type</w:t>
            </w:r>
          </w:p>
        </w:tc>
        <w:tc>
          <w:tcPr>
            <w:tcW w:type="dxa" w:w="18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7</w:t>
            </w:r>
          </w:p>
        </w:tc>
        <w:tc>
          <w:tcPr>
            <w:tcW w:type="dxa" w:w="41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Very low cardinality — one-hot encode directly.</w:t>
            </w:r>
          </w:p>
        </w:tc>
      </w:tr>
      <w:tr>
        <w:tc>
          <w:tcPr>
            <w:tcW w:type="dxa" w:w="30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work_type</w:t>
            </w:r>
          </w:p>
        </w:tc>
        <w:tc>
          <w:tcPr>
            <w:tcW w:type="dxa" w:w="18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7</w:t>
            </w:r>
          </w:p>
        </w:tc>
        <w:tc>
          <w:tcPr>
            <w:tcW w:type="dxa" w:w="41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Very low cardinality — one-hot encode directly.</w:t>
            </w:r>
          </w:p>
        </w:tc>
      </w:tr>
      <w:tr>
        <w:tc>
          <w:tcPr>
            <w:tcW w:type="dxa" w:w="30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formatted_experience_level</w:t>
            </w:r>
          </w:p>
        </w:tc>
        <w:tc>
          <w:tcPr>
            <w:tcW w:type="dxa" w:w="18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7</w:t>
            </w:r>
          </w:p>
        </w:tc>
        <w:tc>
          <w:tcPr>
            <w:tcW w:type="dxa" w:w="41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Very low cardinality — one-hot encode directly.</w:t>
            </w:r>
          </w:p>
        </w:tc>
      </w:tr>
      <w:tr>
        <w:tc>
          <w:tcPr>
            <w:tcW w:type="dxa" w:w="30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company_name</w:t>
            </w:r>
          </w:p>
        </w:tc>
        <w:tc>
          <w:tcPr>
            <w:tcW w:type="dxa" w:w="18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30,378</w:t>
            </w:r>
          </w:p>
        </w:tc>
        <w:tc>
          <w:tcPr>
            <w:tcW w:type="dxa" w:w="41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High cardinality free text/ID — hashing, embeddings, or aggregation needed.</w:t>
            </w:r>
          </w:p>
        </w:tc>
      </w:tr>
      <w:tr>
        <w:tc>
          <w:tcPr>
            <w:tcW w:type="dxa" w:w="30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company_description</w:t>
            </w:r>
          </w:p>
        </w:tc>
        <w:tc>
          <w:tcPr>
            <w:tcW w:type="dxa" w:w="18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31,039</w:t>
            </w:r>
          </w:p>
        </w:tc>
        <w:tc>
          <w:tcPr>
            <w:tcW w:type="dxa" w:w="41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High cardinality free text/ID — hashing, embeddings, or aggregation needed.</w:t>
            </w:r>
          </w:p>
        </w:tc>
      </w:tr>
      <w:tr>
        <w:tc>
          <w:tcPr>
            <w:tcW w:type="dxa" w:w="30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company_size</w:t>
            </w:r>
          </w:p>
        </w:tc>
        <w:tc>
          <w:tcPr>
            <w:tcW w:type="dxa" w:w="18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8</w:t>
            </w:r>
          </w:p>
        </w:tc>
        <w:tc>
          <w:tcPr>
            <w:tcW w:type="dxa" w:w="41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Very low cardinality — one-hot encode directly.</w:t>
            </w:r>
          </w:p>
        </w:tc>
      </w:tr>
      <w:tr>
        <w:tc>
          <w:tcPr>
            <w:tcW w:type="dxa" w:w="30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company_state</w:t>
            </w:r>
          </w:p>
        </w:tc>
        <w:tc>
          <w:tcPr>
            <w:tcW w:type="dxa" w:w="18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690</w:t>
            </w:r>
          </w:p>
        </w:tc>
        <w:tc>
          <w:tcPr>
            <w:tcW w:type="dxa" w:w="41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Moderate cardinality — target/frequency encoding recommended.</w:t>
            </w:r>
          </w:p>
        </w:tc>
      </w:tr>
      <w:tr>
        <w:tc>
          <w:tcPr>
            <w:tcW w:type="dxa" w:w="30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company_country</w:t>
            </w:r>
          </w:p>
        </w:tc>
        <w:tc>
          <w:tcPr>
            <w:tcW w:type="dxa" w:w="18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86</w:t>
            </w:r>
          </w:p>
        </w:tc>
        <w:tc>
          <w:tcPr>
            <w:tcW w:type="dxa" w:w="41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Low-moderate cardinality — one-hot or ordinal viable.</w:t>
            </w:r>
          </w:p>
        </w:tc>
      </w:tr>
      <w:tr>
        <w:tc>
          <w:tcPr>
            <w:tcW w:type="dxa" w:w="30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company_city</w:t>
            </w:r>
          </w:p>
        </w:tc>
        <w:tc>
          <w:tcPr>
            <w:tcW w:type="dxa" w:w="18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4,260</w:t>
            </w:r>
          </w:p>
        </w:tc>
        <w:tc>
          <w:tcPr>
            <w:tcW w:type="dxa" w:w="41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High cardinality free text/ID — hashing, embeddings, or aggregation needed.</w:t>
            </w:r>
          </w:p>
        </w:tc>
      </w:tr>
      <w:tr>
        <w:tc>
          <w:tcPr>
            <w:tcW w:type="dxa" w:w="30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company_address</w:t>
            </w:r>
          </w:p>
        </w:tc>
        <w:tc>
          <w:tcPr>
            <w:tcW w:type="dxa" w:w="18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23,939</w:t>
            </w:r>
          </w:p>
        </w:tc>
        <w:tc>
          <w:tcPr>
            <w:tcW w:type="dxa" w:w="41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High cardinality free text/ID — hashing, embeddings, or aggregation needed.</w:t>
            </w:r>
          </w:p>
        </w:tc>
      </w:tr>
      <w:tr>
        <w:tc>
          <w:tcPr>
            <w:tcW w:type="dxa" w:w="30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industry_list</w:t>
            </w:r>
          </w:p>
        </w:tc>
        <w:tc>
          <w:tcPr>
            <w:tcW w:type="dxa" w:w="18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5,360</w:t>
            </w:r>
          </w:p>
        </w:tc>
        <w:tc>
          <w:tcPr>
            <w:tcW w:type="dxa" w:w="41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High cardinality free text/ID — hashing, embeddings, or aggregation needed.</w:t>
            </w:r>
          </w:p>
        </w:tc>
      </w:tr>
      <w:tr>
        <w:tc>
          <w:tcPr>
            <w:tcW w:type="dxa" w:w="30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skill_list</w:t>
            </w:r>
          </w:p>
        </w:tc>
        <w:tc>
          <w:tcPr>
            <w:tcW w:type="dxa" w:w="18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2,302</w:t>
            </w:r>
          </w:p>
        </w:tc>
        <w:tc>
          <w:tcPr>
            <w:tcW w:type="dxa" w:w="41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High cardinality free text/ID — hashing, embeddings, or aggregation needed.</w:t>
            </w:r>
          </w:p>
        </w:tc>
      </w:tr>
      <w:tr>
        <w:tc>
          <w:tcPr>
            <w:tcW w:type="dxa" w:w="30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benefit_list</w:t>
            </w:r>
          </w:p>
        </w:tc>
        <w:tc>
          <w:tcPr>
            <w:tcW w:type="dxa" w:w="18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442</w:t>
            </w:r>
          </w:p>
        </w:tc>
        <w:tc>
          <w:tcPr>
            <w:tcW w:type="dxa" w:w="41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Moderate cardinality — target/frequency encoding recommended.</w:t>
            </w:r>
          </w:p>
        </w:tc>
      </w:tr>
      <w:tr>
        <w:tc>
          <w:tcPr>
            <w:tcW w:type="dxa" w:w="30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speciality_list</w:t>
            </w:r>
          </w:p>
        </w:tc>
        <w:tc>
          <w:tcPr>
            <w:tcW w:type="dxa" w:w="18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21,856</w:t>
            </w:r>
          </w:p>
        </w:tc>
        <w:tc>
          <w:tcPr>
            <w:tcW w:type="dxa" w:w="41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High cardinality free text/ID — hashing, embeddings, or aggregation needed.</w:t>
            </w:r>
          </w:p>
        </w:tc>
      </w:tr>
      <w:tr>
        <w:tc>
          <w:tcPr>
            <w:tcW w:type="dxa" w:w="30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dataset_version</w:t>
            </w:r>
          </w:p>
        </w:tc>
        <w:tc>
          <w:tcPr>
            <w:tcW w:type="dxa" w:w="18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2</w:t>
            </w:r>
          </w:p>
        </w:tc>
        <w:tc>
          <w:tcPr>
            <w:tcW w:type="dxa" w:w="41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Very low cardinality — one-hot encode directly.</w:t>
            </w:r>
          </w:p>
        </w:tc>
      </w:tr>
    </w:tbl>
    <w:p>
      <w:pPr>
        <w:spacing w:after="220" w:before="60"/>
      </w:pPr>
      <w:r>
        <w:rPr>
          <w:rFonts w:ascii="Calibri" w:cs="Calibri" w:eastAsia="Calibri" w:hAnsi="Calibri"/>
          <w:i/>
          <w:iCs/>
          <w:color w:val="595959"/>
          <w:sz w:val="18"/>
          <w:szCs w:val="18"/>
        </w:rPr>
        <w:t xml:space="preserve">Table 4.1 — Cardinality survey across all categorical/object columns.</w:t>
      </w:r>
    </w:p>
    <w:p>
      <w:pPr>
        <w:pStyle w:val="Heading1"/>
        <w:pBdr>
          <w:bottom w:val="single" w:color="1F3864" w:sz="8" w:space="4"/>
        </w:pBdr>
        <w:spacing w:after="180" w:before="380"/>
      </w:pPr>
      <w:r>
        <w:rPr>
          <w:rFonts w:ascii="Calibri" w:cs="Calibri" w:eastAsia="Calibri" w:hAnsi="Calibri"/>
          <w:b/>
          <w:bCs/>
          <w:color w:val="1F3864"/>
          <w:sz w:val="30"/>
          <w:szCs w:val="30"/>
        </w:rPr>
        <w:t xml:space="preserve">5. Reference: Fixed Category Levels</w:t>
      </w:r>
    </w:p>
    <w:p>
      <w:pPr>
        <w:spacing w:after="160" w:line="300"/>
      </w:pPr>
      <w:r>
        <w:rPr>
          <w:rFonts w:ascii="Calibri" w:cs="Calibri" w:eastAsia="Calibri" w:hAnsi="Calibri"/>
          <w:color w:val="262626"/>
          <w:sz w:val="21"/>
          <w:szCs w:val="21"/>
        </w:rPr>
        <w:t xml:space="preserve">For the low-cardinality categorical fields, the full set of levels observed in the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1F386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Field</w:t>
            </w:r>
          </w:p>
        </w:tc>
        <w:tc>
          <w:tcPr>
            <w:tcW w:type="dxa" w:w="62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Observed Levels</w:t>
            </w:r>
          </w:p>
        </w:tc>
      </w:tr>
      <w:tr>
        <w:tc>
          <w:tcPr>
            <w:tcW w:type="dxa" w:w="2800"/>
            <w:shd w:fill="FFFFFF" w:color="auto" w:val="clear"/>
            <w:tcMar>
              <w:top w:type="dxa" w:w="60"/>
              <w:left w:type="dxa" w:w="100"/>
              <w:bottom w:type="dxa" w:w="60"/>
              <w:right w:type="dxa" w:w="100"/>
            </w:tcMar>
            <w:vAlign w:val="center"/>
          </w:tcPr>
          <w:p>
            <w:pPr>
              <w:jc w:val="left"/>
            </w:pPr>
            <w:r>
              <w:rPr>
                <w:rFonts w:ascii="Calibri" w:cs="Calibri" w:eastAsia="Calibri" w:hAnsi="Calibri"/>
                <w:b/>
                <w:bCs/>
                <w:color w:val="262626"/>
                <w:sz w:val="19"/>
                <w:szCs w:val="19"/>
              </w:rPr>
              <w:t xml:space="preserve">formatted_work_type / work_type</w:t>
            </w:r>
          </w:p>
        </w:tc>
        <w:tc>
          <w:tcPr>
            <w:tcW w:type="dxa" w:w="62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contract, full-time (full_time), internship, other, part-time, temporary, volunteer</w:t>
            </w:r>
          </w:p>
        </w:tc>
      </w:tr>
      <w:tr>
        <w:tc>
          <w:tcPr>
            <w:tcW w:type="dxa" w:w="2800"/>
            <w:shd w:fill="EDF2F8" w:color="auto" w:val="clear"/>
            <w:tcMar>
              <w:top w:type="dxa" w:w="60"/>
              <w:left w:type="dxa" w:w="100"/>
              <w:bottom w:type="dxa" w:w="60"/>
              <w:right w:type="dxa" w:w="100"/>
            </w:tcMar>
            <w:vAlign w:val="center"/>
          </w:tcPr>
          <w:p>
            <w:pPr>
              <w:jc w:val="left"/>
            </w:pPr>
            <w:r>
              <w:rPr>
                <w:rFonts w:ascii="Calibri" w:cs="Calibri" w:eastAsia="Calibri" w:hAnsi="Calibri"/>
                <w:b/>
                <w:bCs/>
                <w:color w:val="262626"/>
                <w:sz w:val="19"/>
                <w:szCs w:val="19"/>
              </w:rPr>
              <w:t xml:space="preserve">pay_period / listed_pay_period</w:t>
            </w:r>
          </w:p>
        </w:tc>
        <w:tc>
          <w:tcPr>
            <w:tcW w:type="dxa" w:w="62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biweekly, hourly, monthly, once, weekly, yearly</w:t>
            </w:r>
          </w:p>
        </w:tc>
      </w:tr>
      <w:tr>
        <w:tc>
          <w:tcPr>
            <w:tcW w:type="dxa" w:w="2800"/>
            <w:shd w:fill="FFFFFF" w:color="auto" w:val="clear"/>
            <w:tcMar>
              <w:top w:type="dxa" w:w="60"/>
              <w:left w:type="dxa" w:w="100"/>
              <w:bottom w:type="dxa" w:w="60"/>
              <w:right w:type="dxa" w:w="100"/>
            </w:tcMar>
            <w:vAlign w:val="center"/>
          </w:tcPr>
          <w:p>
            <w:pPr>
              <w:jc w:val="left"/>
            </w:pPr>
            <w:r>
              <w:rPr>
                <w:rFonts w:ascii="Calibri" w:cs="Calibri" w:eastAsia="Calibri" w:hAnsi="Calibri"/>
                <w:b/>
                <w:bCs/>
                <w:color w:val="262626"/>
                <w:sz w:val="19"/>
                <w:szCs w:val="19"/>
              </w:rPr>
              <w:t xml:space="preserve">currency / listed_currency</w:t>
            </w:r>
          </w:p>
        </w:tc>
        <w:tc>
          <w:tcPr>
            <w:tcW w:type="dxa" w:w="62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bbd, cad, eur, gbp, usd  (usd = 154,663 of 154,676 rows — near-constant)</w:t>
            </w:r>
          </w:p>
        </w:tc>
      </w:tr>
      <w:tr>
        <w:tc>
          <w:tcPr>
            <w:tcW w:type="dxa" w:w="2800"/>
            <w:shd w:fill="EDF2F8" w:color="auto" w:val="clear"/>
            <w:tcMar>
              <w:top w:type="dxa" w:w="60"/>
              <w:left w:type="dxa" w:w="100"/>
              <w:bottom w:type="dxa" w:w="60"/>
              <w:right w:type="dxa" w:w="100"/>
            </w:tcMar>
            <w:vAlign w:val="center"/>
          </w:tcPr>
          <w:p>
            <w:pPr>
              <w:jc w:val="left"/>
            </w:pPr>
            <w:r>
              <w:rPr>
                <w:rFonts w:ascii="Calibri" w:cs="Calibri" w:eastAsia="Calibri" w:hAnsi="Calibri"/>
                <w:b/>
                <w:bCs/>
                <w:color w:val="262626"/>
                <w:sz w:val="19"/>
                <w:szCs w:val="19"/>
              </w:rPr>
              <w:t xml:space="preserve">formatted_experience_level</w:t>
            </w:r>
          </w:p>
        </w:tc>
        <w:tc>
          <w:tcPr>
            <w:tcW w:type="dxa" w:w="62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associate, director, entry level, executive, internship, mid-senior level, unknown</w:t>
            </w:r>
          </w:p>
        </w:tc>
      </w:tr>
      <w:tr>
        <w:tc>
          <w:tcPr>
            <w:tcW w:type="dxa" w:w="2800"/>
            <w:shd w:fill="FFFFFF" w:color="auto" w:val="clear"/>
            <w:tcMar>
              <w:top w:type="dxa" w:w="60"/>
              <w:left w:type="dxa" w:w="100"/>
              <w:bottom w:type="dxa" w:w="60"/>
              <w:right w:type="dxa" w:w="100"/>
            </w:tcMar>
            <w:vAlign w:val="center"/>
          </w:tcPr>
          <w:p>
            <w:pPr>
              <w:jc w:val="left"/>
            </w:pPr>
            <w:r>
              <w:rPr>
                <w:rFonts w:ascii="Calibri" w:cs="Calibri" w:eastAsia="Calibri" w:hAnsi="Calibri"/>
                <w:b/>
                <w:bCs/>
                <w:color w:val="262626"/>
                <w:sz w:val="19"/>
                <w:szCs w:val="19"/>
              </w:rPr>
              <w:t xml:space="preserve">company_size</w:t>
            </w:r>
          </w:p>
        </w:tc>
        <w:tc>
          <w:tcPr>
            <w:tcW w:type="dxa" w:w="62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1.0, 2.0, 3.0, 4.0, 5.0, 6.0, 7.0, unknown  (stored as string-encoded numeric buckets)</w:t>
            </w:r>
          </w:p>
        </w:tc>
      </w:tr>
      <w:tr>
        <w:tc>
          <w:tcPr>
            <w:tcW w:type="dxa" w:w="2800"/>
            <w:shd w:fill="EDF2F8" w:color="auto" w:val="clear"/>
            <w:tcMar>
              <w:top w:type="dxa" w:w="60"/>
              <w:left w:type="dxa" w:w="100"/>
              <w:bottom w:type="dxa" w:w="60"/>
              <w:right w:type="dxa" w:w="100"/>
            </w:tcMar>
            <w:vAlign w:val="center"/>
          </w:tcPr>
          <w:p>
            <w:pPr>
              <w:jc w:val="left"/>
            </w:pPr>
            <w:r>
              <w:rPr>
                <w:rFonts w:ascii="Calibri" w:cs="Calibri" w:eastAsia="Calibri" w:hAnsi="Calibri"/>
                <w:b/>
                <w:bCs/>
                <w:color w:val="262626"/>
                <w:sz w:val="19"/>
                <w:szCs w:val="19"/>
              </w:rPr>
              <w:t xml:space="preserve">dataset_version</w:t>
            </w:r>
          </w:p>
        </w:tc>
        <w:tc>
          <w:tcPr>
            <w:tcW w:type="dxa" w:w="62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Version_9, Version_13</w:t>
            </w:r>
          </w:p>
        </w:tc>
      </w:tr>
      <w:tr>
        <w:tc>
          <w:tcPr>
            <w:tcW w:type="dxa" w:w="2800"/>
            <w:shd w:fill="FFFFFF" w:color="auto" w:val="clear"/>
            <w:tcMar>
              <w:top w:type="dxa" w:w="60"/>
              <w:left w:type="dxa" w:w="100"/>
              <w:bottom w:type="dxa" w:w="60"/>
              <w:right w:type="dxa" w:w="100"/>
            </w:tcMar>
            <w:vAlign w:val="center"/>
          </w:tcPr>
          <w:p>
            <w:pPr>
              <w:jc w:val="left"/>
            </w:pPr>
            <w:r>
              <w:rPr>
                <w:rFonts w:ascii="Calibri" w:cs="Calibri" w:eastAsia="Calibri" w:hAnsi="Calibri"/>
                <w:b/>
                <w:bCs/>
                <w:color w:val="262626"/>
                <w:sz w:val="19"/>
                <w:szCs w:val="19"/>
              </w:rPr>
              <w:t xml:space="preserve">compensation_type / listed_compensation_type</w:t>
            </w:r>
          </w:p>
        </w:tc>
        <w:tc>
          <w:tcPr>
            <w:tcW w:type="dxa" w:w="62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base_salary  (single constant level)</w:t>
            </w:r>
          </w:p>
        </w:tc>
      </w:tr>
    </w:tbl>
    <w:p>
      <w:pPr>
        <w:spacing w:after="220" w:before="60"/>
      </w:pPr>
      <w:r>
        <w:rPr>
          <w:rFonts w:ascii="Calibri" w:cs="Calibri" w:eastAsia="Calibri" w:hAnsi="Calibri"/>
          <w:i/>
          <w:iCs/>
          <w:color w:val="595959"/>
          <w:sz w:val="18"/>
          <w:szCs w:val="18"/>
        </w:rPr>
        <w:t xml:space="preserve">Table 5.1 — Full category vocabularies for low-cardinality fields.</w:t>
      </w:r>
    </w:p>
    <w:p>
      <w:r>
        <w:br w:type="page"/>
      </w:r>
    </w:p>
    <w:p>
      <w:pPr>
        <w:pStyle w:val="Heading1"/>
        <w:pBdr>
          <w:bottom w:val="single" w:color="1F3864" w:sz="8" w:space="4"/>
        </w:pBdr>
        <w:spacing w:after="180" w:before="380"/>
      </w:pPr>
      <w:r>
        <w:rPr>
          <w:rFonts w:ascii="Calibri" w:cs="Calibri" w:eastAsia="Calibri" w:hAnsi="Calibri"/>
          <w:b/>
          <w:bCs/>
          <w:color w:val="1F3864"/>
          <w:sz w:val="30"/>
          <w:szCs w:val="30"/>
        </w:rPr>
        <w:t xml:space="preserve">6. Numeric Feature Summary Statistics</w:t>
      </w:r>
    </w:p>
    <w:p>
      <w:pPr>
        <w:spacing w:after="160" w:line="300"/>
      </w:pPr>
      <w:r>
        <w:rPr>
          <w:rFonts w:ascii="Calibri" w:cs="Calibri" w:eastAsia="Calibri" w:hAnsi="Calibri"/>
          <w:color w:val="262626"/>
          <w:sz w:val="21"/>
          <w:szCs w:val="21"/>
        </w:rPr>
        <w:t xml:space="preserve">Descriptive statistics for the 18 numeric columns. Values are as-is (pre-cleaning) — several show extreme outliers noted in Section 7.</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300"/>
        <w:gridCol w:w="1000"/>
        <w:gridCol w:w="900"/>
        <w:gridCol w:w="900"/>
        <w:gridCol w:w="900"/>
        <w:gridCol w:w="1300"/>
      </w:tblGrid>
      <w:tr>
        <w:trPr>
          <w:tblHeader/>
        </w:trPr>
        <w:tc>
          <w:tcPr>
            <w:tcW w:type="dxa" w:w="1900"/>
            <w:shd w:fill="1F3864" w:color="auto"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Column</w:t>
            </w:r>
          </w:p>
        </w:tc>
        <w:tc>
          <w:tcPr>
            <w:tcW w:type="dxa" w:w="10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Count</w:t>
            </w:r>
          </w:p>
        </w:tc>
        <w:tc>
          <w:tcPr>
            <w:tcW w:type="dxa" w:w="13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Mean</w:t>
            </w:r>
          </w:p>
        </w:tc>
        <w:tc>
          <w:tcPr>
            <w:tcW w:type="dxa" w:w="10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Min</w:t>
            </w:r>
          </w:p>
        </w:tc>
        <w:tc>
          <w:tcPr>
            <w:tcW w:type="dxa" w:w="9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25%</w:t>
            </w:r>
          </w:p>
        </w:tc>
        <w:tc>
          <w:tcPr>
            <w:tcW w:type="dxa" w:w="9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50%</w:t>
            </w:r>
          </w:p>
        </w:tc>
        <w:tc>
          <w:tcPr>
            <w:tcW w:type="dxa" w:w="9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75%</w:t>
            </w:r>
          </w:p>
        </w:tc>
        <w:tc>
          <w:tcPr>
            <w:tcW w:type="dxa" w:w="1300"/>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Max</w:t>
            </w:r>
          </w:p>
        </w:tc>
      </w:tr>
      <w:tr>
        <w:tc>
          <w:tcPr>
            <w:tcW w:type="dxa" w:w="19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views</w:t>
            </w:r>
          </w:p>
        </w:tc>
        <w:tc>
          <w:tcPr>
            <w:tcW w:type="dxa" w:w="10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21.29</w:t>
            </w:r>
          </w:p>
        </w:tc>
        <w:tc>
          <w:tcPr>
            <w:tcW w:type="dxa" w:w="10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w:t>
            </w:r>
          </w:p>
        </w:tc>
        <w:tc>
          <w:tcPr>
            <w:tcW w:type="dxa" w:w="9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3</w:t>
            </w:r>
          </w:p>
        </w:tc>
        <w:tc>
          <w:tcPr>
            <w:tcW w:type="dxa" w:w="9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5</w:t>
            </w:r>
          </w:p>
        </w:tc>
        <w:tc>
          <w:tcPr>
            <w:tcW w:type="dxa" w:w="9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10</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9,975</w:t>
            </w:r>
          </w:p>
        </w:tc>
      </w:tr>
      <w:tr>
        <w:tc>
          <w:tcPr>
            <w:tcW w:type="dxa" w:w="19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applies</w:t>
            </w:r>
          </w:p>
        </w:tc>
        <w:tc>
          <w:tcPr>
            <w:tcW w:type="dxa" w:w="10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5.75</w:t>
            </w:r>
          </w:p>
        </w:tc>
        <w:tc>
          <w:tcPr>
            <w:tcW w:type="dxa" w:w="10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w:t>
            </w:r>
          </w:p>
        </w:tc>
        <w:tc>
          <w:tcPr>
            <w:tcW w:type="dxa" w:w="9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3</w:t>
            </w:r>
          </w:p>
        </w:tc>
        <w:tc>
          <w:tcPr>
            <w:tcW w:type="dxa" w:w="9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3</w:t>
            </w:r>
          </w:p>
        </w:tc>
        <w:tc>
          <w:tcPr>
            <w:tcW w:type="dxa" w:w="9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3</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1,615</w:t>
            </w:r>
          </w:p>
        </w:tc>
      </w:tr>
      <w:tr>
        <w:tc>
          <w:tcPr>
            <w:tcW w:type="dxa" w:w="19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min_salary</w:t>
            </w:r>
          </w:p>
        </w:tc>
        <w:tc>
          <w:tcPr>
            <w:tcW w:type="dxa" w:w="10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40,243</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64,479.14</w:t>
            </w:r>
          </w:p>
        </w:tc>
        <w:tc>
          <w:tcPr>
            <w:tcW w:type="dxa" w:w="10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w:t>
            </w:r>
          </w:p>
        </w:tc>
        <w:tc>
          <w:tcPr>
            <w:tcW w:type="dxa" w:w="9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38.63</w:t>
            </w:r>
          </w:p>
        </w:tc>
        <w:tc>
          <w:tcPr>
            <w:tcW w:type="dxa" w:w="9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61,110</w:t>
            </w:r>
          </w:p>
        </w:tc>
        <w:tc>
          <w:tcPr>
            <w:tcW w:type="dxa" w:w="9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100,000</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85,000,000</w:t>
            </w:r>
          </w:p>
        </w:tc>
      </w:tr>
      <w:tr>
        <w:tc>
          <w:tcPr>
            <w:tcW w:type="dxa" w:w="19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med_salary</w:t>
            </w:r>
          </w:p>
        </w:tc>
        <w:tc>
          <w:tcPr>
            <w:tcW w:type="dxa" w:w="10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8,436</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24,762.27</w:t>
            </w:r>
          </w:p>
        </w:tc>
        <w:tc>
          <w:tcPr>
            <w:tcW w:type="dxa" w:w="10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9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18.85</w:t>
            </w:r>
          </w:p>
        </w:tc>
        <w:tc>
          <w:tcPr>
            <w:tcW w:type="dxa" w:w="9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26</w:t>
            </w:r>
          </w:p>
        </w:tc>
        <w:tc>
          <w:tcPr>
            <w:tcW w:type="dxa" w:w="9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5,000</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998,426</w:t>
            </w:r>
          </w:p>
        </w:tc>
      </w:tr>
      <w:tr>
        <w:tc>
          <w:tcPr>
            <w:tcW w:type="dxa" w:w="19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max_salary</w:t>
            </w:r>
          </w:p>
        </w:tc>
        <w:tc>
          <w:tcPr>
            <w:tcW w:type="dxa" w:w="10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40,243</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91,389.70</w:t>
            </w:r>
          </w:p>
        </w:tc>
        <w:tc>
          <w:tcPr>
            <w:tcW w:type="dxa" w:w="10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w:t>
            </w:r>
          </w:p>
        </w:tc>
        <w:tc>
          <w:tcPr>
            <w:tcW w:type="dxa" w:w="9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50</w:t>
            </w:r>
          </w:p>
        </w:tc>
        <w:tc>
          <w:tcPr>
            <w:tcW w:type="dxa" w:w="9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81,000</w:t>
            </w:r>
          </w:p>
        </w:tc>
        <w:tc>
          <w:tcPr>
            <w:tcW w:type="dxa" w:w="9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140,000</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120,000,000</w:t>
            </w:r>
          </w:p>
        </w:tc>
      </w:tr>
      <w:tr>
        <w:tc>
          <w:tcPr>
            <w:tcW w:type="dxa" w:w="19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normalized_salary</w:t>
            </w:r>
          </w:p>
        </w:tc>
        <w:tc>
          <w:tcPr>
            <w:tcW w:type="dxa" w:w="10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35,563</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207,007.15</w:t>
            </w:r>
          </w:p>
        </w:tc>
        <w:tc>
          <w:tcPr>
            <w:tcW w:type="dxa" w:w="10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9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52,000</w:t>
            </w:r>
          </w:p>
        </w:tc>
        <w:tc>
          <w:tcPr>
            <w:tcW w:type="dxa" w:w="9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81,850</w:t>
            </w:r>
          </w:p>
        </w:tc>
        <w:tc>
          <w:tcPr>
            <w:tcW w:type="dxa" w:w="9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125,000</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535,600,000</w:t>
            </w:r>
          </w:p>
        </w:tc>
      </w:tr>
      <w:tr>
        <w:tc>
          <w:tcPr>
            <w:tcW w:type="dxa" w:w="19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fips</w:t>
            </w:r>
          </w:p>
        </w:tc>
        <w:tc>
          <w:tcPr>
            <w:tcW w:type="dxa" w:w="10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95,393</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28,723.54</w:t>
            </w:r>
          </w:p>
        </w:tc>
        <w:tc>
          <w:tcPr>
            <w:tcW w:type="dxa" w:w="10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1,003</w:t>
            </w:r>
          </w:p>
        </w:tc>
        <w:tc>
          <w:tcPr>
            <w:tcW w:type="dxa" w:w="9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13,121</w:t>
            </w:r>
          </w:p>
        </w:tc>
        <w:tc>
          <w:tcPr>
            <w:tcW w:type="dxa" w:w="9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29,183</w:t>
            </w:r>
          </w:p>
        </w:tc>
        <w:tc>
          <w:tcPr>
            <w:tcW w:type="dxa" w:w="9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42,079</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56,045</w:t>
            </w:r>
          </w:p>
        </w:tc>
      </w:tr>
      <w:tr>
        <w:tc>
          <w:tcPr>
            <w:tcW w:type="dxa" w:w="19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unmapped__scraped</w:t>
            </w:r>
          </w:p>
        </w:tc>
        <w:tc>
          <w:tcPr>
            <w:tcW w:type="dxa" w:w="10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1,529,023,615.87</w:t>
            </w:r>
          </w:p>
        </w:tc>
        <w:tc>
          <w:tcPr>
            <w:tcW w:type="dxa" w:w="10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w:t>
            </w:r>
          </w:p>
        </w:tc>
        <w:tc>
          <w:tcPr>
            <w:tcW w:type="dxa" w:w="9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1,698,996,154</w:t>
            </w:r>
          </w:p>
        </w:tc>
        <w:tc>
          <w:tcPr>
            <w:tcW w:type="dxa" w:w="9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1,698,996,154</w:t>
            </w:r>
          </w:p>
        </w:tc>
        <w:tc>
          <w:tcPr>
            <w:tcW w:type="dxa" w:w="9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1,698,996,154</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1,699,139,828</w:t>
            </w:r>
          </w:p>
        </w:tc>
      </w:tr>
      <w:tr>
        <w:tc>
          <w:tcPr>
            <w:tcW w:type="dxa" w:w="19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company_employee_count</w:t>
            </w:r>
          </w:p>
        </w:tc>
        <w:tc>
          <w:tcPr>
            <w:tcW w:type="dxa" w:w="10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17,074.58</w:t>
            </w:r>
          </w:p>
        </w:tc>
        <w:tc>
          <w:tcPr>
            <w:tcW w:type="dxa" w:w="10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9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186</w:t>
            </w:r>
          </w:p>
        </w:tc>
        <w:tc>
          <w:tcPr>
            <w:tcW w:type="dxa" w:w="9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1,633</w:t>
            </w:r>
          </w:p>
        </w:tc>
        <w:tc>
          <w:tcPr>
            <w:tcW w:type="dxa" w:w="9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10,516</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810,296</w:t>
            </w:r>
          </w:p>
        </w:tc>
      </w:tr>
      <w:tr>
        <w:tc>
          <w:tcPr>
            <w:tcW w:type="dxa" w:w="19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company_follower_count</w:t>
            </w:r>
          </w:p>
        </w:tc>
        <w:tc>
          <w:tcPr>
            <w:tcW w:type="dxa" w:w="10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508,435.47</w:t>
            </w:r>
          </w:p>
        </w:tc>
        <w:tc>
          <w:tcPr>
            <w:tcW w:type="dxa" w:w="10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9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11,520.5</w:t>
            </w:r>
          </w:p>
        </w:tc>
        <w:tc>
          <w:tcPr>
            <w:tcW w:type="dxa" w:w="9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50,034</w:t>
            </w:r>
          </w:p>
        </w:tc>
        <w:tc>
          <w:tcPr>
            <w:tcW w:type="dxa" w:w="9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207,209</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32,702,835</w:t>
            </w:r>
          </w:p>
        </w:tc>
      </w:tr>
      <w:tr>
        <w:tc>
          <w:tcPr>
            <w:tcW w:type="dxa" w:w="19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company_employee_count_recorded_at</w:t>
            </w:r>
          </w:p>
        </w:tc>
        <w:tc>
          <w:tcPr>
            <w:tcW w:type="dxa" w:w="10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1,710,082,076.88</w:t>
            </w:r>
          </w:p>
        </w:tc>
        <w:tc>
          <w:tcPr>
            <w:tcW w:type="dxa" w:w="10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1,692,644,648.83</w:t>
            </w:r>
          </w:p>
        </w:tc>
        <w:tc>
          <w:tcPr>
            <w:tcW w:type="dxa" w:w="9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1,712,637,940</w:t>
            </w:r>
          </w:p>
        </w:tc>
        <w:tc>
          <w:tcPr>
            <w:tcW w:type="dxa" w:w="9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1,713,458,577</w:t>
            </w:r>
          </w:p>
        </w:tc>
        <w:tc>
          <w:tcPr>
            <w:tcW w:type="dxa" w:w="9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1,713,537,056</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1,713,572,859</w:t>
            </w:r>
          </w:p>
        </w:tc>
      </w:tr>
      <w:tr>
        <w:tc>
          <w:tcPr>
            <w:tcW w:type="dxa" w:w="19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listed_max_salary</w:t>
            </w:r>
          </w:p>
        </w:tc>
        <w:tc>
          <w:tcPr>
            <w:tcW w:type="dxa" w:w="10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129,758.70</w:t>
            </w:r>
          </w:p>
        </w:tc>
        <w:tc>
          <w:tcPr>
            <w:tcW w:type="dxa" w:w="10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w:t>
            </w:r>
          </w:p>
        </w:tc>
        <w:tc>
          <w:tcPr>
            <w:tcW w:type="dxa" w:w="9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81,100</w:t>
            </w:r>
          </w:p>
        </w:tc>
        <w:tc>
          <w:tcPr>
            <w:tcW w:type="dxa" w:w="9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81,100</w:t>
            </w:r>
          </w:p>
        </w:tc>
        <w:tc>
          <w:tcPr>
            <w:tcW w:type="dxa" w:w="9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81,100</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7,000,090,000</w:t>
            </w:r>
          </w:p>
        </w:tc>
      </w:tr>
      <w:tr>
        <w:tc>
          <w:tcPr>
            <w:tcW w:type="dxa" w:w="19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listed_med_salary</w:t>
            </w:r>
          </w:p>
        </w:tc>
        <w:tc>
          <w:tcPr>
            <w:tcW w:type="dxa" w:w="10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1,375.11</w:t>
            </w:r>
          </w:p>
        </w:tc>
        <w:tc>
          <w:tcPr>
            <w:tcW w:type="dxa" w:w="10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9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26</w:t>
            </w:r>
          </w:p>
        </w:tc>
        <w:tc>
          <w:tcPr>
            <w:tcW w:type="dxa" w:w="9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26</w:t>
            </w:r>
          </w:p>
        </w:tc>
        <w:tc>
          <w:tcPr>
            <w:tcW w:type="dxa" w:w="9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26</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998,426</w:t>
            </w:r>
          </w:p>
        </w:tc>
      </w:tr>
      <w:tr>
        <w:tc>
          <w:tcPr>
            <w:tcW w:type="dxa" w:w="19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listed_min_salary</w:t>
            </w:r>
          </w:p>
        </w:tc>
        <w:tc>
          <w:tcPr>
            <w:tcW w:type="dxa" w:w="10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61,986.57</w:t>
            </w:r>
          </w:p>
        </w:tc>
        <w:tc>
          <w:tcPr>
            <w:tcW w:type="dxa" w:w="10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w:t>
            </w:r>
          </w:p>
        </w:tc>
        <w:tc>
          <w:tcPr>
            <w:tcW w:type="dxa" w:w="9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61,110</w:t>
            </w:r>
          </w:p>
        </w:tc>
        <w:tc>
          <w:tcPr>
            <w:tcW w:type="dxa" w:w="9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61,110</w:t>
            </w:r>
          </w:p>
        </w:tc>
        <w:tc>
          <w:tcPr>
            <w:tcW w:type="dxa" w:w="9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61,110</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85,000,000</w:t>
            </w:r>
          </w:p>
        </w:tc>
      </w:tr>
      <w:tr>
        <w:tc>
          <w:tcPr>
            <w:tcW w:type="dxa" w:w="19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industry_count</w:t>
            </w:r>
          </w:p>
        </w:tc>
        <w:tc>
          <w:tcPr>
            <w:tcW w:type="dxa" w:w="10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1.30</w:t>
            </w:r>
          </w:p>
        </w:tc>
        <w:tc>
          <w:tcPr>
            <w:tcW w:type="dxa" w:w="10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9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w:t>
            </w:r>
          </w:p>
        </w:tc>
        <w:tc>
          <w:tcPr>
            <w:tcW w:type="dxa" w:w="9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w:t>
            </w:r>
          </w:p>
        </w:tc>
        <w:tc>
          <w:tcPr>
            <w:tcW w:type="dxa" w:w="9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3</w:t>
            </w:r>
          </w:p>
        </w:tc>
      </w:tr>
      <w:tr>
        <w:tc>
          <w:tcPr>
            <w:tcW w:type="dxa" w:w="19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skill_count</w:t>
            </w:r>
          </w:p>
        </w:tc>
        <w:tc>
          <w:tcPr>
            <w:tcW w:type="dxa" w:w="10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1.67</w:t>
            </w:r>
          </w:p>
        </w:tc>
        <w:tc>
          <w:tcPr>
            <w:tcW w:type="dxa" w:w="10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9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w:t>
            </w:r>
          </w:p>
        </w:tc>
        <w:tc>
          <w:tcPr>
            <w:tcW w:type="dxa" w:w="9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2</w:t>
            </w:r>
          </w:p>
        </w:tc>
        <w:tc>
          <w:tcPr>
            <w:tcW w:type="dxa" w:w="9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2</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3</w:t>
            </w:r>
          </w:p>
        </w:tc>
      </w:tr>
      <w:tr>
        <w:tc>
          <w:tcPr>
            <w:tcW w:type="dxa" w:w="1900"/>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benefit_count</w:t>
            </w:r>
          </w:p>
        </w:tc>
        <w:tc>
          <w:tcPr>
            <w:tcW w:type="dxa" w:w="10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0.60</w:t>
            </w:r>
          </w:p>
        </w:tc>
        <w:tc>
          <w:tcPr>
            <w:tcW w:type="dxa" w:w="10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9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9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9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w:t>
            </w:r>
          </w:p>
        </w:tc>
        <w:tc>
          <w:tcPr>
            <w:tcW w:type="dxa" w:w="1300"/>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10</w:t>
            </w:r>
          </w:p>
        </w:tc>
      </w:tr>
      <w:tr>
        <w:tc>
          <w:tcPr>
            <w:tcW w:type="dxa" w:w="1900"/>
            <w:shd w:fill="EDF2F8" w:color="auto" w:val="clear"/>
            <w:tcMar>
              <w:top w:type="dxa" w:w="60"/>
              <w:left w:type="dxa" w:w="100"/>
              <w:bottom w:type="dxa" w:w="60"/>
              <w:right w:type="dxa" w:w="100"/>
            </w:tcMar>
            <w:vAlign w:val="center"/>
          </w:tcPr>
          <w:p>
            <w:pPr>
              <w:jc w:val="left"/>
            </w:pPr>
            <w:r>
              <w:rPr>
                <w:rFonts w:ascii="Calibri" w:cs="Calibri" w:eastAsia="Calibri" w:hAnsi="Calibri"/>
                <w:b w:val="false"/>
                <w:bCs w:val="false"/>
                <w:color w:val="262626"/>
                <w:sz w:val="19"/>
                <w:szCs w:val="19"/>
              </w:rPr>
              <w:t xml:space="preserve">speciality_count</w:t>
            </w:r>
          </w:p>
        </w:tc>
        <w:tc>
          <w:tcPr>
            <w:tcW w:type="dxa" w:w="10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154,676</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5.70</w:t>
            </w:r>
          </w:p>
        </w:tc>
        <w:tc>
          <w:tcPr>
            <w:tcW w:type="dxa" w:w="10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0</w:t>
            </w:r>
          </w:p>
        </w:tc>
        <w:tc>
          <w:tcPr>
            <w:tcW w:type="dxa" w:w="9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2</w:t>
            </w:r>
          </w:p>
        </w:tc>
        <w:tc>
          <w:tcPr>
            <w:tcW w:type="dxa" w:w="9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6</w:t>
            </w:r>
          </w:p>
        </w:tc>
        <w:tc>
          <w:tcPr>
            <w:tcW w:type="dxa" w:w="9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10</w:t>
            </w:r>
          </w:p>
        </w:tc>
        <w:tc>
          <w:tcPr>
            <w:tcW w:type="dxa" w:w="1300"/>
            <w:shd w:fill="EDF2F8" w:color="auto" w:val="clear"/>
            <w:tcMar>
              <w:top w:type="dxa" w:w="60"/>
              <w:left w:type="dxa" w:w="100"/>
              <w:bottom w:type="dxa" w:w="60"/>
              <w:right w:type="dxa" w:w="100"/>
            </w:tcMar>
            <w:vAlign w:val="center"/>
          </w:tcPr>
          <w:p>
            <w:pPr>
              <w:jc w:val="center"/>
            </w:pPr>
            <w:r>
              <w:rPr>
                <w:rFonts w:ascii="Calibri" w:cs="Calibri" w:eastAsia="Calibri" w:hAnsi="Calibri"/>
                <w:b w:val="false"/>
                <w:bCs w:val="false"/>
                <w:color w:val="262626"/>
                <w:sz w:val="19"/>
                <w:szCs w:val="19"/>
              </w:rPr>
              <w:t xml:space="preserve">10</w:t>
            </w:r>
          </w:p>
        </w:tc>
      </w:tr>
    </w:tbl>
    <w:p>
      <w:pPr>
        <w:spacing w:after="220" w:before="60"/>
      </w:pPr>
      <w:r>
        <w:rPr>
          <w:rFonts w:ascii="Calibri" w:cs="Calibri" w:eastAsia="Calibri" w:hAnsi="Calibri"/>
          <w:i/>
          <w:iCs/>
          <w:color w:val="595959"/>
          <w:sz w:val="18"/>
          <w:szCs w:val="18"/>
        </w:rPr>
        <w:t xml:space="preserve">Table 6.1 — describe() output for all numeric columns (values rounded for display).</w:t>
      </w:r>
    </w:p>
    <w:p>
      <w:pPr>
        <w:pStyle w:val="Heading1"/>
        <w:pBdr>
          <w:bottom w:val="single" w:color="1F3864" w:sz="8" w:space="4"/>
        </w:pBdr>
        <w:spacing w:after="180" w:before="380"/>
      </w:pPr>
      <w:r>
        <w:rPr>
          <w:rFonts w:ascii="Calibri" w:cs="Calibri" w:eastAsia="Calibri" w:hAnsi="Calibri"/>
          <w:b/>
          <w:bCs/>
          <w:color w:val="1F3864"/>
          <w:sz w:val="30"/>
          <w:szCs w:val="30"/>
        </w:rPr>
        <w:t xml:space="preserve">7. Data Quality Observations &amp; Anomalies</w:t>
      </w:r>
    </w:p>
    <w:p>
      <w:pPr>
        <w:spacing w:after="160" w:line="300"/>
      </w:pPr>
      <w:r>
        <w:rPr>
          <w:rFonts w:ascii="Calibri" w:cs="Calibri" w:eastAsia="Calibri" w:hAnsi="Calibri"/>
          <w:color w:val="262626"/>
          <w:sz w:val="21"/>
          <w:szCs w:val="21"/>
        </w:rPr>
        <w:t xml:space="preserve">Evidence worth carrying into the Data Validation / Cleaning stages of the pipeline:</w:t>
      </w:r>
    </w:p>
    <w:p>
      <w:pPr>
        <w:pStyle w:val="ListParagraph"/>
        <w:numPr>
          <w:ilvl w:val="0"/>
          <w:numId w:val="1"/>
        </w:numPr>
        <w:spacing w:after="90" w:line="280"/>
      </w:pPr>
      <w:r>
        <w:rPr>
          <w:rFonts w:ascii="Calibri" w:cs="Calibri" w:eastAsia="Calibri" w:hAnsi="Calibri"/>
          <w:b/>
          <w:bCs/>
          <w:color w:val="1F3864"/>
          <w:sz w:val="21"/>
          <w:szCs w:val="21"/>
        </w:rPr>
        <w:t xml:space="preserve">Four constant columns carry zero information. </w:t>
      </w:r>
      <w:r>
        <w:rPr>
          <w:rFonts w:ascii="Calibri" w:cs="Calibri" w:eastAsia="Calibri" w:hAnsi="Calibri"/>
          <w:color w:val="262626"/>
          <w:sz w:val="21"/>
          <w:szCs w:val="21"/>
        </w:rPr>
        <w:t xml:space="preserve">remote_allowed, compensation_type, has_company_description, has_description, and listing_age_available each show only 1 unique value across all 154,676 rows (remote_allowed = True everywhere; the has_/listing_age_available flags = True everywhere). As stored, these cannot contribute to a model and are candidates for dropping — unless remote_allowed's constant-True is itself a scraping artifact worth investigating rather than trusting.</w:t>
      </w:r>
    </w:p>
    <w:p>
      <w:pPr>
        <w:pStyle w:val="ListParagraph"/>
        <w:numPr>
          <w:ilvl w:val="0"/>
          <w:numId w:val="1"/>
        </w:numPr>
        <w:spacing w:after="90" w:line="280"/>
      </w:pPr>
      <w:r>
        <w:rPr>
          <w:rFonts w:ascii="Calibri" w:cs="Calibri" w:eastAsia="Calibri" w:hAnsi="Calibri"/>
          <w:b/>
          <w:bCs/>
          <w:color w:val="1F3864"/>
          <w:sz w:val="21"/>
          <w:szCs w:val="21"/>
        </w:rPr>
        <w:t xml:space="preserve">The listed_* salary block looks pre-imputed, not raw. </w:t>
      </w:r>
      <w:r>
        <w:rPr>
          <w:rFonts w:ascii="Calibri" w:cs="Calibri" w:eastAsia="Calibri" w:hAnsi="Calibri"/>
          <w:color w:val="262626"/>
          <w:sz w:val="21"/>
          <w:szCs w:val="21"/>
        </w:rPr>
        <w:t xml:space="preserve">listed_min_salary, listed_med_salary, and listed_max_salary have zero missing values, yet their 25th/50th/75th percentiles are identical fixed values (61,110 / 26 / 81,100 respectively). That pattern is characteristic of a placeholder or global fill value rather than genuine per-posting salary data, and should not be treated as a clean substitute for the sparser raw min_salary/med_salary/max_salary fields without verification.</w:t>
      </w:r>
    </w:p>
    <w:p>
      <w:pPr>
        <w:pStyle w:val="ListParagraph"/>
        <w:numPr>
          <w:ilvl w:val="0"/>
          <w:numId w:val="1"/>
        </w:numPr>
        <w:spacing w:after="90" w:line="280"/>
      </w:pPr>
      <w:r>
        <w:rPr>
          <w:rFonts w:ascii="Calibri" w:cs="Calibri" w:eastAsia="Calibri" w:hAnsi="Calibri"/>
          <w:b/>
          <w:bCs/>
          <w:color w:val="1F3864"/>
          <w:sz w:val="21"/>
          <w:szCs w:val="21"/>
        </w:rPr>
        <w:t xml:space="preserve">Extreme salary outliers span both raw and listed fields. </w:t>
      </w:r>
      <w:r>
        <w:rPr>
          <w:rFonts w:ascii="Calibri" w:cs="Calibri" w:eastAsia="Calibri" w:hAnsi="Calibri"/>
          <w:color w:val="262626"/>
          <w:sz w:val="21"/>
          <w:szCs w:val="21"/>
        </w:rPr>
        <w:t xml:space="preserve">min_salary and listed_min_salary both reach a max of 85,000,000; max_salary reaches 120,000,000; listed_max_salary reaches 7,000,090,000; normalized_salary reaches 535,600,000. These are almost certainly unit/pay-period mixing errors (hourly figures entered without conversion, or currency mismatches) rather than genuine salaries, and will distort any mean-based aggregation until normalized by pay_period and currency.</w:t>
      </w:r>
    </w:p>
    <w:p>
      <w:pPr>
        <w:pStyle w:val="ListParagraph"/>
        <w:numPr>
          <w:ilvl w:val="0"/>
          <w:numId w:val="1"/>
        </w:numPr>
        <w:spacing w:after="90" w:line="280"/>
      </w:pPr>
      <w:r>
        <w:rPr>
          <w:rFonts w:ascii="Calibri" w:cs="Calibri" w:eastAsia="Calibri" w:hAnsi="Calibri"/>
          <w:b/>
          <w:bCs/>
          <w:color w:val="1F3864"/>
          <w:sz w:val="21"/>
          <w:szCs w:val="21"/>
        </w:rPr>
        <w:t xml:space="preserve">min_salary, med_salary, and max_salary are close to mutually exclusive. </w:t>
      </w:r>
      <w:r>
        <w:rPr>
          <w:rFonts w:ascii="Calibri" w:cs="Calibri" w:eastAsia="Calibri" w:hAnsi="Calibri"/>
          <w:color w:val="262626"/>
          <w:sz w:val="21"/>
          <w:szCs w:val="21"/>
        </w:rPr>
        <w:t xml:space="preserve">40,243 rows have min/max salary while only 8,436 have a med_salary, and salary_available's True count (48,679) equals the sum of the two populations exactly — suggesting a posting reports either a range or a single median, never a meaningful mix of both, and salary_available is a derived OR-flag across the three.</w:t>
      </w:r>
    </w:p>
    <w:p>
      <w:pPr>
        <w:pStyle w:val="ListParagraph"/>
        <w:numPr>
          <w:ilvl w:val="0"/>
          <w:numId w:val="1"/>
        </w:numPr>
        <w:spacing w:after="90" w:line="280"/>
      </w:pPr>
      <w:r>
        <w:rPr>
          <w:rFonts w:ascii="Calibri" w:cs="Calibri" w:eastAsia="Calibri" w:hAnsi="Calibri"/>
          <w:b/>
          <w:bCs/>
          <w:color w:val="1F3864"/>
          <w:sz w:val="21"/>
          <w:szCs w:val="21"/>
        </w:rPr>
        <w:t xml:space="preserve">currency is effectively constant. </w:t>
      </w:r>
      <w:r>
        <w:rPr>
          <w:rFonts w:ascii="Calibri" w:cs="Calibri" w:eastAsia="Calibri" w:hAnsi="Calibri"/>
          <w:color w:val="262626"/>
          <w:sz w:val="21"/>
          <w:szCs w:val="21"/>
        </w:rPr>
        <w:t xml:space="preserve">154,663 of 154,676 rows (99.99%) are 'usd', leaving only 13 non-USD rows across bbd/cad/eur/gbp combined — too sparse to model currency effects reliably without external augmentation.</w:t>
      </w:r>
    </w:p>
    <w:p>
      <w:pPr>
        <w:pStyle w:val="ListParagraph"/>
        <w:numPr>
          <w:ilvl w:val="0"/>
          <w:numId w:val="1"/>
        </w:numPr>
        <w:spacing w:after="90" w:line="280"/>
      </w:pPr>
      <w:r>
        <w:rPr>
          <w:rFonts w:ascii="Calibri" w:cs="Calibri" w:eastAsia="Calibri" w:hAnsi="Calibri"/>
          <w:b/>
          <w:bCs/>
          <w:color w:val="1F3864"/>
          <w:sz w:val="21"/>
          <w:szCs w:val="21"/>
        </w:rPr>
        <w:t xml:space="preserve">unmapped__scraped resembles a Unix timestamp with a broken sentinel. </w:t>
      </w:r>
      <w:r>
        <w:rPr>
          <w:rFonts w:ascii="Calibri" w:cs="Calibri" w:eastAsia="Calibri" w:hAnsi="Calibri"/>
          <w:color w:val="262626"/>
          <w:sz w:val="21"/>
          <w:szCs w:val="21"/>
        </w:rPr>
        <w:t xml:space="preserve">The bulk of values cluster tightly around 1,698,996,154 (~Nov 2023), consistent with a scrape-batch timestamp, but the column minimum is 1.0 — a clear sentinel/default value that should be treated as missing rather than a real date.</w:t>
      </w:r>
    </w:p>
    <w:p>
      <w:pPr>
        <w:pStyle w:val="ListParagraph"/>
        <w:numPr>
          <w:ilvl w:val="0"/>
          <w:numId w:val="1"/>
        </w:numPr>
        <w:spacing w:after="90" w:line="280"/>
      </w:pPr>
      <w:r>
        <w:rPr>
          <w:rFonts w:ascii="Calibri" w:cs="Calibri" w:eastAsia="Calibri" w:hAnsi="Calibri"/>
          <w:b/>
          <w:bCs/>
          <w:color w:val="1F3864"/>
          <w:sz w:val="21"/>
          <w:szCs w:val="21"/>
        </w:rPr>
        <w:t xml:space="preserve">company_size is numerically coded but typed as string. </w:t>
      </w:r>
      <w:r>
        <w:rPr>
          <w:rFonts w:ascii="Calibri" w:cs="Calibri" w:eastAsia="Calibri" w:hAnsi="Calibri"/>
          <w:color w:val="262626"/>
          <w:sz w:val="21"/>
          <w:szCs w:val="21"/>
        </w:rPr>
        <w:t xml:space="preserve">Values are the literal strings '1.0' through '7.0' plus 'unknown', representing LinkedIn's company-size buckets — this needs an explicit ordinal mapping rather than being treated as unordered text.</w:t>
      </w:r>
    </w:p>
    <w:p>
      <w:pPr>
        <w:pStyle w:val="ListParagraph"/>
        <w:numPr>
          <w:ilvl w:val="0"/>
          <w:numId w:val="1"/>
        </w:numPr>
        <w:spacing w:after="90" w:line="280"/>
      </w:pPr>
      <w:r>
        <w:rPr>
          <w:rFonts w:ascii="Calibri" w:cs="Calibri" w:eastAsia="Calibri" w:hAnsi="Calibri"/>
          <w:b/>
          <w:bCs/>
          <w:color w:val="1F3864"/>
          <w:sz w:val="21"/>
          <w:szCs w:val="21"/>
        </w:rPr>
        <w:t xml:space="preserve">dataset_version is unevenly split. </w:t>
      </w:r>
      <w:r>
        <w:rPr>
          <w:rFonts w:ascii="Calibri" w:cs="Calibri" w:eastAsia="Calibri" w:hAnsi="Calibri"/>
          <w:color w:val="262626"/>
          <w:sz w:val="21"/>
          <w:szCs w:val="21"/>
        </w:rPr>
        <w:t xml:space="preserve">Version_13 accounts for roughly 122,131 of 154,676 rows (~79%), with Version_9 the remaining ~21% — schema-alignment logic should be re-checked to confirm no version-specific field is silently null-filled for the other version (e.g. unmapped__company_name is present for only ~122,130 rows, suspiciously close to the Version_13 count).</w:t>
      </w:r>
    </w:p>
    <w:p>
      <w:pPr>
        <w:pStyle w:val="ListParagraph"/>
        <w:numPr>
          <w:ilvl w:val="0"/>
          <w:numId w:val="1"/>
        </w:numPr>
        <w:spacing w:after="90" w:line="280"/>
      </w:pPr>
      <w:r>
        <w:rPr>
          <w:rFonts w:ascii="Calibri" w:cs="Calibri" w:eastAsia="Calibri" w:hAnsi="Calibri"/>
          <w:b/>
          <w:bCs/>
          <w:color w:val="1F3864"/>
          <w:sz w:val="21"/>
          <w:szCs w:val="21"/>
        </w:rPr>
        <w:t xml:space="preserve">title and description have heavy duplication. </w:t>
      </w:r>
      <w:r>
        <w:rPr>
          <w:rFonts w:ascii="Calibri" w:cs="Calibri" w:eastAsia="Calibri" w:hAnsi="Calibri"/>
          <w:color w:val="262626"/>
          <w:sz w:val="21"/>
          <w:szCs w:val="21"/>
        </w:rPr>
        <w:t xml:space="preserve">'Sales Manager' recurs 765 times as a title and one staffing-agency description recurs 518 times — large employers/agencies post near-identical listings repeatedly, which will inflate any naive count-based volume signal unless de-duplicated or weighted.</w:t>
      </w:r>
    </w:p>
    <w:p>
      <w:pPr>
        <w:pStyle w:val="ListParagraph"/>
        <w:numPr>
          <w:ilvl w:val="0"/>
          <w:numId w:val="1"/>
        </w:numPr>
        <w:spacing w:after="90" w:line="280"/>
      </w:pPr>
      <w:r>
        <w:rPr>
          <w:rFonts w:ascii="Calibri" w:cs="Calibri" w:eastAsia="Calibri" w:hAnsi="Calibri"/>
          <w:b/>
          <w:bCs/>
          <w:color w:val="1F3864"/>
          <w:sz w:val="21"/>
          <w:szCs w:val="21"/>
        </w:rPr>
        <w:t xml:space="preserve">Two timestamp fields disagree substantially in range. </w:t>
      </w:r>
      <w:r>
        <w:rPr>
          <w:rFonts w:ascii="Calibri" w:cs="Calibri" w:eastAsia="Calibri" w:hAnsi="Calibri"/>
          <w:color w:val="262626"/>
          <w:sz w:val="21"/>
          <w:szCs w:val="21"/>
        </w:rPr>
        <w:t xml:space="preserve">expiry extends out to 2024-10-17, six months past the last listed_time (2024-04-20) and closed_time (max 2024-04-19) — reasonable for forward-dated expirations, but worth confirming expiry isn't occasionally a placeholder far in the future that would distort a 'days active' feature.</w:t>
      </w:r>
    </w:p>
    <w:p>
      <w:pPr>
        <w:pStyle w:val="Heading1"/>
        <w:pBdr>
          <w:bottom w:val="single" w:color="1F3864" w:sz="8" w:space="4"/>
        </w:pBdr>
        <w:spacing w:after="180" w:before="380"/>
      </w:pPr>
      <w:r>
        <w:rPr>
          <w:rFonts w:ascii="Calibri" w:cs="Calibri" w:eastAsia="Calibri" w:hAnsi="Calibri"/>
          <w:b/>
          <w:bCs/>
          <w:color w:val="1F3864"/>
          <w:sz w:val="30"/>
          <w:szCs w:val="30"/>
        </w:rPr>
        <w:t xml:space="preserve">8. Notes Carried Forward to Feature Engineering</w:t>
      </w:r>
    </w:p>
    <w:p>
      <w:pPr>
        <w:spacing w:after="160" w:line="300"/>
      </w:pPr>
      <w:r>
        <w:rPr>
          <w:rFonts w:ascii="Calibri" w:cs="Calibri" w:eastAsia="Calibri" w:hAnsi="Calibri"/>
          <w:color w:val="262626"/>
          <w:sz w:val="21"/>
          <w:szCs w:val="21"/>
        </w:rPr>
        <w:t xml:space="preserve">This is an observational record, not yet acted on. Flagging for the next pipeline stage:</w:t>
      </w:r>
    </w:p>
    <w:p>
      <w:pPr>
        <w:pStyle w:val="ListParagraph"/>
        <w:numPr>
          <w:ilvl w:val="0"/>
          <w:numId w:val="1"/>
        </w:numPr>
        <w:spacing w:after="90" w:line="280"/>
      </w:pPr>
      <w:r>
        <w:rPr>
          <w:rFonts w:ascii="Calibri" w:cs="Calibri" w:eastAsia="Calibri" w:hAnsi="Calibri"/>
          <w:color w:val="262626"/>
          <w:sz w:val="21"/>
          <w:szCs w:val="21"/>
        </w:rPr>
        <w:t xml:space="preserve">Decide a single salary signal (raw range vs. med_salary vs. listed_*) with pay-period/currency normalization and outlier capping before deriving any salary-based feature.</w:t>
      </w:r>
    </w:p>
    <w:p>
      <w:pPr>
        <w:pStyle w:val="ListParagraph"/>
        <w:numPr>
          <w:ilvl w:val="0"/>
          <w:numId w:val="1"/>
        </w:numPr>
        <w:spacing w:after="90" w:line="280"/>
      </w:pPr>
      <w:r>
        <w:rPr>
          <w:rFonts w:ascii="Calibri" w:cs="Calibri" w:eastAsia="Calibri" w:hAnsi="Calibri"/>
          <w:color w:val="262626"/>
          <w:sz w:val="21"/>
          <w:szCs w:val="21"/>
        </w:rPr>
        <w:t xml:space="preserve">Drop or explicitly document the five constant columns in Section 7 rather than carrying them forward unexamined.</w:t>
      </w:r>
    </w:p>
    <w:p>
      <w:pPr>
        <w:pStyle w:val="ListParagraph"/>
        <w:numPr>
          <w:ilvl w:val="0"/>
          <w:numId w:val="1"/>
        </w:numPr>
        <w:spacing w:after="90" w:line="280"/>
      </w:pPr>
      <w:r>
        <w:rPr>
          <w:rFonts w:ascii="Calibri" w:cs="Calibri" w:eastAsia="Calibri" w:hAnsi="Calibri"/>
          <w:color w:val="262626"/>
          <w:sz w:val="21"/>
          <w:szCs w:val="21"/>
        </w:rPr>
        <w:t xml:space="preserve">Treat unmapped__scraped's sentinel minimum as missing before deriving any scrape-recency feature.</w:t>
      </w:r>
    </w:p>
    <w:p>
      <w:pPr>
        <w:pStyle w:val="ListParagraph"/>
        <w:numPr>
          <w:ilvl w:val="0"/>
          <w:numId w:val="1"/>
        </w:numPr>
        <w:spacing w:after="90" w:line="280"/>
      </w:pPr>
      <w:r>
        <w:rPr>
          <w:rFonts w:ascii="Calibri" w:cs="Calibri" w:eastAsia="Calibri" w:hAnsi="Calibri"/>
          <w:color w:val="262626"/>
          <w:sz w:val="21"/>
          <w:szCs w:val="21"/>
        </w:rPr>
        <w:t xml:space="preserve">De-duplicate or down-weight repeated title/description postings before aggregating to a daily/weekly volume series, so the forecast target isn't inflated by high-volume repeat posters.</w:t>
      </w:r>
    </w:p>
    <w:p>
      <w:pPr>
        <w:pStyle w:val="ListParagraph"/>
        <w:numPr>
          <w:ilvl w:val="0"/>
          <w:numId w:val="1"/>
        </w:numPr>
        <w:spacing w:after="90" w:line="280"/>
      </w:pPr>
      <w:r>
        <w:rPr>
          <w:rFonts w:ascii="Calibri" w:cs="Calibri" w:eastAsia="Calibri" w:hAnsi="Calibri"/>
          <w:color w:val="262626"/>
          <w:sz w:val="21"/>
          <w:szCs w:val="21"/>
        </w:rPr>
        <w:t xml:space="preserve">Confirm dataset_version-linked missingness (e.g. unmapped__company_name) isn't a schema-alignment artifact before imputing.</w:t>
      </w:r>
    </w:p>
    <w:p>
      <w:pPr>
        <w:pBdr>
          <w:top w:val="single" w:color="BFBFBF" w:sz="6" w:space="4"/>
        </w:pBdr>
        <w:spacing w:before="400"/>
      </w:pPr>
      <w:r>
        <w:rPr>
          <w:rFonts w:ascii="Calibri" w:cs="Calibri" w:eastAsia="Calibri" w:hAnsi="Calibri"/>
          <w:i/>
          <w:iCs/>
          <w:color w:val="595959"/>
          <w:sz w:val="18"/>
          <w:szCs w:val="18"/>
        </w:rPr>
        <w:t xml:space="preserve">End of report — generated from the pre-feature-engineering feature store snapshot.</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6"/>
        <w:szCs w:val="16"/>
      </w:rPr>
      <w:t xml:space="preserve">LinkedIn Job Posting Feature Store — Data Dictionary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2026-07-31T12:26:46.061Z</dcterms:created>
  <dcterms:modified xsi:type="dcterms:W3CDTF">2026-07-31T12:26:46.062Z</dcterms:modified>
</cp:coreProperties>
</file>

<file path=docProps/custom.xml><?xml version="1.0" encoding="utf-8"?>
<Properties xmlns="http://schemas.openxmlformats.org/officeDocument/2006/custom-properties" xmlns:vt="http://schemas.openxmlformats.org/officeDocument/2006/docPropsVTypes"/>
</file>