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224"/>
      </w:tblGrid>
      <w:tr>
        <w:tc>
          <w:tcPr>
            <w:tcW w:type="dxa" w:w="10224"/>
            <w:shd w:val="clear" w:color="auto" w:fill="21314F"/>
          </w:tcPr>
          <w:p>
            <w:pPr>
              <w:jc w:val="left"/>
            </w:pPr>
            <w:r>
              <w:rPr>
                <w:b/>
                <w:i w:val="0"/>
                <w:color w:val="C79A3E"/>
                <w:sz w:val="32"/>
              </w:rPr>
              <w:t xml:space="preserve">LODE  </w:t>
            </w:r>
            <w:r>
              <w:rPr>
                <w:b w:val="0"/>
                <w:i w:val="0"/>
                <w:color w:val="FFFFFF"/>
                <w:sz w:val="24"/>
              </w:rPr>
              <w:t>· Custom Session SOP</w:t>
            </w:r>
          </w:p>
          <w:p>
            <w:r>
              <w:rPr>
                <w:b/>
                <w:i w:val="0"/>
                <w:color w:val="FFFFFF"/>
                <w:sz w:val="28"/>
              </w:rPr>
              <w:t>Agilent 7900 ICP-MS — trace metal quantification</w:t>
            </w:r>
          </w:p>
          <w:p>
            <w:r>
              <w:rPr>
                <w:b w:val="0"/>
                <w:i w:val="0"/>
                <w:color w:val="CBD5E1"/>
                <w:sz w:val="18"/>
              </w:rPr>
              <w:t>Booking VEIN-0021   ·   Generated 2026-05-25 18:18</w:t>
            </w:r>
          </w:p>
        </w:tc>
      </w:tr>
      <w:tr>
        <w:tc>
          <w:tcPr>
            <w:tcW w:type="dxa" w:w="10224"/>
            <w:shd w:val="clear" w:color="auto" w:fill="F4F5F7"/>
          </w:tcPr>
          <w:p>
            <w:r/>
          </w:p>
          <w:tbl>
            <w:tblPr>
              <w:tblW w:type="auto" w:w="0"/>
              <w:tblLayout w:type="autofit"/>
              <w:tblLook w:firstColumn="1" w:firstRow="1" w:lastColumn="0" w:lastRow="0" w:noHBand="0" w:noVBand="1" w:val="04A0"/>
            </w:tblPr>
            <w:tblGrid>
              <w:gridCol w:w="2556"/>
              <w:gridCol w:w="2556"/>
              <w:gridCol w:w="2556"/>
              <w:gridCol w:w="2556"/>
            </w:tblGrid>
            <w:tr>
              <w:tc>
                <w:tcPr>
                  <w:tcW w:type="dxa" w:w="2556"/>
                </w:tcPr>
                <w:p>
                  <w:r/>
                  <w:r>
                    <w:rPr>
                      <w:b/>
                      <w:i w:val="0"/>
                      <w:color w:val="6B7280"/>
                      <w:sz w:val="16"/>
                    </w:rPr>
                    <w:t>INSTRUMENT</w:t>
                  </w:r>
                </w:p>
                <w:p>
                  <w:r>
                    <w:rPr>
                      <w:b w:val="0"/>
                      <w:i w:val="0"/>
                      <w:color w:val="1F2937"/>
                      <w:sz w:val="20"/>
                    </w:rPr>
                    <w:t>Agilent 7900 ICP-MS</w:t>
                  </w:r>
                </w:p>
              </w:tc>
              <w:tc>
                <w:tcPr>
                  <w:tcW w:type="dxa" w:w="2556"/>
                </w:tcPr>
                <w:p>
                  <w:r/>
                  <w:r>
                    <w:rPr>
                      <w:b/>
                      <w:i w:val="0"/>
                      <w:color w:val="6B7280"/>
                      <w:sz w:val="16"/>
                    </w:rPr>
                    <w:t>RESEARCHER</w:t>
                  </w:r>
                </w:p>
                <w:p>
                  <w:r>
                    <w:rPr>
                      <w:b w:val="0"/>
                      <w:i w:val="0"/>
                      <w:color w:val="1F2937"/>
                      <w:sz w:val="20"/>
                    </w:rPr>
                    <w:t>Dr. Priya Anand</w:t>
                  </w:r>
                </w:p>
              </w:tc>
              <w:tc>
                <w:tcPr>
                  <w:tcW w:type="dxa" w:w="2556"/>
                </w:tcPr>
                <w:p>
                  <w:r/>
                  <w:r>
                    <w:rPr>
                      <w:b/>
                      <w:i w:val="0"/>
                      <w:color w:val="6B7280"/>
                      <w:sz w:val="16"/>
                    </w:rPr>
                    <w:t>RESEARCH GROUP</w:t>
                  </w:r>
                </w:p>
                <w:p>
                  <w:r>
                    <w:rPr>
                      <w:b w:val="0"/>
                      <w:i w:val="0"/>
                      <w:color w:val="1F2937"/>
                      <w:sz w:val="20"/>
                    </w:rPr>
                    <w:t>Trace Geochemistry</w:t>
                  </w:r>
                </w:p>
              </w:tc>
              <w:tc>
                <w:tcPr>
                  <w:tcW w:type="dxa" w:w="2556"/>
                </w:tcPr>
                <w:p>
                  <w:r/>
                  <w:r>
                    <w:rPr>
                      <w:b/>
                      <w:i w:val="0"/>
                      <w:color w:val="6B7280"/>
                      <w:sz w:val="16"/>
                    </w:rPr>
                    <w:t>MATERIAL</w:t>
                  </w:r>
                </w:p>
                <w:p>
                  <w:r>
                    <w:rPr>
                      <w:b w:val="0"/>
                      <w:i w:val="0"/>
                      <w:color w:val="1F2937"/>
                      <w:sz w:val="20"/>
                    </w:rPr>
                    <w:t>mine drainage water digested in concentrated hydrofluoric acid</w:t>
                  </w:r>
                </w:p>
              </w:tc>
            </w:tr>
            <w:tr>
              <w:tc>
                <w:tcPr>
                  <w:tcW w:type="dxa" w:w="2556"/>
                </w:tcPr>
                <w:p>
                  <w:r/>
                  <w:r>
                    <w:rPr>
                      <w:b/>
                      <w:i w:val="0"/>
                      <w:color w:val="6B7280"/>
                      <w:sz w:val="16"/>
                    </w:rPr>
                    <w:t>SAMPLE</w:t>
                  </w:r>
                </w:p>
                <w:p>
                  <w:r>
                    <w:rPr>
                      <w:b w:val="0"/>
                      <w:i w:val="0"/>
                      <w:color w:val="1F2937"/>
                      <w:sz w:val="20"/>
                    </w:rPr>
                    <w:t>—</w:t>
                  </w:r>
                </w:p>
              </w:tc>
              <w:tc>
                <w:tcPr>
                  <w:tcW w:type="dxa" w:w="2556"/>
                </w:tcPr>
                <w:p>
                  <w:r/>
                  <w:r>
                    <w:rPr>
                      <w:b/>
                      <w:i w:val="0"/>
                      <w:color w:val="6B7280"/>
                      <w:sz w:val="16"/>
                    </w:rPr>
                    <w:t>SESSION</w:t>
                  </w:r>
                </w:p>
                <w:p>
                  <w:r>
                    <w:rPr>
                      <w:b w:val="0"/>
                      <w:i w:val="0"/>
                      <w:color w:val="1F2937"/>
                      <w:sz w:val="20"/>
                    </w:rPr>
                    <w:t>Tue, May 26 · 15:00–17:00 EDT</w:t>
                  </w:r>
                </w:p>
              </w:tc>
              <w:tc>
                <w:tcPr>
                  <w:tcW w:type="dxa" w:w="2556"/>
                </w:tcPr>
                <w:p>
                  <w:r/>
                  <w:r>
                    <w:rPr>
                      <w:b/>
                      <w:i w:val="0"/>
                      <w:color w:val="6B7280"/>
                      <w:sz w:val="16"/>
                    </w:rPr>
                    <w:t>PREP STARTS</w:t>
                  </w:r>
                </w:p>
                <w:p>
                  <w:r>
                    <w:rPr>
                      <w:b w:val="0"/>
                      <w:i w:val="0"/>
                      <w:color w:val="1F2937"/>
                      <w:sz w:val="20"/>
                    </w:rPr>
                    <w:t>Tue, May 26 · 14:00</w:t>
                  </w:r>
                </w:p>
              </w:tc>
              <w:tc>
                <w:tcPr>
                  <w:tcW w:type="dxa" w:w="2556"/>
                </w:tcPr>
                <w:p>
                  <w:r/>
                  <w:r>
                    <w:rPr>
                      <w:b/>
                      <w:i w:val="0"/>
                      <w:color w:val="6B7280"/>
                      <w:sz w:val="16"/>
                    </w:rPr>
                    <w:t>FIT SCORE</w:t>
                  </w:r>
                </w:p>
                <w:p>
                  <w:r>
                    <w:rPr>
                      <w:b w:val="0"/>
                      <w:i w:val="0"/>
                      <w:color w:val="1F2937"/>
                      <w:sz w:val="20"/>
                    </w:rPr>
                    <w:t>88/100 (A)</w:t>
                  </w:r>
                </w:p>
              </w:tc>
            </w:tr>
          </w:tbl>
          <w:p/>
        </w:tc>
      </w:tr>
    </w:tbl>
    <w:tbl>
      <w:tblPr>
        <w:tblW w:type="auto" w:w="0"/>
        <w:tblLook w:firstColumn="1" w:firstRow="1" w:lastColumn="0" w:lastRow="0" w:noHBand="0" w:noVBand="1" w:val="04A0"/>
      </w:tblPr>
      <w:tblGrid>
        <w:gridCol w:w="10224"/>
      </w:tblGrid>
      <w:tr>
        <w:tc>
          <w:tcPr>
            <w:tcW w:type="dxa" w:w="10224"/>
            <w:shd w:val="clear" w:color="auto" w:fill="FFF7E6"/>
          </w:tcPr>
          <w:p>
            <w:r>
              <w:rPr>
                <w:b/>
                <w:i w:val="0"/>
                <w:color w:val="C79A3E"/>
                <w:sz w:val="16"/>
              </w:rPr>
              <w:t>CUSTOMIZED SAMPLE-SPECIFIC NOTES</w:t>
            </w:r>
          </w:p>
          <w:p>
            <w:r>
              <w:rPr>
                <w:b w:val="0"/>
                <w:i w:val="0"/>
                <w:color w:val="1F2937"/>
                <w:sz w:val="20"/>
              </w:rPr>
              <w:t>This SOP is customized for Dr. Priya Anand's trace metal quantification on mine drainage water digested in concentrated hydrofluoric acid. Cited RAG sources are listed at the end of this document.</w:t>
            </w:r>
          </w:p>
        </w:tc>
      </w:tr>
    </w:tbl>
    <w:p>
      <w:pPr>
        <w:spacing w:before="280" w:after="120"/>
      </w:pPr>
      <w:r>
        <w:rPr>
          <w:b/>
          <w:i w:val="0"/>
          <w:color w:val="21314F"/>
          <w:sz w:val="22"/>
        </w:rPr>
        <w:t>RECOMMENDED OPERATING PARAMETERS</w:t>
      </w:r>
    </w:p>
    <w:tbl>
      <w:tblPr>
        <w:tblStyle w:val="LightList"/>
        <w:tblW w:type="auto" w:w="0"/>
        <w:tblLook w:firstColumn="1" w:firstRow="1" w:lastColumn="0" w:lastRow="0" w:noHBand="0" w:noVBand="1" w:val="04A0"/>
      </w:tblPr>
      <w:tblGrid>
        <w:gridCol w:w="5112"/>
        <w:gridCol w:w="5112"/>
      </w:tblGrid>
      <w:tr>
        <w:tc>
          <w:tcPr>
            <w:tcW w:type="dxa" w:w="5112"/>
            <w:shd w:val="clear" w:color="auto" w:fill="E5E7EB"/>
          </w:tcPr>
          <w:p>
            <w:r>
              <w:rPr>
                <w:b/>
                <w:i w:val="0"/>
                <w:color w:val="1F2937"/>
                <w:sz w:val="20"/>
              </w:rPr>
              <w:t>Parameter</w:t>
            </w:r>
          </w:p>
        </w:tc>
        <w:tc>
          <w:tcPr>
            <w:tcW w:type="dxa" w:w="5112"/>
            <w:shd w:val="clear" w:color="auto" w:fill="E5E7EB"/>
          </w:tcPr>
          <w:p>
            <w:r>
              <w:rPr>
                <w:b/>
                <w:i w:val="0"/>
                <w:color w:val="1F2937"/>
                <w:sz w:val="20"/>
              </w:rPr>
              <w:t>Recommended value (with citation)</w:t>
            </w:r>
          </w:p>
        </w:tc>
      </w:tr>
      <w:tr>
        <w:tc>
          <w:tcPr>
            <w:tcW w:type="dxa" w:w="5112"/>
            <w:tcBorders>
              <w:top w:val="single" w:sz="4" w:color="D1D5DB"/>
              <w:left w:val="single" w:sz="4" w:color="D1D5DB"/>
              <w:bottom w:val="single" w:sz="4" w:color="D1D5DB"/>
              <w:right w:val="single" w:sz="4" w:color="D1D5DB"/>
            </w:tcBorders>
          </w:tcPr>
          <w:p>
            <w:r>
              <w:rPr>
                <w:b/>
                <w:i w:val="0"/>
                <w:color w:val="1F2937"/>
                <w:sz w:val="20"/>
              </w:rPr>
              <w:t>Mode</w:t>
            </w:r>
          </w:p>
        </w:tc>
        <w:tc>
          <w:tcPr>
            <w:tcW w:type="dxa" w:w="5112"/>
            <w:tcBorders>
              <w:top w:val="single" w:sz="4" w:color="D1D5DB"/>
              <w:left w:val="single" w:sz="4" w:color="D1D5DB"/>
              <w:bottom w:val="single" w:sz="4" w:color="D1D5DB"/>
              <w:right w:val="single" w:sz="4" w:color="D1D5DB"/>
            </w:tcBorders>
          </w:tcPr>
          <w:p>
            <w:r>
              <w:rPr>
                <w:b w:val="0"/>
                <w:i w:val="0"/>
                <w:color w:val="1F2937"/>
                <w:sz w:val="20"/>
              </w:rPr>
              <w:t>Standard</w:t>
            </w:r>
          </w:p>
        </w:tc>
      </w:tr>
      <w:tr>
        <w:tc>
          <w:tcPr>
            <w:tcW w:type="dxa" w:w="5112"/>
            <w:tcBorders>
              <w:top w:val="single" w:sz="4" w:color="D1D5DB"/>
              <w:left w:val="single" w:sz="4" w:color="D1D5DB"/>
              <w:bottom w:val="single" w:sz="4" w:color="D1D5DB"/>
              <w:right w:val="single" w:sz="4" w:color="D1D5DB"/>
            </w:tcBorders>
          </w:tcPr>
          <w:p>
            <w:r>
              <w:rPr>
                <w:b/>
                <w:i w:val="0"/>
                <w:color w:val="1F2937"/>
                <w:sz w:val="20"/>
              </w:rPr>
              <w:t>Duration</w:t>
            </w:r>
          </w:p>
        </w:tc>
        <w:tc>
          <w:tcPr>
            <w:tcW w:type="dxa" w:w="5112"/>
            <w:tcBorders>
              <w:top w:val="single" w:sz="4" w:color="D1D5DB"/>
              <w:left w:val="single" w:sz="4" w:color="D1D5DB"/>
              <w:bottom w:val="single" w:sz="4" w:color="D1D5DB"/>
              <w:right w:val="single" w:sz="4" w:color="D1D5DB"/>
            </w:tcBorders>
          </w:tcPr>
          <w:p>
            <w:r>
              <w:rPr>
                <w:b w:val="0"/>
                <w:i w:val="0"/>
                <w:color w:val="1F2937"/>
                <w:sz w:val="20"/>
              </w:rPr>
              <w:t>120 min</w:t>
            </w:r>
          </w:p>
        </w:tc>
      </w:tr>
    </w:tbl>
    <w:p>
      <w:pPr>
        <w:spacing w:before="280" w:after="120"/>
      </w:pPr>
      <w:r>
        <w:rPr>
          <w:b/>
          <w:i w:val="0"/>
          <w:color w:val="21314F"/>
          <w:sz w:val="22"/>
        </w:rPr>
        <w:t>PRE-SESSION CHECKLIST  (CUSTOMIZED TO SAMPLE)</w:t>
      </w:r>
    </w:p>
    <w:p>
      <w:pPr>
        <w:ind w:left="216"/>
      </w:pPr>
      <w:r>
        <w:rPr>
          <w:b w:val="0"/>
          <w:i w:val="0"/>
          <w:color w:val="21314F"/>
          <w:sz w:val="22"/>
        </w:rPr>
        <w:t xml:space="preserve">☐  </w:t>
      </w:r>
      <w:r>
        <w:rPr>
          <w:b w:val="0"/>
          <w:i w:val="0"/>
          <w:color w:val="1F2937"/>
          <w:sz w:val="20"/>
        </w:rPr>
        <w:t>Confirm safety training for Agilent 7900 ICP-MS is current</w:t>
      </w:r>
    </w:p>
    <w:p>
      <w:pPr>
        <w:ind w:left="216"/>
      </w:pPr>
      <w:r>
        <w:rPr>
          <w:b w:val="0"/>
          <w:i w:val="0"/>
          <w:color w:val="21314F"/>
          <w:sz w:val="22"/>
        </w:rPr>
        <w:t xml:space="preserve">☐  </w:t>
      </w:r>
      <w:r>
        <w:rPr>
          <w:b w:val="0"/>
          <w:i w:val="0"/>
          <w:color w:val="1F2937"/>
          <w:sz w:val="20"/>
        </w:rPr>
        <w:t>Arrive by 14:00 for warm-up and prep</w:t>
      </w:r>
    </w:p>
    <w:p>
      <w:pPr>
        <w:ind w:left="216"/>
      </w:pPr>
      <w:r>
        <w:rPr>
          <w:b w:val="0"/>
          <w:i w:val="0"/>
          <w:color w:val="21314F"/>
          <w:sz w:val="22"/>
        </w:rPr>
        <w:t xml:space="preserve">☐  </w:t>
      </w:r>
      <w:r>
        <w:rPr>
          <w:b w:val="0"/>
          <w:i w:val="0"/>
          <w:color w:val="1F2937"/>
          <w:sz w:val="20"/>
        </w:rPr>
        <w:t>Review SDS for mine drainage water digested in concentrated hydrofluoric acid and lab EH&amp;S guidelines</w:t>
      </w:r>
      <w:r>
        <w:t xml:space="preserve">  </w:t>
      </w:r>
      <w:r>
        <w:rPr>
          <w:b w:val="0"/>
          <w:i/>
          <w:color w:val="3B6FB5"/>
          <w:sz w:val="18"/>
        </w:rPr>
        <w:t>[Agilent 7900 ICP-MS Manual 2.4 Sample Types, p.31]</w:t>
      </w:r>
    </w:p>
    <w:p>
      <w:pPr>
        <w:ind w:left="216"/>
      </w:pPr>
      <w:r>
        <w:rPr>
          <w:b w:val="0"/>
          <w:i w:val="0"/>
          <w:color w:val="21314F"/>
          <w:sz w:val="22"/>
        </w:rPr>
        <w:t xml:space="preserve">☐  </w:t>
      </w:r>
      <w:r>
        <w:rPr>
          <w:b w:val="0"/>
          <w:i w:val="0"/>
          <w:color w:val="1F2937"/>
          <w:sz w:val="20"/>
        </w:rPr>
        <w:t>Bring USB drive labelled with research group</w:t>
      </w:r>
    </w:p>
    <w:p>
      <w:pPr>
        <w:spacing w:before="280" w:after="120"/>
      </w:pPr>
      <w:r>
        <w:rPr>
          <w:b/>
          <w:i w:val="0"/>
          <w:color w:val="21314F"/>
          <w:sz w:val="22"/>
        </w:rPr>
        <w:t>STEP-BY-STEP PROCEDURE</w:t>
      </w:r>
    </w:p>
    <w:p>
      <w:pPr>
        <w:ind w:left="72"/>
      </w:pPr>
      <w:r>
        <w:rPr>
          <w:b/>
          <w:i w:val="0"/>
          <w:color w:val="21314F"/>
          <w:sz w:val="22"/>
        </w:rPr>
        <w:t xml:space="preserve">1. </w:t>
      </w:r>
      <w:r>
        <w:rPr>
          <w:b/>
          <w:i w:val="0"/>
          <w:color w:val="1F2937"/>
          <w:sz w:val="20"/>
        </w:rPr>
        <w:t>Warm-up</w:t>
      </w:r>
      <w:r>
        <w:rPr>
          <w:b w:val="0"/>
          <w:i w:val="0"/>
          <w:color w:val="6B7280"/>
          <w:sz w:val="20"/>
        </w:rPr>
        <w:t xml:space="preserve"> — </w:t>
      </w:r>
      <w:r>
        <w:rPr>
          <w:b w:val="0"/>
          <w:i w:val="0"/>
          <w:color w:val="1F2937"/>
          <w:sz w:val="20"/>
        </w:rPr>
        <w:t>Power on the instrument and complete its warm-up cycle (~20 min).</w:t>
      </w:r>
      <w:r>
        <w:t xml:space="preserve">  </w:t>
      </w:r>
      <w:r>
        <w:rPr>
          <w:b w:val="0"/>
          <w:i/>
          <w:color w:val="3B6FB5"/>
          <w:sz w:val="18"/>
        </w:rPr>
        <w:t>[Agilent 7900 ICP-MS Manual 2.4 Sample Types, p.31]</w:t>
      </w:r>
    </w:p>
    <w:p>
      <w:pPr>
        <w:ind w:left="72"/>
      </w:pPr>
      <w:r>
        <w:rPr>
          <w:b/>
          <w:i w:val="0"/>
          <w:color w:val="21314F"/>
          <w:sz w:val="22"/>
        </w:rPr>
        <w:t xml:space="preserve">2. </w:t>
      </w:r>
      <w:r>
        <w:rPr>
          <w:b/>
          <w:i w:val="0"/>
          <w:color w:val="1F2937"/>
          <w:sz w:val="20"/>
        </w:rPr>
        <w:t>Load sample</w:t>
      </w:r>
      <w:r>
        <w:rPr>
          <w:b w:val="0"/>
          <w:i w:val="0"/>
          <w:color w:val="6B7280"/>
          <w:sz w:val="20"/>
        </w:rPr>
        <w:t xml:space="preserve"> — </w:t>
      </w:r>
      <w:r>
        <w:rPr>
          <w:b w:val="0"/>
          <w:i w:val="0"/>
          <w:color w:val="1F2937"/>
          <w:sz w:val="20"/>
        </w:rPr>
        <w:t>Mount mine drainage water digested in concentrated hydrofluoric acid (as supplied). Verify surface level and stage clearance.</w:t>
      </w:r>
      <w:r>
        <w:t xml:space="preserve">  </w:t>
      </w:r>
      <w:r>
        <w:rPr>
          <w:b w:val="0"/>
          <w:i/>
          <w:color w:val="3B6FB5"/>
          <w:sz w:val="18"/>
        </w:rPr>
        <w:t>[Historical Run Log Run #3]</w:t>
      </w:r>
    </w:p>
    <w:p>
      <w:pPr>
        <w:ind w:left="72"/>
      </w:pPr>
      <w:r>
        <w:rPr>
          <w:b/>
          <w:i w:val="0"/>
          <w:color w:val="21314F"/>
          <w:sz w:val="22"/>
        </w:rPr>
        <w:t xml:space="preserve">3. </w:t>
      </w:r>
      <w:r>
        <w:rPr>
          <w:b/>
          <w:i w:val="0"/>
          <w:color w:val="1F2937"/>
          <w:sz w:val="20"/>
        </w:rPr>
        <w:t>Configure</w:t>
      </w:r>
      <w:r>
        <w:rPr>
          <w:b w:val="0"/>
          <w:i w:val="0"/>
          <w:color w:val="6B7280"/>
          <w:sz w:val="20"/>
        </w:rPr>
        <w:t xml:space="preserve"> — </w:t>
      </w:r>
      <w:r>
        <w:rPr>
          <w:b w:val="0"/>
          <w:i w:val="0"/>
          <w:color w:val="1F2937"/>
          <w:sz w:val="20"/>
        </w:rPr>
        <w:t>Apply parameters above for trace metal quantification.</w:t>
      </w:r>
      <w:r>
        <w:t xml:space="preserve">  </w:t>
      </w:r>
      <w:r>
        <w:rPr>
          <w:b w:val="0"/>
          <w:i/>
          <w:color w:val="3B6FB5"/>
          <w:sz w:val="18"/>
        </w:rPr>
        <w:t>[Historical Run Log Run #3]</w:t>
      </w:r>
    </w:p>
    <w:p>
      <w:pPr>
        <w:ind w:left="72"/>
      </w:pPr>
      <w:r>
        <w:rPr>
          <w:b/>
          <w:i w:val="0"/>
          <w:color w:val="21314F"/>
          <w:sz w:val="22"/>
        </w:rPr>
        <w:t xml:space="preserve">4. </w:t>
      </w:r>
      <w:r>
        <w:rPr>
          <w:b/>
          <w:i w:val="0"/>
          <w:color w:val="1F2937"/>
          <w:sz w:val="20"/>
        </w:rPr>
        <w:t>Acquire data</w:t>
      </w:r>
      <w:r>
        <w:rPr>
          <w:b w:val="0"/>
          <w:i w:val="0"/>
          <w:color w:val="6B7280"/>
          <w:sz w:val="20"/>
        </w:rPr>
        <w:t xml:space="preserve"> — </w:t>
      </w:r>
      <w:r>
        <w:rPr>
          <w:b w:val="0"/>
          <w:i w:val="0"/>
          <w:color w:val="1F2937"/>
          <w:sz w:val="20"/>
        </w:rPr>
        <w:t>Run the planned scan / image series for trace metal quantification. Monitor for saturation or charging.</w:t>
      </w:r>
    </w:p>
    <w:p>
      <w:pPr>
        <w:ind w:left="72"/>
      </w:pPr>
      <w:r>
        <w:rPr>
          <w:b/>
          <w:i w:val="0"/>
          <w:color w:val="21314F"/>
          <w:sz w:val="22"/>
        </w:rPr>
        <w:t xml:space="preserve">5. </w:t>
      </w:r>
      <w:r>
        <w:rPr>
          <w:b/>
          <w:i w:val="0"/>
          <w:color w:val="1F2937"/>
          <w:sz w:val="20"/>
        </w:rPr>
        <w:t>Export</w:t>
      </w:r>
      <w:r>
        <w:rPr>
          <w:b w:val="0"/>
          <w:i w:val="0"/>
          <w:color w:val="6B7280"/>
          <w:sz w:val="20"/>
        </w:rPr>
        <w:t xml:space="preserve"> — </w:t>
      </w:r>
      <w:r>
        <w:rPr>
          <w:b w:val="0"/>
          <w:i w:val="0"/>
          <w:color w:val="1F2937"/>
          <w:sz w:val="20"/>
        </w:rPr>
        <w:t>Save raw files to lab server under your group folder.</w:t>
      </w:r>
    </w:p>
    <w:p>
      <w:pPr>
        <w:ind w:left="72"/>
      </w:pPr>
      <w:r>
        <w:rPr>
          <w:b/>
          <w:i w:val="0"/>
          <w:color w:val="21314F"/>
          <w:sz w:val="22"/>
        </w:rPr>
        <w:t xml:space="preserve">6. </w:t>
      </w:r>
      <w:r>
        <w:rPr>
          <w:b/>
          <w:i w:val="0"/>
          <w:color w:val="1F2937"/>
          <w:sz w:val="20"/>
        </w:rPr>
        <w:t>Shutdown</w:t>
      </w:r>
      <w:r>
        <w:rPr>
          <w:b w:val="0"/>
          <w:i w:val="0"/>
          <w:color w:val="6B7280"/>
          <w:sz w:val="20"/>
        </w:rPr>
        <w:t xml:space="preserve"> — </w:t>
      </w:r>
      <w:r>
        <w:rPr>
          <w:b w:val="0"/>
          <w:i w:val="0"/>
          <w:color w:val="1F2937"/>
          <w:sz w:val="20"/>
        </w:rPr>
        <w:t>Follow instrument-specific shutdown checklist in the lab binder.</w:t>
      </w:r>
    </w:p>
    <w:p>
      <w:pPr>
        <w:spacing w:before="280" w:after="120"/>
      </w:pPr>
      <w:r>
        <w:rPr>
          <w:b/>
          <w:i w:val="0"/>
          <w:color w:val="21314F"/>
          <w:sz w:val="22"/>
        </w:rPr>
        <w:t>POST-RUN CHECKLIST</w:t>
      </w:r>
    </w:p>
    <w:p>
      <w:pPr>
        <w:ind w:left="216"/>
      </w:pPr>
      <w:r>
        <w:rPr>
          <w:b w:val="0"/>
          <w:i w:val="0"/>
          <w:color w:val="21314F"/>
          <w:sz w:val="22"/>
        </w:rPr>
        <w:t xml:space="preserve">☐  </w:t>
      </w:r>
      <w:r>
        <w:rPr>
          <w:b w:val="0"/>
          <w:i w:val="0"/>
          <w:color w:val="1F2937"/>
          <w:sz w:val="20"/>
        </w:rPr>
        <w:t>Submit LODE post-run report with actual parameters + quality rating</w:t>
      </w:r>
    </w:p>
    <w:p>
      <w:pPr>
        <w:ind w:left="216"/>
      </w:pPr>
      <w:r>
        <w:rPr>
          <w:b w:val="0"/>
          <w:i w:val="0"/>
          <w:color w:val="21314F"/>
          <w:sz w:val="22"/>
        </w:rPr>
        <w:t xml:space="preserve">☐  </w:t>
      </w:r>
      <w:r>
        <w:rPr>
          <w:b w:val="0"/>
          <w:i w:val="0"/>
          <w:color w:val="1F2937"/>
          <w:sz w:val="20"/>
        </w:rPr>
        <w:t>Log instrument hours and any anomalies in the maintenance log</w:t>
      </w:r>
    </w:p>
    <w:p>
      <w:pPr>
        <w:ind w:left="216"/>
      </w:pPr>
      <w:r>
        <w:rPr>
          <w:b w:val="0"/>
          <w:i w:val="0"/>
          <w:color w:val="21314F"/>
          <w:sz w:val="22"/>
        </w:rPr>
        <w:t xml:space="preserve">☐  </w:t>
      </w:r>
      <w:r>
        <w:rPr>
          <w:b w:val="0"/>
          <w:i w:val="0"/>
          <w:color w:val="1F2937"/>
          <w:sz w:val="20"/>
        </w:rPr>
        <w:t>Backup raw data to research group share within 24 hours</w:t>
      </w:r>
    </w:p>
    <w:p>
      <w:pPr>
        <w:ind w:left="216"/>
      </w:pPr>
      <w:r>
        <w:rPr>
          <w:b w:val="0"/>
          <w:i w:val="0"/>
          <w:color w:val="21314F"/>
          <w:sz w:val="22"/>
        </w:rPr>
        <w:t xml:space="preserve">☐  </w:t>
      </w:r>
      <w:r>
        <w:rPr>
          <w:b w:val="0"/>
          <w:i w:val="0"/>
          <w:color w:val="1F2937"/>
          <w:sz w:val="20"/>
        </w:rPr>
        <w:t>Notify lab manager of any DET-SAT, VAC-LOW, or charging issues</w:t>
      </w:r>
    </w:p>
    <w:p>
      <w:pPr>
        <w:spacing w:before="280" w:after="120"/>
      </w:pPr>
      <w:r>
        <w:rPr>
          <w:b/>
          <w:i w:val="0"/>
          <w:color w:val="21314F"/>
          <w:sz w:val="22"/>
        </w:rPr>
        <w:t>SAFETY NOTES</w:t>
      </w:r>
    </w:p>
    <w:p>
      <w:pPr>
        <w:ind w:left="216"/>
      </w:pPr>
      <w:r>
        <w:rPr>
          <w:b w:val="0"/>
          <w:i w:val="0"/>
          <w:color w:val="21314F"/>
          <w:sz w:val="22"/>
        </w:rPr>
        <w:t xml:space="preserve">•  </w:t>
      </w:r>
      <w:r>
        <w:rPr>
          <w:b w:val="0"/>
          <w:i w:val="0"/>
          <w:color w:val="1F2937"/>
          <w:sz w:val="20"/>
        </w:rPr>
        <w:t>Handle mine drainage water digested in concentrated hydrofluoric acid per Mines EH&amp;S guidelines.</w:t>
      </w:r>
      <w:r>
        <w:t xml:space="preserve">  </w:t>
      </w:r>
      <w:r>
        <w:rPr>
          <w:b w:val="0"/>
          <w:i/>
          <w:color w:val="3B6FB5"/>
          <w:sz w:val="18"/>
        </w:rPr>
        <w:t>[Agilent 7900 ICP-MS Manual 2.4 Sample Types, p.31]</w:t>
      </w:r>
    </w:p>
    <w:p>
      <w:pPr>
        <w:ind w:left="216"/>
      </w:pPr>
      <w:r>
        <w:rPr>
          <w:b w:val="0"/>
          <w:i w:val="0"/>
          <w:color w:val="21314F"/>
          <w:sz w:val="22"/>
        </w:rPr>
        <w:t xml:space="preserve">•  </w:t>
      </w:r>
      <w:r>
        <w:rPr>
          <w:b w:val="0"/>
          <w:i w:val="0"/>
          <w:color w:val="1F2937"/>
          <w:sz w:val="20"/>
        </w:rPr>
        <w:t>PPE: safety glasses (and gloves when handling powders).</w:t>
      </w:r>
    </w:p>
    <w:p>
      <w:pPr>
        <w:ind w:left="216"/>
      </w:pPr>
      <w:r>
        <w:rPr>
          <w:b w:val="0"/>
          <w:i w:val="0"/>
          <w:color w:val="21314F"/>
          <w:sz w:val="22"/>
        </w:rPr>
        <w:t xml:space="preserve">•  </w:t>
      </w:r>
      <w:r>
        <w:rPr>
          <w:b w:val="0"/>
          <w:i w:val="0"/>
          <w:color w:val="1F2937"/>
          <w:sz w:val="20"/>
        </w:rPr>
        <w:t>Hazardous materials flagged — coordinate with EH&amp;S before session.</w:t>
      </w:r>
    </w:p>
    <w:p>
      <w:pPr>
        <w:spacing w:before="280" w:after="120"/>
      </w:pPr>
      <w:r>
        <w:rPr>
          <w:b/>
          <w:i w:val="0"/>
          <w:color w:val="21314F"/>
          <w:sz w:val="22"/>
        </w:rPr>
        <w:t>RAG REFERENCES</w:t>
      </w:r>
    </w:p>
    <w:p>
      <w:r>
        <w:rPr>
          <w:b w:val="0"/>
          <w:i/>
          <w:color w:val="6B7280"/>
          <w:sz w:val="18"/>
        </w:rPr>
        <w:t>This SOP was generated by LODE's authoring agent grounded in the following lab knowledge sources (manuals, lab SOPs, maintenance logs).</w:t>
      </w:r>
    </w:p>
    <w:p>
      <w:pPr>
        <w:ind w:left="144"/>
      </w:pPr>
      <w:r>
        <w:rPr>
          <w:b/>
          <w:i w:val="0"/>
          <w:color w:val="21314F"/>
          <w:sz w:val="20"/>
        </w:rPr>
        <w:t xml:space="preserve">[1] </w:t>
      </w:r>
      <w:r>
        <w:rPr>
          <w:b w:val="0"/>
          <w:i w:val="0"/>
          <w:color w:val="1F2937"/>
          <w:sz w:val="20"/>
        </w:rPr>
        <w:t>Historical Run Log — Run #3</w:t>
      </w:r>
    </w:p>
    <w:p>
      <w:pPr>
        <w:ind w:left="144"/>
      </w:pPr>
      <w:r>
        <w:rPr>
          <w:b/>
          <w:i w:val="0"/>
          <w:color w:val="21314F"/>
          <w:sz w:val="20"/>
        </w:rPr>
        <w:t xml:space="preserve">[2] </w:t>
      </w:r>
      <w:r>
        <w:rPr>
          <w:b w:val="0"/>
          <w:i w:val="0"/>
          <w:color w:val="1F2937"/>
          <w:sz w:val="20"/>
        </w:rPr>
        <w:t>Agilent 7900 ICP-MS Manual — 2.4 Sample Types (p.31)</w:t>
      </w:r>
    </w:p>
    <w:p>
      <w:pPr>
        <w:ind w:left="144"/>
      </w:pPr>
      <w:r>
        <w:rPr>
          <w:b/>
          <w:i w:val="0"/>
          <w:color w:val="21314F"/>
          <w:sz w:val="20"/>
        </w:rPr>
        <w:t xml:space="preserve">[3] </w:t>
      </w:r>
      <w:r>
        <w:rPr>
          <w:b w:val="0"/>
          <w:i w:val="0"/>
          <w:color w:val="1F2937"/>
          <w:sz w:val="20"/>
        </w:rPr>
        <w:t>jeol-sem — jeol-sem</w:t>
      </w:r>
    </w:p>
    <w:p>
      <w:pPr>
        <w:spacing w:before="280"/>
      </w:pPr>
      <w:r>
        <w:rPr>
          <w:b/>
          <w:i w:val="0"/>
          <w:color w:val="6B7280"/>
          <w:sz w:val="18"/>
        </w:rPr>
        <w:t xml:space="preserve">Fit rationale: </w:t>
      </w:r>
      <w:r>
        <w:rPr>
          <w:b w:val="0"/>
          <w:i/>
          <w:color w:val="6B7280"/>
          <w:sz w:val="18"/>
        </w:rPr>
        <w:t>ICP-MS ideal for trace element quantification in aqueous samples.</w:t>
      </w:r>
    </w:p>
    <w:sectPr w:rsidR="00FC693F" w:rsidRPr="0006063C" w:rsidSect="00034616">
      <w:pgSz w:w="12240" w:h="15840"/>
      <w:pgMar w:top="864"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