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224"/>
      </w:tblGrid>
      <w:tr>
        <w:tc>
          <w:tcPr>
            <w:tcW w:type="dxa" w:w="10224"/>
            <w:shd w:val="clear" w:color="auto" w:fill="21314F"/>
          </w:tcPr>
          <w:p>
            <w:pPr>
              <w:jc w:val="left"/>
            </w:pPr>
            <w:r>
              <w:rPr>
                <w:b/>
                <w:i w:val="0"/>
                <w:color w:val="C79A3E"/>
                <w:sz w:val="32"/>
              </w:rPr>
              <w:t xml:space="preserve">LODE  </w:t>
            </w:r>
            <w:r>
              <w:rPr>
                <w:b w:val="0"/>
                <w:i w:val="0"/>
                <w:color w:val="FFFFFF"/>
                <w:sz w:val="24"/>
              </w:rPr>
              <w:t>· Custom Session SOP</w:t>
            </w:r>
          </w:p>
          <w:p>
            <w:r>
              <w:rPr>
                <w:b/>
                <w:i w:val="0"/>
                <w:color w:val="FFFFFF"/>
                <w:sz w:val="28"/>
              </w:rPr>
              <w:t>JEOL JSM-IT800 SEM-EDS — fracture surface morphology</w:t>
            </w:r>
          </w:p>
          <w:p>
            <w:r>
              <w:rPr>
                <w:b w:val="0"/>
                <w:i w:val="0"/>
                <w:color w:val="CBD5E1"/>
                <w:sz w:val="18"/>
              </w:rPr>
              <w:t>Booking VEIN-0019   ·   Generated 2026-05-25 17:24</w:t>
            </w:r>
          </w:p>
        </w:tc>
      </w:tr>
      <w:tr>
        <w:tc>
          <w:tcPr>
            <w:tcW w:type="dxa" w:w="10224"/>
            <w:shd w:val="clear" w:color="auto" w:fill="F4F5F7"/>
          </w:tcPr>
          <w:p>
            <w:r/>
          </w:p>
          <w:tbl>
            <w:tblPr>
              <w:tblW w:type="auto" w:w="0"/>
              <w:tblLayout w:type="autofit"/>
              <w:tblLook w:firstColumn="1" w:firstRow="1" w:lastColumn="0" w:lastRow="0" w:noHBand="0" w:noVBand="1" w:val="04A0"/>
            </w:tblPr>
            <w:tblGrid>
              <w:gridCol w:w="2556"/>
              <w:gridCol w:w="2556"/>
              <w:gridCol w:w="2556"/>
              <w:gridCol w:w="2556"/>
            </w:tblGrid>
            <w:tr>
              <w:tc>
                <w:tcPr>
                  <w:tcW w:type="dxa" w:w="2556"/>
                </w:tcPr>
                <w:p>
                  <w:r/>
                  <w:r>
                    <w:rPr>
                      <w:b/>
                      <w:i w:val="0"/>
                      <w:color w:val="6B7280"/>
                      <w:sz w:val="16"/>
                    </w:rPr>
                    <w:t>INSTRUMENT</w:t>
                  </w:r>
                </w:p>
                <w:p>
                  <w:r>
                    <w:rPr>
                      <w:b w:val="0"/>
                      <w:i w:val="0"/>
                      <w:color w:val="1F2937"/>
                      <w:sz w:val="20"/>
                    </w:rPr>
                    <w:t>JEOL JSM-IT800 SEM-EDS</w:t>
                  </w:r>
                </w:p>
              </w:tc>
              <w:tc>
                <w:tcPr>
                  <w:tcW w:type="dxa" w:w="2556"/>
                </w:tcPr>
                <w:p>
                  <w:r/>
                  <w:r>
                    <w:rPr>
                      <w:b/>
                      <w:i w:val="0"/>
                      <w:color w:val="6B7280"/>
                      <w:sz w:val="16"/>
                    </w:rPr>
                    <w:t>RESEARCHER</w:t>
                  </w:r>
                </w:p>
                <w:p>
                  <w:r>
                    <w:rPr>
                      <w:b w:val="0"/>
                      <w:i w:val="0"/>
                      <w:color w:val="1F2937"/>
                      <w:sz w:val="20"/>
                    </w:rPr>
                    <w:t>Dr. Priya Anand</w:t>
                  </w:r>
                </w:p>
              </w:tc>
              <w:tc>
                <w:tcPr>
                  <w:tcW w:type="dxa" w:w="2556"/>
                </w:tcPr>
                <w:p>
                  <w:r/>
                  <w:r>
                    <w:rPr>
                      <w:b/>
                      <w:i w:val="0"/>
                      <w:color w:val="6B7280"/>
                      <w:sz w:val="16"/>
                    </w:rPr>
                    <w:t>RESEARCH GROUP</w:t>
                  </w:r>
                </w:p>
                <w:p>
                  <w:r>
                    <w:rPr>
                      <w:b w:val="0"/>
                      <w:i w:val="0"/>
                      <w:color w:val="1F2937"/>
                      <w:sz w:val="20"/>
                    </w:rPr>
                    <w:t>Trace Geochemistry</w:t>
                  </w:r>
                </w:p>
              </w:tc>
              <w:tc>
                <w:tcPr>
                  <w:tcW w:type="dxa" w:w="2556"/>
                </w:tcPr>
                <w:p>
                  <w:r/>
                  <w:r>
                    <w:rPr>
                      <w:b/>
                      <w:i w:val="0"/>
                      <w:color w:val="6B7280"/>
                      <w:sz w:val="16"/>
                    </w:rPr>
                    <w:t>MATERIAL</w:t>
                  </w:r>
                </w:p>
                <w:p>
                  <w:r>
                    <w:rPr>
                      <w:b w:val="0"/>
                      <w:i w:val="0"/>
                      <w:color w:val="1F2937"/>
                      <w:sz w:val="20"/>
                    </w:rPr>
                    <w:t>martensitic steel</w:t>
                  </w:r>
                </w:p>
              </w:tc>
            </w:tr>
            <w:tr>
              <w:tc>
                <w:tcPr>
                  <w:tcW w:type="dxa" w:w="2556"/>
                </w:tcPr>
                <w:p>
                  <w:r/>
                  <w:r>
                    <w:rPr>
                      <w:b/>
                      <w:i w:val="0"/>
                      <w:color w:val="6B7280"/>
                      <w:sz w:val="16"/>
                    </w:rPr>
                    <w:t>SAMPLE</w:t>
                  </w:r>
                </w:p>
                <w:p>
                  <w:r>
                    <w:rPr>
                      <w:b w:val="0"/>
                      <w:i w:val="0"/>
                      <w:color w:val="1F2937"/>
                      <w:sz w:val="20"/>
                    </w:rPr>
                    <w:t>5mm × 5mm</w:t>
                  </w:r>
                </w:p>
              </w:tc>
              <w:tc>
                <w:tcPr>
                  <w:tcW w:type="dxa" w:w="2556"/>
                </w:tcPr>
                <w:p>
                  <w:r/>
                  <w:r>
                    <w:rPr>
                      <w:b/>
                      <w:i w:val="0"/>
                      <w:color w:val="6B7280"/>
                      <w:sz w:val="16"/>
                    </w:rPr>
                    <w:t>SESSION</w:t>
                  </w:r>
                </w:p>
                <w:p>
                  <w:r>
                    <w:rPr>
                      <w:b w:val="0"/>
                      <w:i w:val="0"/>
                      <w:color w:val="1F2937"/>
                      <w:sz w:val="20"/>
                    </w:rPr>
                    <w:t>Tue, May 26 · 09:00–12:00 EDT</w:t>
                  </w:r>
                </w:p>
              </w:tc>
              <w:tc>
                <w:tcPr>
                  <w:tcW w:type="dxa" w:w="2556"/>
                </w:tcPr>
                <w:p>
                  <w:r/>
                  <w:r>
                    <w:rPr>
                      <w:b/>
                      <w:i w:val="0"/>
                      <w:color w:val="6B7280"/>
                      <w:sz w:val="16"/>
                    </w:rPr>
                    <w:t>PREP STARTS</w:t>
                  </w:r>
                </w:p>
                <w:p>
                  <w:r>
                    <w:rPr>
                      <w:b w:val="0"/>
                      <w:i w:val="0"/>
                      <w:color w:val="1F2937"/>
                      <w:sz w:val="20"/>
                    </w:rPr>
                    <w:t>Tue, May 26 · 07:00</w:t>
                  </w:r>
                </w:p>
              </w:tc>
              <w:tc>
                <w:tcPr>
                  <w:tcW w:type="dxa" w:w="2556"/>
                </w:tcPr>
                <w:p>
                  <w:r/>
                  <w:r>
                    <w:rPr>
                      <w:b/>
                      <w:i w:val="0"/>
                      <w:color w:val="6B7280"/>
                      <w:sz w:val="16"/>
                    </w:rPr>
                    <w:t>FIT SCORE</w:t>
                  </w:r>
                </w:p>
                <w:p>
                  <w:r>
                    <w:rPr>
                      <w:b w:val="0"/>
                      <w:i w:val="0"/>
                      <w:color w:val="1F2937"/>
                      <w:sz w:val="20"/>
                    </w:rPr>
                    <w:t>92/100 (A)</w:t>
                  </w:r>
                </w:p>
              </w:tc>
            </w:tr>
          </w:tbl>
          <w:p/>
        </w:tc>
      </w:tr>
    </w:tbl>
    <w:tbl>
      <w:tblPr>
        <w:tblW w:type="auto" w:w="0"/>
        <w:tblLook w:firstColumn="1" w:firstRow="1" w:lastColumn="0" w:lastRow="0" w:noHBand="0" w:noVBand="1" w:val="04A0"/>
      </w:tblPr>
      <w:tblGrid>
        <w:gridCol w:w="10224"/>
      </w:tblGrid>
      <w:tr>
        <w:tc>
          <w:tcPr>
            <w:tcW w:type="dxa" w:w="10224"/>
            <w:shd w:val="clear" w:color="auto" w:fill="FFF7E6"/>
          </w:tcPr>
          <w:p>
            <w:r>
              <w:rPr>
                <w:b/>
                <w:i w:val="0"/>
                <w:color w:val="C79A3E"/>
                <w:sz w:val="16"/>
              </w:rPr>
              <w:t>CUSTOMIZED SAMPLE-SPECIFIC NOTES</w:t>
            </w:r>
          </w:p>
          <w:p>
            <w:r>
              <w:rPr>
                <w:b w:val="0"/>
                <w:i w:val="0"/>
                <w:color w:val="1F2937"/>
                <w:sz w:val="20"/>
              </w:rPr>
              <w:t>This SOP is customized for Dr. Priya Anand's fracture surface morphology on martensitic steel. Sample prep (90 min) included before session. Cited RAG sources are listed at the end of this document.</w:t>
            </w:r>
          </w:p>
        </w:tc>
      </w:tr>
    </w:tbl>
    <w:p>
      <w:pPr>
        <w:spacing w:before="280" w:after="120"/>
      </w:pPr>
      <w:r>
        <w:rPr>
          <w:b/>
          <w:i w:val="0"/>
          <w:color w:val="21314F"/>
          <w:sz w:val="22"/>
        </w:rPr>
        <w:t>RECOMMENDED OPERATING PARAMETERS</w:t>
      </w:r>
    </w:p>
    <w:tbl>
      <w:tblPr>
        <w:tblStyle w:val="LightList"/>
        <w:tblW w:type="auto" w:w="0"/>
        <w:tblLook w:firstColumn="1" w:firstRow="1" w:lastColumn="0" w:lastRow="0" w:noHBand="0" w:noVBand="1" w:val="04A0"/>
      </w:tblPr>
      <w:tblGrid>
        <w:gridCol w:w="5112"/>
        <w:gridCol w:w="5112"/>
      </w:tblGrid>
      <w:tr>
        <w:tc>
          <w:tcPr>
            <w:tcW w:type="dxa" w:w="5112"/>
            <w:shd w:val="clear" w:color="auto" w:fill="E5E7EB"/>
          </w:tcPr>
          <w:p>
            <w:r>
              <w:rPr>
                <w:b/>
                <w:i w:val="0"/>
                <w:color w:val="1F2937"/>
                <w:sz w:val="20"/>
              </w:rPr>
              <w:t>Parameter</w:t>
            </w:r>
          </w:p>
        </w:tc>
        <w:tc>
          <w:tcPr>
            <w:tcW w:type="dxa" w:w="5112"/>
            <w:shd w:val="clear" w:color="auto" w:fill="E5E7EB"/>
          </w:tcPr>
          <w:p>
            <w:r>
              <w:rPr>
                <w:b/>
                <w:i w:val="0"/>
                <w:color w:val="1F2937"/>
                <w:sz w:val="20"/>
              </w:rPr>
              <w:t>Recommended value (with citation)</w:t>
            </w:r>
          </w:p>
        </w:tc>
      </w:tr>
      <w:tr>
        <w:tc>
          <w:tcPr>
            <w:tcW w:type="dxa" w:w="5112"/>
            <w:tcBorders>
              <w:top w:val="single" w:sz="4" w:color="D1D5DB"/>
              <w:left w:val="single" w:sz="4" w:color="D1D5DB"/>
              <w:bottom w:val="single" w:sz="4" w:color="D1D5DB"/>
              <w:right w:val="single" w:sz="4" w:color="D1D5DB"/>
            </w:tcBorders>
          </w:tcPr>
          <w:p>
            <w:r>
              <w:rPr>
                <w:b/>
                <w:i w:val="0"/>
                <w:color w:val="1F2937"/>
                <w:sz w:val="20"/>
              </w:rPr>
              <w:t>Accelerating voltage</w:t>
            </w:r>
          </w:p>
        </w:tc>
        <w:tc>
          <w:tcPr>
            <w:tcW w:type="dxa" w:w="5112"/>
            <w:tcBorders>
              <w:top w:val="single" w:sz="4" w:color="D1D5DB"/>
              <w:left w:val="single" w:sz="4" w:color="D1D5DB"/>
              <w:bottom w:val="single" w:sz="4" w:color="D1D5DB"/>
              <w:right w:val="single" w:sz="4" w:color="D1D5DB"/>
            </w:tcBorders>
          </w:tcPr>
          <w:p>
            <w:r>
              <w:rPr>
                <w:b w:val="0"/>
                <w:i w:val="0"/>
                <w:color w:val="1F2937"/>
                <w:sz w:val="20"/>
              </w:rPr>
              <w:t>10–20 kV</w:t>
            </w:r>
            <w:r>
              <w:t xml:space="preserve">  </w:t>
            </w:r>
            <w:r>
              <w:rPr>
                <w:b w:val="0"/>
                <w:i/>
                <w:color w:val="3B6FB5"/>
                <w:sz w:val="18"/>
              </w:rPr>
              <w:t>[Historical Run Log Run #2]</w:t>
            </w:r>
          </w:p>
        </w:tc>
      </w:tr>
      <w:tr>
        <w:tc>
          <w:tcPr>
            <w:tcW w:type="dxa" w:w="5112"/>
            <w:tcBorders>
              <w:top w:val="single" w:sz="4" w:color="D1D5DB"/>
              <w:left w:val="single" w:sz="4" w:color="D1D5DB"/>
              <w:bottom w:val="single" w:sz="4" w:color="D1D5DB"/>
              <w:right w:val="single" w:sz="4" w:color="D1D5DB"/>
            </w:tcBorders>
          </w:tcPr>
          <w:p>
            <w:r>
              <w:rPr>
                <w:b/>
                <w:i w:val="0"/>
                <w:color w:val="1F2937"/>
                <w:sz w:val="20"/>
              </w:rPr>
              <w:t>Coating</w:t>
            </w:r>
          </w:p>
        </w:tc>
        <w:tc>
          <w:tcPr>
            <w:tcW w:type="dxa" w:w="5112"/>
            <w:tcBorders>
              <w:top w:val="single" w:sz="4" w:color="D1D5DB"/>
              <w:left w:val="single" w:sz="4" w:color="D1D5DB"/>
              <w:bottom w:val="single" w:sz="4" w:color="D1D5DB"/>
              <w:right w:val="single" w:sz="4" w:color="D1D5DB"/>
            </w:tcBorders>
          </w:tcPr>
          <w:p>
            <w:r>
              <w:rPr>
                <w:b w:val="0"/>
                <w:i w:val="0"/>
                <w:color w:val="1F2937"/>
                <w:sz w:val="20"/>
              </w:rPr>
              <w:t>Carbon, 5–10 nm</w:t>
            </w:r>
            <w:r>
              <w:t xml:space="preserve">  </w:t>
            </w:r>
            <w:r>
              <w:rPr>
                <w:b w:val="0"/>
                <w:i/>
                <w:color w:val="3B6FB5"/>
                <w:sz w:val="18"/>
              </w:rPr>
              <w:t>[Historical Run Log Run #2]</w:t>
            </w:r>
          </w:p>
        </w:tc>
      </w:tr>
      <w:tr>
        <w:tc>
          <w:tcPr>
            <w:tcW w:type="dxa" w:w="5112"/>
            <w:tcBorders>
              <w:top w:val="single" w:sz="4" w:color="D1D5DB"/>
              <w:left w:val="single" w:sz="4" w:color="D1D5DB"/>
              <w:bottom w:val="single" w:sz="4" w:color="D1D5DB"/>
              <w:right w:val="single" w:sz="4" w:color="D1D5DB"/>
            </w:tcBorders>
          </w:tcPr>
          <w:p>
            <w:r>
              <w:rPr>
                <w:b/>
                <w:i w:val="0"/>
                <w:color w:val="1F2937"/>
                <w:sz w:val="20"/>
              </w:rPr>
              <w:t>Working distance</w:t>
            </w:r>
          </w:p>
        </w:tc>
        <w:tc>
          <w:tcPr>
            <w:tcW w:type="dxa" w:w="5112"/>
            <w:tcBorders>
              <w:top w:val="single" w:sz="4" w:color="D1D5DB"/>
              <w:left w:val="single" w:sz="4" w:color="D1D5DB"/>
              <w:bottom w:val="single" w:sz="4" w:color="D1D5DB"/>
              <w:right w:val="single" w:sz="4" w:color="D1D5DB"/>
            </w:tcBorders>
          </w:tcPr>
          <w:p>
            <w:r>
              <w:rPr>
                <w:b w:val="0"/>
                <w:i w:val="0"/>
                <w:color w:val="1F2937"/>
                <w:sz w:val="20"/>
              </w:rPr>
              <w:t>10 mm</w:t>
            </w:r>
            <w:r>
              <w:t xml:space="preserve">  </w:t>
            </w:r>
            <w:r>
              <w:rPr>
                <w:b w:val="0"/>
                <w:i/>
                <w:color w:val="3B6FB5"/>
                <w:sz w:val="18"/>
              </w:rPr>
              <w:t>[Historical Run Log Run #2]</w:t>
            </w:r>
          </w:p>
        </w:tc>
      </w:tr>
      <w:tr>
        <w:tc>
          <w:tcPr>
            <w:tcW w:type="dxa" w:w="5112"/>
            <w:tcBorders>
              <w:top w:val="single" w:sz="4" w:color="D1D5DB"/>
              <w:left w:val="single" w:sz="4" w:color="D1D5DB"/>
              <w:bottom w:val="single" w:sz="4" w:color="D1D5DB"/>
              <w:right w:val="single" w:sz="4" w:color="D1D5DB"/>
            </w:tcBorders>
          </w:tcPr>
          <w:p>
            <w:r>
              <w:rPr>
                <w:b/>
                <w:i w:val="0"/>
                <w:color w:val="1F2937"/>
                <w:sz w:val="20"/>
              </w:rPr>
              <w:t>Spot size</w:t>
            </w:r>
          </w:p>
        </w:tc>
        <w:tc>
          <w:tcPr>
            <w:tcW w:type="dxa" w:w="5112"/>
            <w:tcBorders>
              <w:top w:val="single" w:sz="4" w:color="D1D5DB"/>
              <w:left w:val="single" w:sz="4" w:color="D1D5DB"/>
              <w:bottom w:val="single" w:sz="4" w:color="D1D5DB"/>
              <w:right w:val="single" w:sz="4" w:color="D1D5DB"/>
            </w:tcBorders>
          </w:tcPr>
          <w:p>
            <w:r>
              <w:rPr>
                <w:b w:val="0"/>
                <w:i w:val="0"/>
                <w:color w:val="1F2937"/>
                <w:sz w:val="20"/>
              </w:rPr>
              <w:t>Auto (medium)</w:t>
            </w:r>
          </w:p>
        </w:tc>
      </w:tr>
    </w:tbl>
    <w:p>
      <w:pPr>
        <w:spacing w:before="280" w:after="120"/>
      </w:pPr>
      <w:r>
        <w:rPr>
          <w:b/>
          <w:i w:val="0"/>
          <w:color w:val="21314F"/>
          <w:sz w:val="22"/>
        </w:rPr>
        <w:t>PRE-SESSION CHECKLIST  (CUSTOMIZED TO SAMPLE)</w:t>
      </w:r>
    </w:p>
    <w:p>
      <w:pPr>
        <w:ind w:left="216"/>
      </w:pPr>
      <w:r>
        <w:rPr>
          <w:b w:val="0"/>
          <w:i w:val="0"/>
          <w:color w:val="21314F"/>
          <w:sz w:val="22"/>
        </w:rPr>
        <w:t xml:space="preserve">☐  </w:t>
      </w:r>
      <w:r>
        <w:rPr>
          <w:b w:val="0"/>
          <w:i w:val="0"/>
          <w:color w:val="1F2937"/>
          <w:sz w:val="20"/>
        </w:rPr>
        <w:t>Carbon coat 5mm × 5mm at Station 2B (~90 min)</w:t>
      </w:r>
      <w:r>
        <w:t xml:space="preserve">  </w:t>
      </w:r>
      <w:r>
        <w:rPr>
          <w:b w:val="0"/>
          <w:i/>
          <w:color w:val="3B6FB5"/>
          <w:sz w:val="18"/>
        </w:rPr>
        <w:t>[Historical Run Log Run #2]</w:t>
      </w:r>
    </w:p>
    <w:p>
      <w:pPr>
        <w:ind w:left="216"/>
      </w:pPr>
      <w:r>
        <w:rPr>
          <w:b w:val="0"/>
          <w:i w:val="0"/>
          <w:color w:val="21314F"/>
          <w:sz w:val="22"/>
        </w:rPr>
        <w:t xml:space="preserve">☐  </w:t>
      </w:r>
      <w:r>
        <w:rPr>
          <w:b w:val="0"/>
          <w:i w:val="0"/>
          <w:color w:val="1F2937"/>
          <w:sz w:val="20"/>
        </w:rPr>
        <w:t>Confirm safety training for JEOL JSM-IT800 SEM-EDS is current</w:t>
      </w:r>
    </w:p>
    <w:p>
      <w:pPr>
        <w:ind w:left="216"/>
      </w:pPr>
      <w:r>
        <w:rPr>
          <w:b w:val="0"/>
          <w:i w:val="0"/>
          <w:color w:val="21314F"/>
          <w:sz w:val="22"/>
        </w:rPr>
        <w:t xml:space="preserve">☐  </w:t>
      </w:r>
      <w:r>
        <w:rPr>
          <w:b w:val="0"/>
          <w:i w:val="0"/>
          <w:color w:val="1F2937"/>
          <w:sz w:val="20"/>
        </w:rPr>
        <w:t>Arrive by 07:00 for warm-up and prep</w:t>
      </w:r>
    </w:p>
    <w:p>
      <w:pPr>
        <w:ind w:left="216"/>
      </w:pPr>
      <w:r>
        <w:rPr>
          <w:b w:val="0"/>
          <w:i w:val="0"/>
          <w:color w:val="21314F"/>
          <w:sz w:val="22"/>
        </w:rPr>
        <w:t xml:space="preserve">☐  </w:t>
      </w:r>
      <w:r>
        <w:rPr>
          <w:b w:val="0"/>
          <w:i w:val="0"/>
          <w:color w:val="1F2937"/>
          <w:sz w:val="20"/>
        </w:rPr>
        <w:t>Review SDS for martensitic steel and lab EH&amp;S guidelines</w:t>
      </w:r>
      <w:r>
        <w:t xml:space="preserve">  </w:t>
      </w:r>
      <w:r>
        <w:rPr>
          <w:b w:val="0"/>
          <w:i/>
          <w:color w:val="3B6FB5"/>
          <w:sz w:val="18"/>
        </w:rPr>
        <w:t>[Historical Run Log Run #8]</w:t>
      </w:r>
    </w:p>
    <w:p>
      <w:pPr>
        <w:ind w:left="216"/>
      </w:pPr>
      <w:r>
        <w:rPr>
          <w:b w:val="0"/>
          <w:i w:val="0"/>
          <w:color w:val="21314F"/>
          <w:sz w:val="22"/>
        </w:rPr>
        <w:t xml:space="preserve">☐  </w:t>
      </w:r>
      <w:r>
        <w:rPr>
          <w:b w:val="0"/>
          <w:i w:val="0"/>
          <w:color w:val="1F2937"/>
          <w:sz w:val="20"/>
        </w:rPr>
        <w:t>Bring USB drive labelled with research group</w:t>
      </w:r>
    </w:p>
    <w:p>
      <w:pPr>
        <w:spacing w:before="280" w:after="120"/>
      </w:pPr>
      <w:r>
        <w:rPr>
          <w:b/>
          <w:i w:val="0"/>
          <w:color w:val="21314F"/>
          <w:sz w:val="22"/>
        </w:rPr>
        <w:t>STEP-BY-STEP PROCEDURE</w:t>
      </w:r>
    </w:p>
    <w:p>
      <w:pPr>
        <w:ind w:left="72"/>
      </w:pPr>
      <w:r>
        <w:rPr>
          <w:b/>
          <w:i w:val="0"/>
          <w:color w:val="21314F"/>
          <w:sz w:val="22"/>
        </w:rPr>
        <w:t xml:space="preserve">1. </w:t>
      </w:r>
      <w:r>
        <w:rPr>
          <w:b/>
          <w:i w:val="0"/>
          <w:color w:val="1F2937"/>
          <w:sz w:val="20"/>
        </w:rPr>
        <w:t>Warm-up</w:t>
      </w:r>
      <w:r>
        <w:rPr>
          <w:b w:val="0"/>
          <w:i w:val="0"/>
          <w:color w:val="6B7280"/>
          <w:sz w:val="20"/>
        </w:rPr>
        <w:t xml:space="preserve"> — </w:t>
      </w:r>
      <w:r>
        <w:rPr>
          <w:b w:val="0"/>
          <w:i w:val="0"/>
          <w:color w:val="1F2937"/>
          <w:sz w:val="20"/>
        </w:rPr>
        <w:t>Power on the instrument and complete its warm-up cycle (~30 min).</w:t>
      </w:r>
      <w:r>
        <w:t xml:space="preserve">  </w:t>
      </w:r>
      <w:r>
        <w:rPr>
          <w:b w:val="0"/>
          <w:i/>
          <w:color w:val="3B6FB5"/>
          <w:sz w:val="18"/>
        </w:rPr>
        <w:t>[Historical Run Log Run #8]</w:t>
      </w:r>
    </w:p>
    <w:p>
      <w:pPr>
        <w:ind w:left="72"/>
      </w:pPr>
      <w:r>
        <w:rPr>
          <w:b/>
          <w:i w:val="0"/>
          <w:color w:val="21314F"/>
          <w:sz w:val="22"/>
        </w:rPr>
        <w:t xml:space="preserve">2. </w:t>
      </w:r>
      <w:r>
        <w:rPr>
          <w:b/>
          <w:i w:val="0"/>
          <w:color w:val="1F2937"/>
          <w:sz w:val="20"/>
        </w:rPr>
        <w:t>Load sample</w:t>
      </w:r>
      <w:r>
        <w:rPr>
          <w:b w:val="0"/>
          <w:i w:val="0"/>
          <w:color w:val="6B7280"/>
          <w:sz w:val="20"/>
        </w:rPr>
        <w:t xml:space="preserve"> — </w:t>
      </w:r>
      <w:r>
        <w:rPr>
          <w:b w:val="0"/>
          <w:i w:val="0"/>
          <w:color w:val="1F2937"/>
          <w:sz w:val="20"/>
        </w:rPr>
        <w:t>Mount martensitic steel (5mm × 5mm). Verify surface level and stage clearance.</w:t>
      </w:r>
      <w:r>
        <w:t xml:space="preserve">  </w:t>
      </w:r>
      <w:r>
        <w:rPr>
          <w:b w:val="0"/>
          <w:i/>
          <w:color w:val="3B6FB5"/>
          <w:sz w:val="18"/>
        </w:rPr>
        <w:t>[Historical Run Log Run #2]</w:t>
      </w:r>
    </w:p>
    <w:p>
      <w:pPr>
        <w:ind w:left="72"/>
      </w:pPr>
      <w:r>
        <w:rPr>
          <w:b/>
          <w:i w:val="0"/>
          <w:color w:val="21314F"/>
          <w:sz w:val="22"/>
        </w:rPr>
        <w:t xml:space="preserve">3. </w:t>
      </w:r>
      <w:r>
        <w:rPr>
          <w:b/>
          <w:i w:val="0"/>
          <w:color w:val="1F2937"/>
          <w:sz w:val="20"/>
        </w:rPr>
        <w:t>Configure</w:t>
      </w:r>
      <w:r>
        <w:rPr>
          <w:b w:val="0"/>
          <w:i w:val="0"/>
          <w:color w:val="6B7280"/>
          <w:sz w:val="20"/>
        </w:rPr>
        <w:t xml:space="preserve"> — </w:t>
      </w:r>
      <w:r>
        <w:rPr>
          <w:b w:val="0"/>
          <w:i w:val="0"/>
          <w:color w:val="1F2937"/>
          <w:sz w:val="20"/>
        </w:rPr>
        <w:t>Apply parameters above for fracture surface morphology.</w:t>
      </w:r>
      <w:r>
        <w:t xml:space="preserve">  </w:t>
      </w:r>
      <w:r>
        <w:rPr>
          <w:b w:val="0"/>
          <w:i/>
          <w:color w:val="3B6FB5"/>
          <w:sz w:val="18"/>
        </w:rPr>
        <w:t>[Historical Run Log Run #2]</w:t>
      </w:r>
    </w:p>
    <w:p>
      <w:pPr>
        <w:ind w:left="72"/>
      </w:pPr>
      <w:r>
        <w:rPr>
          <w:b/>
          <w:i w:val="0"/>
          <w:color w:val="21314F"/>
          <w:sz w:val="22"/>
        </w:rPr>
        <w:t xml:space="preserve">4. </w:t>
      </w:r>
      <w:r>
        <w:rPr>
          <w:b/>
          <w:i w:val="0"/>
          <w:color w:val="1F2937"/>
          <w:sz w:val="20"/>
        </w:rPr>
        <w:t>Acquire data</w:t>
      </w:r>
      <w:r>
        <w:rPr>
          <w:b w:val="0"/>
          <w:i w:val="0"/>
          <w:color w:val="6B7280"/>
          <w:sz w:val="20"/>
        </w:rPr>
        <w:t xml:space="preserve"> — </w:t>
      </w:r>
      <w:r>
        <w:rPr>
          <w:b w:val="0"/>
          <w:i w:val="0"/>
          <w:color w:val="1F2937"/>
          <w:sz w:val="20"/>
        </w:rPr>
        <w:t>Run the planned scan / image series for fracture surface morphology. Monitor for saturation or charging.</w:t>
      </w:r>
    </w:p>
    <w:p>
      <w:pPr>
        <w:ind w:left="72"/>
      </w:pPr>
      <w:r>
        <w:rPr>
          <w:b/>
          <w:i w:val="0"/>
          <w:color w:val="21314F"/>
          <w:sz w:val="22"/>
        </w:rPr>
        <w:t xml:space="preserve">5. </w:t>
      </w:r>
      <w:r>
        <w:rPr>
          <w:b/>
          <w:i w:val="0"/>
          <w:color w:val="1F2937"/>
          <w:sz w:val="20"/>
        </w:rPr>
        <w:t>Export</w:t>
      </w:r>
      <w:r>
        <w:rPr>
          <w:b w:val="0"/>
          <w:i w:val="0"/>
          <w:color w:val="6B7280"/>
          <w:sz w:val="20"/>
        </w:rPr>
        <w:t xml:space="preserve"> — </w:t>
      </w:r>
      <w:r>
        <w:rPr>
          <w:b w:val="0"/>
          <w:i w:val="0"/>
          <w:color w:val="1F2937"/>
          <w:sz w:val="20"/>
        </w:rPr>
        <w:t>Save raw files to lab server under your group folder.</w:t>
      </w:r>
    </w:p>
    <w:p>
      <w:pPr>
        <w:ind w:left="72"/>
      </w:pPr>
      <w:r>
        <w:rPr>
          <w:b/>
          <w:i w:val="0"/>
          <w:color w:val="21314F"/>
          <w:sz w:val="22"/>
        </w:rPr>
        <w:t xml:space="preserve">6. </w:t>
      </w:r>
      <w:r>
        <w:rPr>
          <w:b/>
          <w:i w:val="0"/>
          <w:color w:val="1F2937"/>
          <w:sz w:val="20"/>
        </w:rPr>
        <w:t>Shutdown</w:t>
      </w:r>
      <w:r>
        <w:rPr>
          <w:b w:val="0"/>
          <w:i w:val="0"/>
          <w:color w:val="6B7280"/>
          <w:sz w:val="20"/>
        </w:rPr>
        <w:t xml:space="preserve"> — </w:t>
      </w:r>
      <w:r>
        <w:rPr>
          <w:b w:val="0"/>
          <w:i w:val="0"/>
          <w:color w:val="1F2937"/>
          <w:sz w:val="20"/>
        </w:rPr>
        <w:t>Follow instrument-specific shutdown checklist in the lab binder.</w:t>
      </w:r>
    </w:p>
    <w:p>
      <w:pPr>
        <w:spacing w:before="280" w:after="120"/>
      </w:pPr>
      <w:r>
        <w:rPr>
          <w:b/>
          <w:i w:val="0"/>
          <w:color w:val="21314F"/>
          <w:sz w:val="22"/>
        </w:rPr>
        <w:t>POST-RUN CHECKLIST</w:t>
      </w:r>
    </w:p>
    <w:p>
      <w:pPr>
        <w:ind w:left="216"/>
      </w:pPr>
      <w:r>
        <w:rPr>
          <w:b w:val="0"/>
          <w:i w:val="0"/>
          <w:color w:val="21314F"/>
          <w:sz w:val="22"/>
        </w:rPr>
        <w:t xml:space="preserve">☐  </w:t>
      </w:r>
      <w:r>
        <w:rPr>
          <w:b w:val="0"/>
          <w:i w:val="0"/>
          <w:color w:val="1F2937"/>
          <w:sz w:val="20"/>
        </w:rPr>
        <w:t>Submit LODE post-run report with actual parameters + quality rating</w:t>
      </w:r>
    </w:p>
    <w:p>
      <w:pPr>
        <w:ind w:left="216"/>
      </w:pPr>
      <w:r>
        <w:rPr>
          <w:b w:val="0"/>
          <w:i w:val="0"/>
          <w:color w:val="21314F"/>
          <w:sz w:val="22"/>
        </w:rPr>
        <w:t xml:space="preserve">☐  </w:t>
      </w:r>
      <w:r>
        <w:rPr>
          <w:b w:val="0"/>
          <w:i w:val="0"/>
          <w:color w:val="1F2937"/>
          <w:sz w:val="20"/>
        </w:rPr>
        <w:t>Log instrument hours and any anomalies in the maintenance log</w:t>
      </w:r>
    </w:p>
    <w:p>
      <w:pPr>
        <w:ind w:left="216"/>
      </w:pPr>
      <w:r>
        <w:rPr>
          <w:b w:val="0"/>
          <w:i w:val="0"/>
          <w:color w:val="21314F"/>
          <w:sz w:val="22"/>
        </w:rPr>
        <w:t xml:space="preserve">☐  </w:t>
      </w:r>
      <w:r>
        <w:rPr>
          <w:b w:val="0"/>
          <w:i w:val="0"/>
          <w:color w:val="1F2937"/>
          <w:sz w:val="20"/>
        </w:rPr>
        <w:t>Backup raw data to research group share within 24 hours</w:t>
      </w:r>
    </w:p>
    <w:p>
      <w:pPr>
        <w:ind w:left="216"/>
      </w:pPr>
      <w:r>
        <w:rPr>
          <w:b w:val="0"/>
          <w:i w:val="0"/>
          <w:color w:val="21314F"/>
          <w:sz w:val="22"/>
        </w:rPr>
        <w:t xml:space="preserve">☐  </w:t>
      </w:r>
      <w:r>
        <w:rPr>
          <w:b w:val="0"/>
          <w:i w:val="0"/>
          <w:color w:val="1F2937"/>
          <w:sz w:val="20"/>
        </w:rPr>
        <w:t>Notify lab manager of any DET-SAT, VAC-LOW, or charging issues</w:t>
      </w:r>
    </w:p>
    <w:p>
      <w:pPr>
        <w:spacing w:before="280" w:after="120"/>
      </w:pPr>
      <w:r>
        <w:rPr>
          <w:b/>
          <w:i w:val="0"/>
          <w:color w:val="21314F"/>
          <w:sz w:val="22"/>
        </w:rPr>
        <w:t>SAFETY NOTES</w:t>
      </w:r>
    </w:p>
    <w:p>
      <w:pPr>
        <w:ind w:left="216"/>
      </w:pPr>
      <w:r>
        <w:rPr>
          <w:b w:val="0"/>
          <w:i w:val="0"/>
          <w:color w:val="21314F"/>
          <w:sz w:val="22"/>
        </w:rPr>
        <w:t xml:space="preserve">•  </w:t>
      </w:r>
      <w:r>
        <w:rPr>
          <w:b w:val="0"/>
          <w:i w:val="0"/>
          <w:color w:val="1F2937"/>
          <w:sz w:val="20"/>
        </w:rPr>
        <w:t>Handle martensitic steel per Mines EH&amp;S guidelines.</w:t>
      </w:r>
      <w:r>
        <w:t xml:space="preserve">  </w:t>
      </w:r>
      <w:r>
        <w:rPr>
          <w:b w:val="0"/>
          <w:i/>
          <w:color w:val="3B6FB5"/>
          <w:sz w:val="18"/>
        </w:rPr>
        <w:t>[Historical Run Log Run #8]</w:t>
      </w:r>
    </w:p>
    <w:p>
      <w:pPr>
        <w:ind w:left="216"/>
      </w:pPr>
      <w:r>
        <w:rPr>
          <w:b w:val="0"/>
          <w:i w:val="0"/>
          <w:color w:val="21314F"/>
          <w:sz w:val="22"/>
        </w:rPr>
        <w:t xml:space="preserve">•  </w:t>
      </w:r>
      <w:r>
        <w:rPr>
          <w:b w:val="0"/>
          <w:i w:val="0"/>
          <w:color w:val="1F2937"/>
          <w:sz w:val="20"/>
        </w:rPr>
        <w:t>PPE: safety glasses (and gloves when handling powders).</w:t>
      </w:r>
    </w:p>
    <w:p>
      <w:pPr>
        <w:ind w:left="216"/>
      </w:pPr>
      <w:r>
        <w:rPr>
          <w:b w:val="0"/>
          <w:i w:val="0"/>
          <w:color w:val="21314F"/>
          <w:sz w:val="22"/>
        </w:rPr>
        <w:t xml:space="preserve">•  </w:t>
      </w:r>
      <w:r>
        <w:rPr>
          <w:b w:val="0"/>
          <w:i w:val="0"/>
          <w:color w:val="1F2937"/>
          <w:sz w:val="20"/>
        </w:rPr>
        <w:t>Hazardous materials flagged — coordinate with EH&amp;S before session.</w:t>
      </w:r>
    </w:p>
    <w:p>
      <w:pPr>
        <w:spacing w:before="280" w:after="120"/>
      </w:pPr>
      <w:r>
        <w:rPr>
          <w:b/>
          <w:i w:val="0"/>
          <w:color w:val="21314F"/>
          <w:sz w:val="22"/>
        </w:rPr>
        <w:t>RAG REFERENCES</w:t>
      </w:r>
    </w:p>
    <w:p>
      <w:r>
        <w:rPr>
          <w:b w:val="0"/>
          <w:i/>
          <w:color w:val="6B7280"/>
          <w:sz w:val="18"/>
        </w:rPr>
        <w:t>This SOP was generated by LODE's authoring agent grounded in the following lab knowledge sources (manuals, lab SOPs, maintenance logs).</w:t>
      </w:r>
    </w:p>
    <w:p>
      <w:pPr>
        <w:ind w:left="144"/>
      </w:pPr>
      <w:r>
        <w:rPr>
          <w:b/>
          <w:i w:val="0"/>
          <w:color w:val="21314F"/>
          <w:sz w:val="20"/>
        </w:rPr>
        <w:t xml:space="preserve">[1] </w:t>
      </w:r>
      <w:r>
        <w:rPr>
          <w:b w:val="0"/>
          <w:i w:val="0"/>
          <w:color w:val="1F2937"/>
          <w:sz w:val="20"/>
        </w:rPr>
        <w:t>Historical Run Log — Run #2</w:t>
      </w:r>
    </w:p>
    <w:p>
      <w:pPr>
        <w:ind w:left="144"/>
      </w:pPr>
      <w:r>
        <w:rPr>
          <w:b/>
          <w:i w:val="0"/>
          <w:color w:val="21314F"/>
          <w:sz w:val="20"/>
        </w:rPr>
        <w:t xml:space="preserve">[2] </w:t>
      </w:r>
      <w:r>
        <w:rPr>
          <w:b w:val="0"/>
          <w:i w:val="0"/>
          <w:color w:val="1F2937"/>
          <w:sz w:val="20"/>
        </w:rPr>
        <w:t>Historical Run Log — Run #8</w:t>
      </w:r>
    </w:p>
    <w:p>
      <w:pPr>
        <w:ind w:left="144"/>
      </w:pPr>
      <w:r>
        <w:rPr>
          <w:b/>
          <w:i w:val="0"/>
          <w:color w:val="21314F"/>
          <w:sz w:val="20"/>
        </w:rPr>
        <w:t xml:space="preserve">[3] </w:t>
      </w:r>
      <w:r>
        <w:rPr>
          <w:b w:val="0"/>
          <w:i w:val="0"/>
          <w:color w:val="1F2937"/>
          <w:sz w:val="20"/>
        </w:rPr>
        <w:t>Historical Run Log — Run #6</w:t>
      </w:r>
    </w:p>
    <w:p>
      <w:pPr>
        <w:ind w:left="144"/>
      </w:pPr>
      <w:r>
        <w:rPr>
          <w:b/>
          <w:i w:val="0"/>
          <w:color w:val="21314F"/>
          <w:sz w:val="20"/>
        </w:rPr>
        <w:t xml:space="preserve">[4] </w:t>
      </w:r>
      <w:r>
        <w:rPr>
          <w:b w:val="0"/>
          <w:i w:val="0"/>
          <w:color w:val="1F2937"/>
          <w:sz w:val="20"/>
        </w:rPr>
        <w:t>Historical Run Log — Run #7</w:t>
      </w:r>
    </w:p>
    <w:p>
      <w:pPr>
        <w:ind w:left="144"/>
      </w:pPr>
      <w:r>
        <w:rPr>
          <w:b/>
          <w:i w:val="0"/>
          <w:color w:val="21314F"/>
          <w:sz w:val="20"/>
        </w:rPr>
        <w:t xml:space="preserve">[5] </w:t>
      </w:r>
      <w:r>
        <w:rPr>
          <w:b w:val="0"/>
          <w:i w:val="0"/>
          <w:color w:val="1F2937"/>
          <w:sz w:val="20"/>
        </w:rPr>
        <w:t>Historical Run Log — Run #9</w:t>
      </w:r>
    </w:p>
    <w:p>
      <w:pPr>
        <w:ind w:left="144"/>
      </w:pPr>
      <w:r>
        <w:rPr>
          <w:b/>
          <w:i w:val="0"/>
          <w:color w:val="21314F"/>
          <w:sz w:val="20"/>
        </w:rPr>
        <w:t xml:space="preserve">[6] </w:t>
      </w:r>
      <w:r>
        <w:rPr>
          <w:b w:val="0"/>
          <w:i w:val="0"/>
          <w:color w:val="1F2937"/>
          <w:sz w:val="20"/>
        </w:rPr>
        <w:t>Historical Run Log — Run #5</w:t>
      </w:r>
    </w:p>
    <w:p>
      <w:pPr>
        <w:ind w:left="144"/>
      </w:pPr>
      <w:r>
        <w:rPr>
          <w:b/>
          <w:i w:val="0"/>
          <w:color w:val="21314F"/>
          <w:sz w:val="20"/>
        </w:rPr>
        <w:t xml:space="preserve">[7] </w:t>
      </w:r>
      <w:r>
        <w:rPr>
          <w:b w:val="0"/>
          <w:i w:val="0"/>
          <w:color w:val="1F2937"/>
          <w:sz w:val="20"/>
        </w:rPr>
        <w:t>JEOL JSM-IT800 EDS/EBSD Attachment Guide — 6.1 EDS vs EBSD Selection (p.112)</w:t>
      </w:r>
    </w:p>
    <w:p>
      <w:pPr>
        <w:ind w:left="144"/>
      </w:pPr>
      <w:r>
        <w:rPr>
          <w:b/>
          <w:i w:val="0"/>
          <w:color w:val="21314F"/>
          <w:sz w:val="20"/>
        </w:rPr>
        <w:t xml:space="preserve">[8] </w:t>
      </w:r>
      <w:r>
        <w:rPr>
          <w:b w:val="0"/>
          <w:i w:val="0"/>
          <w:color w:val="1F2937"/>
          <w:sz w:val="20"/>
        </w:rPr>
        <w:t>jeol-sem — jeol-sem</w:t>
      </w:r>
    </w:p>
    <w:p>
      <w:pPr>
        <w:spacing w:before="280"/>
      </w:pPr>
      <w:r>
        <w:rPr>
          <w:b/>
          <w:i w:val="0"/>
          <w:color w:val="6B7280"/>
          <w:sz w:val="18"/>
        </w:rPr>
        <w:t xml:space="preserve">Fit rationale: </w:t>
      </w:r>
      <w:r>
        <w:rPr>
          <w:b w:val="0"/>
          <w:i/>
          <w:color w:val="6B7280"/>
          <w:sz w:val="18"/>
        </w:rPr>
        <w:t>SEM with EDS is optimal for fracture surface chemistry mapping at the sample scale described. [Source: JEOL JSM-IT800 Manual, Section 3.2, p.42] Carbon coating required before imaging.</w:t>
      </w:r>
    </w:p>
    <w:sectPr w:rsidR="00FC693F" w:rsidRPr="0006063C" w:rsidSect="00034616">
      <w:pgSz w:w="12240" w:h="15840"/>
      <w:pgMar w:top="864"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