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A192F"/>
          <w:sz w:val="44"/>
        </w:rPr>
        <w:t>SENTINELSHIELD AI</w:t>
      </w:r>
    </w:p>
    <w:p>
      <w:pPr>
        <w:spacing w:after="80"/>
        <w:jc w:val="center"/>
      </w:pPr>
      <w:r>
        <w:rPr>
          <w:b/>
          <w:color w:val="0E7490"/>
          <w:sz w:val="24"/>
        </w:rPr>
        <w:t>Autonomous Multi-Modal Cyber Defense, Voice Deepfake &amp; Phishing Neutralization Platform</w:t>
      </w:r>
    </w:p>
    <w:p>
      <w:pPr>
        <w:spacing w:after="280"/>
        <w:jc w:val="center"/>
      </w:pPr>
      <w:r>
        <w:rPr>
          <w:color w:val="64748B"/>
          <w:sz w:val="20"/>
        </w:rPr>
        <w:t>AICTE Smart India Hackathon 2026 • Problem Statement ID: SIH26104 • Team: Neural Defenders</w:t>
      </w:r>
    </w:p>
    <w:p>
      <w:pPr>
        <w:pStyle w:val="Heading1"/>
        <w:spacing w:before="320" w:after="120"/>
      </w:pPr>
      <w:r>
        <w:rPr>
          <w:b/>
          <w:color w:val="0A192F"/>
          <w:sz w:val="32"/>
        </w:rPr>
        <w:t>1. Executive Summary &amp; Problem Context</w:t>
      </w:r>
    </w:p>
    <w:p>
      <w:pPr>
        <w:spacing w:after="80" w:line="276" w:lineRule="auto"/>
      </w:pPr>
      <w:r>
        <w:rPr>
          <w:i w:val="0"/>
          <w:color w:val="1E293B"/>
          <w:sz w:val="20"/>
        </w:rPr>
        <w:t>In recent years, the rapid proliferation of generative artificial intelligence, neural vocoders (HiFi-GAN, WaveGlow, Bark, ElevenLabs), and automated URL obfuscation tools has catalyzed a catastrophic surge in sophisticated cybercrime across India. Scammers leverage cloned biometric voices of family members, high-ranking police officials (CBI/ED), and bank managers to execute high-value digital arrest extortion and financial scams. Concurrently, high-entropy DGA URLs and cloaked open-redirect phishing links bypass traditional domain blocklists.</w:t>
      </w:r>
    </w:p>
    <w:p>
      <w:pPr>
        <w:spacing w:after="80" w:line="276" w:lineRule="auto"/>
      </w:pPr>
      <w:r>
        <w:rPr>
          <w:i w:val="0"/>
          <w:color w:val="1E293B"/>
          <w:sz w:val="20"/>
        </w:rPr>
        <w:t>SentinelShield AI is an enterprise-grade, zero-trust cybersecurity defense platform engineered specifically to solve SIH26104. Operating with sub-14ms latency, the system fuses 38 acoustic vocal tract biomarkers with real-time URL entropy analysis, protecting users during live cellular phone calls and active browsing without compromising privacy or storing raw user data.</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Pr>
          <w:p>
            <w:pPr>
              <w:spacing w:after="40"/>
            </w:pPr>
            <w:r>
              <w:rPr>
                <w:b/>
                <w:color w:val="0E7490"/>
                <w:sz w:val="20"/>
              </w:rPr>
              <w:t>📌 SENTINELSHIELD AI CORE INNOVATION HIGHLIGHTS</w:t>
              <w:br/>
            </w:r>
            <w:r>
              <w:rPr>
                <w:color w:val="1E293B"/>
                <w:sz w:val="19"/>
              </w:rPr>
              <w:t>• Sub-14ms Acoustic &amp; URL Forensic Inference with 0.00% audio disk retention.</w:t>
              <w:br/>
              <w:t>• 2,893 Multi-Lingual Audio Dataset across 13 Indian languages with 99.62% 5-Fold Cross-Validation Accuracy.</w:t>
              <w:br/>
              <w:t>• Court-admissible Section 65B Indian Evidence Act (Section 63 BSA 2023) tamper-evident PDF Dossier generation.</w:t>
              <w:br/>
              <w:t>• Active Android Floating In-Call HUD warning overlay (&lt;300ms) &amp; In-App URL Threat Sandbox.</w:t>
            </w:r>
          </w:p>
        </w:tc>
      </w:tr>
    </w:tbl>
    <w:p>
      <w:pPr>
        <w:spacing w:after="80"/>
      </w:pPr>
    </w:p>
    <w:p>
      <w:pPr>
        <w:pStyle w:val="Heading1"/>
        <w:spacing w:before="320" w:after="120"/>
      </w:pPr>
      <w:r>
        <w:rPr>
          <w:b/>
          <w:color w:val="0A192F"/>
          <w:sz w:val="32"/>
        </w:rPr>
        <w:t>2. System Architecture &amp; Telemetry Pipeline</w:t>
      </w:r>
    </w:p>
    <w:p>
      <w:pPr>
        <w:spacing w:after="80" w:line="276" w:lineRule="auto"/>
      </w:pPr>
      <w:r>
        <w:rPr>
          <w:i w:val="0"/>
          <w:color w:val="1E293B"/>
          <w:sz w:val="20"/>
        </w:rPr>
        <w:t>SentinelShield AI is built upon a hardened zero-trust, volatile-only multi-tier pipeline designed for absolute user privacy, zero disk retention, and sub-second real-time responsiveness.</w:t>
      </w:r>
    </w:p>
    <w:p>
      <w:pPr>
        <w:jc w:val="center"/>
      </w:pP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5669280" cy="3401568"/>
                    </a:xfrm>
                    <a:prstGeom prst="rect"/>
                  </pic:spPr>
                </pic:pic>
              </a:graphicData>
            </a:graphic>
          </wp:inline>
        </w:drawing>
      </w:r>
    </w:p>
    <w:p>
      <w:pPr>
        <w:jc w:val="center"/>
      </w:pPr>
      <w:r>
        <w:rPr>
          <w:i/>
          <w:color w:val="64748B"/>
          <w:sz w:val="17"/>
        </w:rPr>
        <w:t>Figure 1: SentinelShield AI End-to-End System Architecture &amp; Volatile Dataflow Pipeline</w:t>
      </w:r>
    </w:p>
    <w:p>
      <w:pPr>
        <w:pStyle w:val="Heading2"/>
        <w:spacing w:before="240" w:after="80"/>
      </w:pPr>
      <w:r>
        <w:rPr>
          <w:b/>
          <w:color w:val="0E7490"/>
          <w:sz w:val="26"/>
        </w:rPr>
        <w:t>Architectural Pipeline Breakdown:</w:t>
      </w:r>
    </w:p>
    <w:p>
      <w:pPr>
        <w:pStyle w:val="ListBullet"/>
        <w:spacing w:after="60" w:line="276" w:lineRule="auto"/>
      </w:pPr>
      <w:r>
        <w:rPr>
          <w:b/>
          <w:color w:val="1E293B"/>
          <w:sz w:val="20"/>
        </w:rPr>
        <w:t xml:space="preserve">1. Client Ingestion Layer: </w:t>
      </w:r>
      <w:r>
        <w:rPr>
          <w:color w:val="1E293B"/>
          <w:sz w:val="20"/>
        </w:rPr>
        <w:t>Employs WebAudio AudioWorklet and mobile telephony broadcast receivers to stream 200ms audio chunks at 16 kHz without thread blocking.</w:t>
      </w:r>
    </w:p>
    <w:p>
      <w:pPr>
        <w:pStyle w:val="ListBullet"/>
        <w:spacing w:after="60" w:line="276" w:lineRule="auto"/>
      </w:pPr>
      <w:r>
        <w:rPr>
          <w:b/>
          <w:color w:val="1E293B"/>
          <w:sz w:val="20"/>
        </w:rPr>
        <w:t xml:space="preserve">2. Volatile RAM TEE Guard: </w:t>
      </w:r>
      <w:r>
        <w:rPr>
          <w:color w:val="1E293B"/>
          <w:sz w:val="20"/>
        </w:rPr>
        <w:t>All streaming buffers reside strictly in volatile RAM wrapped with ctypes.VirtualLock (Windows) and mlock (POSIX). Absolutely zero audio bytes touch disk storage, and no Automated Speech Recognition (ASR) transcription occurs, guaranteeing 100% compliance with India's DPDP Act 2023.</w:t>
      </w:r>
    </w:p>
    <w:p>
      <w:pPr>
        <w:pStyle w:val="ListBullet"/>
        <w:spacing w:after="60" w:line="276" w:lineRule="auto"/>
      </w:pPr>
      <w:r>
        <w:rPr>
          <w:b/>
          <w:color w:val="1E293B"/>
          <w:sz w:val="20"/>
        </w:rPr>
        <w:t xml:space="preserve">3. Forensic Feature Extraction Layer: </w:t>
      </w:r>
      <w:r>
        <w:rPr>
          <w:color w:val="1E293B"/>
          <w:sz w:val="20"/>
        </w:rPr>
        <w:t>Simultaneously computes 38 vocal tract physical parameters, including 8–16 kHz STFT phase variance, Titze pitch micro-jitter, and Shannon domain entropy in sub-10ms.</w:t>
      </w:r>
    </w:p>
    <w:p>
      <w:pPr>
        <w:pStyle w:val="ListBullet"/>
        <w:spacing w:after="60" w:line="276" w:lineRule="auto"/>
      </w:pPr>
      <w:r>
        <w:rPr>
          <w:b/>
          <w:color w:val="1E293B"/>
          <w:sz w:val="20"/>
        </w:rPr>
        <w:t xml:space="preserve">4. ML Classification &amp; Decision Engine: </w:t>
      </w:r>
      <w:r>
        <w:rPr>
          <w:color w:val="1E293B"/>
          <w:sz w:val="20"/>
        </w:rPr>
        <w:t>A calibrated 150-tree Random Forest ensemble fuses acoustic vectors and heuristic signals to produce a normalized threat score R_final ∈ [0.0, 1.0].</w:t>
      </w:r>
    </w:p>
    <w:p>
      <w:pPr>
        <w:pStyle w:val="ListBullet"/>
        <w:spacing w:after="60" w:line="276" w:lineRule="auto"/>
      </w:pPr>
      <w:r>
        <w:rPr>
          <w:b/>
          <w:color w:val="1E293B"/>
          <w:sz w:val="20"/>
        </w:rPr>
        <w:t xml:space="preserve">5. Threat Mitigation &amp; Legal Forensics: </w:t>
      </w:r>
      <w:r>
        <w:rPr>
          <w:color w:val="1E293B"/>
          <w:sz w:val="20"/>
        </w:rPr>
        <w:t>Upon threat detection, triggers an active floating HUD warning over incoming calls, neutralizes malicious URL redirects, and compiles Section 65B cryptographic evidence dossiers.</w:t>
      </w:r>
    </w:p>
    <w:p>
      <w:pPr>
        <w:pStyle w:val="Heading1"/>
        <w:spacing w:before="320" w:after="120"/>
      </w:pPr>
      <w:r>
        <w:rPr>
          <w:b/>
          <w:color w:val="0A192F"/>
          <w:sz w:val="32"/>
        </w:rPr>
        <w:t>3. Mathematical Methodology &amp; Forensic Formulations</w:t>
      </w:r>
    </w:p>
    <w:p>
      <w:pPr>
        <w:spacing w:after="80" w:line="276" w:lineRule="auto"/>
      </w:pPr>
      <w:r>
        <w:rPr>
          <w:i w:val="0"/>
          <w:color w:val="1E293B"/>
          <w:sz w:val="20"/>
        </w:rPr>
        <w:t>Unlike black-box neural networks that are prone to hallucination and severe latency overheads, SentinelShield AI leverages physics-based vocal tract acoustics and statistical information theory.</w:t>
      </w:r>
    </w:p>
    <w:p>
      <w:pPr>
        <w:jc w:val="center"/>
      </w:pPr>
    </w:p>
    <w:p>
      <w:r>
        <w:drawing>
          <wp:inline xmlns:a="http://schemas.openxmlformats.org/drawingml/2006/main" xmlns:pic="http://schemas.openxmlformats.org/drawingml/2006/picture">
            <wp:extent cx="5669280" cy="3212592"/>
            <wp:docPr id="2" name="Picture 2"/>
            <wp:cNvGraphicFramePr>
              <a:graphicFrameLocks noChangeAspect="1"/>
            </wp:cNvGraphicFramePr>
            <a:graphic>
              <a:graphicData uri="http://schemas.openxmlformats.org/drawingml/2006/picture">
                <pic:pic>
                  <pic:nvPicPr>
                    <pic:cNvPr id="0" name="methodology_flowchart.png"/>
                    <pic:cNvPicPr/>
                  </pic:nvPicPr>
                  <pic:blipFill>
                    <a:blip r:embed="rId10"/>
                    <a:stretch>
                      <a:fillRect/>
                    </a:stretch>
                  </pic:blipFill>
                  <pic:spPr>
                    <a:xfrm>
                      <a:off x="0" y="0"/>
                      <a:ext cx="5669280" cy="3212592"/>
                    </a:xfrm>
                    <a:prstGeom prst="rect"/>
                  </pic:spPr>
                </pic:pic>
              </a:graphicData>
            </a:graphic>
          </wp:inline>
        </w:drawing>
      </w:r>
    </w:p>
    <w:p>
      <w:pPr>
        <w:jc w:val="center"/>
      </w:pPr>
      <w:r>
        <w:rPr>
          <w:i/>
          <w:color w:val="64748B"/>
          <w:sz w:val="17"/>
        </w:rPr>
        <w:t>Figure 2: Mathematical Formulations &amp; Multi-Vector DSP Feature Pipeline</w:t>
      </w:r>
    </w:p>
    <w:p>
      <w:pPr>
        <w:pStyle w:val="Heading2"/>
        <w:spacing w:before="240" w:after="80"/>
      </w:pPr>
      <w:r>
        <w:rPr>
          <w:b/>
          <w:color w:val="0E7490"/>
          <w:sz w:val="26"/>
        </w:rPr>
        <w:t>Mathematical Formulations &amp; Biomarkers:</w:t>
      </w:r>
    </w:p>
    <w:p>
      <w:pPr>
        <w:pStyle w:val="ListBullet"/>
        <w:spacing w:after="60" w:line="276" w:lineRule="auto"/>
      </w:pPr>
      <w:r>
        <w:rPr>
          <w:b/>
          <w:color w:val="1E293B"/>
          <w:sz w:val="20"/>
        </w:rPr>
        <w:t xml:space="preserve">1. Mel-Frequency Cepstral Coefficients (MFCCs): </w:t>
      </w:r>
      <w:r>
        <w:rPr>
          <w:color w:val="1E293B"/>
          <w:sz w:val="20"/>
        </w:rPr>
        <w:t>Transforms linear frequency f into non-linear cochlear pitch scale: m = 2595 · log₁₀(1 + f / 700). 13 static MFCC coefficients + 13 first-order delta differentials capture glottal acoustic resonance.</w:t>
      </w:r>
    </w:p>
    <w:p>
      <w:pPr>
        <w:pStyle w:val="ListBullet"/>
        <w:spacing w:after="60" w:line="276" w:lineRule="auto"/>
      </w:pPr>
      <w:r>
        <w:rPr>
          <w:b/>
          <w:color w:val="1E293B"/>
          <w:sz w:val="20"/>
        </w:rPr>
        <w:t xml:space="preserve">2. Spectral Centroid &amp; High-Frequency STFT: </w:t>
      </w:r>
      <w:r>
        <w:rPr>
          <w:color w:val="1E293B"/>
          <w:sz w:val="20"/>
        </w:rPr>
        <w:t>Measures the spectral center of gravity: C = Σ [f(k) · |X(k)|] / Σ |X(k)|. High-frequency STFT phase variance in the 8–16 kHz band unmasks neural vocoder phase regularity.</w:t>
      </w:r>
    </w:p>
    <w:p>
      <w:pPr>
        <w:pStyle w:val="ListBullet"/>
        <w:spacing w:after="60" w:line="276" w:lineRule="auto"/>
      </w:pPr>
      <w:r>
        <w:rPr>
          <w:b/>
          <w:color w:val="1E293B"/>
          <w:sz w:val="20"/>
        </w:rPr>
        <w:t xml:space="preserve">3. Titze Pitch Micro-Jitter (pYIN): </w:t>
      </w:r>
      <w:r>
        <w:rPr>
          <w:color w:val="1E293B"/>
          <w:sz w:val="20"/>
        </w:rPr>
        <w:t>Evaluates cycle-to-cycle fundamental frequency variability: Jitter = (1/N) Σ |F₀(i) - F₀(i-1)| / F̄₀. Human vocal cords naturally exhibit micro-jitter (1–3%), whereas synthetic TTS outputs are unnaturally rigid (&lt;0.2%).</w:t>
      </w:r>
    </w:p>
    <w:p>
      <w:pPr>
        <w:pStyle w:val="ListBullet"/>
        <w:spacing w:after="60" w:line="276" w:lineRule="auto"/>
      </w:pPr>
      <w:r>
        <w:rPr>
          <w:b/>
          <w:color w:val="1E293B"/>
          <w:sz w:val="20"/>
        </w:rPr>
        <w:t xml:space="preserve">4. 2.5s Respiration Energy Variance: </w:t>
      </w:r>
      <w:r>
        <w:rPr>
          <w:color w:val="1E293B"/>
          <w:sz w:val="20"/>
        </w:rPr>
        <w:t>Evaluates normalized energy standard deviation over a sliding 2.5s window: σ_S = √[(1/K) Σ (E_m - Ē)²] / (Ē + ε). Genuine human conversation has natural breathing micro-pauses (σ_S ≥ 0.12), while AI streams display unnatural continuous energy (σ_S &lt; 0.04).</w:t>
      </w:r>
    </w:p>
    <w:p>
      <w:pPr>
        <w:pStyle w:val="ListBullet"/>
        <w:spacing w:after="60" w:line="276" w:lineRule="auto"/>
      </w:pPr>
      <w:r>
        <w:rPr>
          <w:b/>
          <w:color w:val="1E293B"/>
          <w:sz w:val="20"/>
        </w:rPr>
        <w:t xml:space="preserve">5. Shannon Domain Entropy H(X): </w:t>
      </w:r>
      <w:r>
        <w:rPr>
          <w:color w:val="1E293B"/>
          <w:sz w:val="20"/>
        </w:rPr>
        <w:t>Measures algorithmic character randomness: H(X) = - Σ P(x_i) · log₂ P(x_i). Legitimate brand domains exhibit H ≤ 3.0 bits/char, whereas bot-generated DGA phishing links show H &gt; 3.5 bits/char.</w:t>
      </w:r>
    </w:p>
    <w:p>
      <w:pPr>
        <w:pStyle w:val="ListBullet"/>
        <w:spacing w:after="60" w:line="276" w:lineRule="auto"/>
      </w:pPr>
      <w:r>
        <w:rPr>
          <w:b/>
          <w:color w:val="1E293B"/>
          <w:sz w:val="20"/>
        </w:rPr>
        <w:t xml:space="preserve">6. 150-Tree Random Forest Ensemble Fusion: </w:t>
      </w:r>
      <w:r>
        <w:rPr>
          <w:color w:val="1E293B"/>
          <w:sz w:val="20"/>
        </w:rPr>
        <w:t>R_final = (1/150) · Σ [t=1..150] h_t(F). When R_final ≥ 0.85, a Red Alert is dispatched in sub-300ms.</w:t>
      </w:r>
    </w:p>
    <w:p>
      <w:pPr>
        <w:pStyle w:val="Heading1"/>
        <w:spacing w:before="320" w:after="120"/>
      </w:pPr>
      <w:r>
        <w:rPr>
          <w:b/>
          <w:color w:val="0A192F"/>
          <w:sz w:val="32"/>
        </w:rPr>
        <w:t>4. Live Demonstrations &amp; System Interface Walkthrough</w:t>
      </w:r>
    </w:p>
    <w:p>
      <w:pPr>
        <w:spacing w:after="80" w:line="276" w:lineRule="auto"/>
      </w:pPr>
      <w:r>
        <w:rPr>
          <w:i w:val="0"/>
          <w:color w:val="1E293B"/>
          <w:sz w:val="20"/>
        </w:rPr>
        <w:t>SentinelShield AI provides clean, high-performance user interfaces for both desktop security analysts and mobile end-users.</w:t>
      </w:r>
    </w:p>
    <w:p>
      <w:pPr>
        <w:jc w:val="center"/>
      </w:pPr>
    </w:p>
    <w:p>
      <w:r>
        <w:drawing>
          <wp:inline xmlns:a="http://schemas.openxmlformats.org/drawingml/2006/main" xmlns:pic="http://schemas.openxmlformats.org/drawingml/2006/picture">
            <wp:extent cx="5303520" cy="6629400"/>
            <wp:docPr id="3" name="Picture 3"/>
            <wp:cNvGraphicFramePr>
              <a:graphicFrameLocks noChangeAspect="1"/>
            </wp:cNvGraphicFramePr>
            <a:graphic>
              <a:graphicData uri="http://schemas.openxmlformats.org/drawingml/2006/picture">
                <pic:pic>
                  <pic:nvPicPr>
                    <pic:cNvPr id="0" name="actual_voice_shield_bottom.png"/>
                    <pic:cNvPicPr/>
                  </pic:nvPicPr>
                  <pic:blipFill>
                    <a:blip r:embed="rId11"/>
                    <a:stretch>
                      <a:fillRect/>
                    </a:stretch>
                  </pic:blipFill>
                  <pic:spPr>
                    <a:xfrm>
                      <a:off x="0" y="0"/>
                      <a:ext cx="5303520" cy="6629400"/>
                    </a:xfrm>
                    <a:prstGeom prst="rect"/>
                  </pic:spPr>
                </pic:pic>
              </a:graphicData>
            </a:graphic>
          </wp:inline>
        </w:drawing>
      </w:r>
    </w:p>
    <w:p>
      <w:pPr>
        <w:jc w:val="center"/>
      </w:pPr>
      <w:r>
        <w:rPr>
          <w:i/>
          <w:color w:val="64748B"/>
          <w:sz w:val="17"/>
        </w:rPr>
        <w:t>Figure 3: Voice Integrity Shield — 42-Band Spectrum Analyzer, 6 Telemetry Cards &amp; Live In-Call Smartphone Simulator</w:t>
      </w:r>
    </w:p>
    <w:p>
      <w:pPr>
        <w:spacing w:after="80" w:line="276" w:lineRule="auto"/>
      </w:pPr>
      <w:r>
        <w:rPr>
          <w:i w:val="0"/>
          <w:color w:val="1E293B"/>
          <w:sz w:val="20"/>
        </w:rPr>
        <w:t>As demonstrated in Figure 3, the Voice Shield module features a 60 FPS real-time 42-band equalizer highlighting the 8–16 kHz vocoder anomaly zone, a radial risk gauge, and an interactive smartphone device demonstrating sub-300ms non-intrusive floating HUD warnings during live incoming phone calls.</w:t>
      </w:r>
    </w:p>
    <w:p>
      <w:pPr>
        <w:jc w:val="center"/>
      </w:pPr>
    </w:p>
    <w:p>
      <w:r>
        <w:drawing>
          <wp:inline xmlns:a="http://schemas.openxmlformats.org/drawingml/2006/main" xmlns:pic="http://schemas.openxmlformats.org/drawingml/2006/picture">
            <wp:extent cx="5303520" cy="6813550"/>
            <wp:docPr id="4" name="Picture 4"/>
            <wp:cNvGraphicFramePr>
              <a:graphicFrameLocks noChangeAspect="1"/>
            </wp:cNvGraphicFramePr>
            <a:graphic>
              <a:graphicData uri="http://schemas.openxmlformats.org/drawingml/2006/picture">
                <pic:pic>
                  <pic:nvPicPr>
                    <pic:cNvPr id="0" name="link_shield_sim_active.png"/>
                    <pic:cNvPicPr/>
                  </pic:nvPicPr>
                  <pic:blipFill>
                    <a:blip r:embed="rId12"/>
                    <a:stretch>
                      <a:fillRect/>
                    </a:stretch>
                  </pic:blipFill>
                  <pic:spPr>
                    <a:xfrm>
                      <a:off x="0" y="0"/>
                      <a:ext cx="5303520" cy="6813550"/>
                    </a:xfrm>
                    <a:prstGeom prst="rect"/>
                  </pic:spPr>
                </pic:pic>
              </a:graphicData>
            </a:graphic>
          </wp:inline>
        </w:drawing>
      </w:r>
    </w:p>
    <w:p>
      <w:pPr>
        <w:jc w:val="center"/>
      </w:pPr>
      <w:r>
        <w:rPr>
          <w:i/>
          <w:color w:val="64748B"/>
          <w:sz w:val="17"/>
        </w:rPr>
        <w:t>Figure 4: Link Shield — Multi-Vector URL Threat Inspection Matrix &amp; Mobile In-App Threat Sandbox Interceptor</w:t>
      </w:r>
    </w:p>
    <w:p>
      <w:pPr>
        <w:spacing w:after="80" w:line="276" w:lineRule="auto"/>
      </w:pPr>
      <w:r>
        <w:rPr>
          <w:i w:val="0"/>
          <w:color w:val="1E293B"/>
          <w:sz w:val="20"/>
        </w:rPr>
        <w:t>Figure 4 showcases the Link Shield workstation with the newly implemented Mobile Threat Interceptor Sandbox. Users can simulate incoming cloaked open-redirects (e.g. fake SBI KYC), shortened lottery scams, and tracking links, observing how the mobile engine intercepts requests before browser navigation.</w:t>
      </w:r>
    </w:p>
    <w:p>
      <w:pPr>
        <w:pStyle w:val="Heading1"/>
        <w:spacing w:before="320" w:after="120"/>
      </w:pPr>
      <w:r>
        <w:rPr>
          <w:b/>
          <w:color w:val="0A192F"/>
          <w:sz w:val="32"/>
        </w:rPr>
        <w:t>5. Multi-Lingual Dataset &amp; Empirical ML Benchmarks</w:t>
      </w:r>
    </w:p>
    <w:p>
      <w:pPr>
        <w:spacing w:after="80" w:line="276" w:lineRule="auto"/>
      </w:pPr>
      <w:r>
        <w:rPr>
          <w:i w:val="0"/>
          <w:color w:val="1E293B"/>
          <w:sz w:val="20"/>
        </w:rPr>
        <w:t>The system was trained, calibrated, and validated on an expanded multi-lingual dataset comprising 2,893 authentic audio samples across 13 Indian languages and dialects.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100" w:type="dxa"/>
              <w:right w:w="100" w:type="dxa"/>
            </w:tcMar>
          </w:tcPr>
          <w:p>
            <w:r>
              <w:rPr>
                <w:b/>
                <w:color w:val="FFFFFF"/>
                <w:sz w:val="18"/>
              </w:rPr>
              <w:t>Dataset Partition</w:t>
            </w:r>
          </w:p>
        </w:tc>
        <w:tc>
          <w:tcPr>
            <w:tcW w:type="dxa" w:w="2340"/>
            <w:shd w:fill="0F172A"/>
            <w:tcMar>
              <w:top w:w="80" w:type="dxa"/>
              <w:bottom w:w="80" w:type="dxa"/>
              <w:left w:w="100" w:type="dxa"/>
              <w:right w:w="100" w:type="dxa"/>
            </w:tcMar>
          </w:tcPr>
          <w:p>
            <w:r>
              <w:rPr>
                <w:b/>
                <w:color w:val="FFFFFF"/>
                <w:sz w:val="18"/>
              </w:rPr>
              <w:t>Sample Count</w:t>
            </w:r>
          </w:p>
        </w:tc>
        <w:tc>
          <w:tcPr>
            <w:tcW w:type="dxa" w:w="2340"/>
            <w:shd w:fill="0F172A"/>
            <w:tcMar>
              <w:top w:w="80" w:type="dxa"/>
              <w:bottom w:w="80" w:type="dxa"/>
              <w:left w:w="100" w:type="dxa"/>
              <w:right w:w="100" w:type="dxa"/>
            </w:tcMar>
          </w:tcPr>
          <w:p>
            <w:r>
              <w:rPr>
                <w:b/>
                <w:color w:val="FFFFFF"/>
                <w:sz w:val="18"/>
              </w:rPr>
              <w:t>Source / Generator Architecture</w:t>
            </w:r>
          </w:p>
        </w:tc>
        <w:tc>
          <w:tcPr>
            <w:tcW w:type="dxa" w:w="2340"/>
            <w:shd w:fill="0F172A"/>
            <w:tcMar>
              <w:top w:w="80" w:type="dxa"/>
              <w:bottom w:w="80" w:type="dxa"/>
              <w:left w:w="100" w:type="dxa"/>
              <w:right w:w="100" w:type="dxa"/>
            </w:tcMar>
          </w:tcPr>
          <w:p>
            <w:r>
              <w:rPr>
                <w:b/>
                <w:color w:val="FFFFFF"/>
                <w:sz w:val="18"/>
              </w:rPr>
              <w:t>Class Distribution</w:t>
            </w:r>
          </w:p>
        </w:tc>
      </w:tr>
      <w:tr>
        <w:tc>
          <w:tcPr>
            <w:tcW w:type="dxa" w:w="2340"/>
            <w:shd w:fill="F8FAFC"/>
            <w:tcMar>
              <w:top w:w="60" w:type="dxa"/>
              <w:bottom w:w="60" w:type="dxa"/>
              <w:left w:w="80" w:type="dxa"/>
              <w:right w:w="80" w:type="dxa"/>
            </w:tcMar>
          </w:tcPr>
          <w:p>
            <w:r>
              <w:rPr>
                <w:color w:val="1E293B"/>
                <w:sz w:val="17"/>
              </w:rPr>
              <w:t>Genuine Human Voice</w:t>
            </w:r>
          </w:p>
        </w:tc>
        <w:tc>
          <w:tcPr>
            <w:tcW w:type="dxa" w:w="2340"/>
            <w:shd w:fill="F8FAFC"/>
            <w:tcMar>
              <w:top w:w="60" w:type="dxa"/>
              <w:bottom w:w="60" w:type="dxa"/>
              <w:left w:w="80" w:type="dxa"/>
              <w:right w:w="80" w:type="dxa"/>
            </w:tcMar>
          </w:tcPr>
          <w:p>
            <w:r>
              <w:rPr>
                <w:color w:val="1E293B"/>
                <w:sz w:val="17"/>
              </w:rPr>
              <w:t>1,450 Samples</w:t>
            </w:r>
          </w:p>
        </w:tc>
        <w:tc>
          <w:tcPr>
            <w:tcW w:type="dxa" w:w="2340"/>
            <w:shd w:fill="F8FAFC"/>
            <w:tcMar>
              <w:top w:w="60" w:type="dxa"/>
              <w:bottom w:w="60" w:type="dxa"/>
              <w:left w:w="80" w:type="dxa"/>
              <w:right w:w="80" w:type="dxa"/>
            </w:tcMar>
          </w:tcPr>
          <w:p>
            <w:r>
              <w:rPr>
                <w:color w:val="1E293B"/>
                <w:sz w:val="17"/>
              </w:rPr>
              <w:t>Native speakers across 13 Indian languages (Hindi, Tamil, Telugu, Bengali, Marathi, Punjabi, Gujarati, etc.)</w:t>
            </w:r>
          </w:p>
        </w:tc>
        <w:tc>
          <w:tcPr>
            <w:tcW w:type="dxa" w:w="2340"/>
            <w:shd w:fill="F8FAFC"/>
            <w:tcMar>
              <w:top w:w="60" w:type="dxa"/>
              <w:bottom w:w="60" w:type="dxa"/>
              <w:left w:w="80" w:type="dxa"/>
              <w:right w:w="80" w:type="dxa"/>
            </w:tcMar>
          </w:tcPr>
          <w:p>
            <w:r>
              <w:rPr>
                <w:color w:val="1E293B"/>
                <w:sz w:val="17"/>
              </w:rPr>
              <w:t>50.12% (Negative Class)</w:t>
            </w:r>
          </w:p>
        </w:tc>
      </w:tr>
      <w:tr>
        <w:tc>
          <w:tcPr>
            <w:tcW w:type="dxa" w:w="2340"/>
            <w:shd w:fill="FFFFFF"/>
            <w:tcMar>
              <w:top w:w="60" w:type="dxa"/>
              <w:bottom w:w="60" w:type="dxa"/>
              <w:left w:w="80" w:type="dxa"/>
              <w:right w:w="80" w:type="dxa"/>
            </w:tcMar>
          </w:tcPr>
          <w:p>
            <w:r>
              <w:rPr>
                <w:color w:val="1E293B"/>
                <w:sz w:val="17"/>
              </w:rPr>
              <w:t>Synthetic AI Clones</w:t>
            </w:r>
          </w:p>
        </w:tc>
        <w:tc>
          <w:tcPr>
            <w:tcW w:type="dxa" w:w="2340"/>
            <w:shd w:fill="FFFFFF"/>
            <w:tcMar>
              <w:top w:w="60" w:type="dxa"/>
              <w:bottom w:w="60" w:type="dxa"/>
              <w:left w:w="80" w:type="dxa"/>
              <w:right w:w="80" w:type="dxa"/>
            </w:tcMar>
          </w:tcPr>
          <w:p>
            <w:r>
              <w:rPr>
                <w:color w:val="1E293B"/>
                <w:sz w:val="17"/>
              </w:rPr>
              <w:t>1,443 Samples</w:t>
            </w:r>
          </w:p>
        </w:tc>
        <w:tc>
          <w:tcPr>
            <w:tcW w:type="dxa" w:w="2340"/>
            <w:shd w:fill="FFFFFF"/>
            <w:tcMar>
              <w:top w:w="60" w:type="dxa"/>
              <w:bottom w:w="60" w:type="dxa"/>
              <w:left w:w="80" w:type="dxa"/>
              <w:right w:w="80" w:type="dxa"/>
            </w:tcMar>
          </w:tcPr>
          <w:p>
            <w:r>
              <w:rPr>
                <w:color w:val="1E293B"/>
                <w:sz w:val="17"/>
              </w:rPr>
              <w:t>HiFi-GAN, WaveGlow, FastSpeech2, Bark, ElevenLabs, Tortoise-TTS, Tacotron2</w:t>
            </w:r>
          </w:p>
        </w:tc>
        <w:tc>
          <w:tcPr>
            <w:tcW w:type="dxa" w:w="2340"/>
            <w:shd w:fill="FFFFFF"/>
            <w:tcMar>
              <w:top w:w="60" w:type="dxa"/>
              <w:bottom w:w="60" w:type="dxa"/>
              <w:left w:w="80" w:type="dxa"/>
              <w:right w:w="80" w:type="dxa"/>
            </w:tcMar>
          </w:tcPr>
          <w:p>
            <w:r>
              <w:rPr>
                <w:color w:val="1E293B"/>
                <w:sz w:val="17"/>
              </w:rPr>
              <w:t>49.88% (Positive Class)</w:t>
            </w:r>
          </w:p>
        </w:tc>
      </w:tr>
      <w:tr>
        <w:tc>
          <w:tcPr>
            <w:tcW w:type="dxa" w:w="2340"/>
            <w:shd w:fill="F8FAFC"/>
            <w:tcMar>
              <w:top w:w="60" w:type="dxa"/>
              <w:bottom w:w="60" w:type="dxa"/>
              <w:left w:w="80" w:type="dxa"/>
              <w:right w:w="80" w:type="dxa"/>
            </w:tcMar>
          </w:tcPr>
          <w:p>
            <w:r>
              <w:rPr>
                <w:color w:val="1E293B"/>
                <w:sz w:val="17"/>
              </w:rPr>
              <w:t>5-Fold Stratified CV</w:t>
            </w:r>
          </w:p>
        </w:tc>
        <w:tc>
          <w:tcPr>
            <w:tcW w:type="dxa" w:w="2340"/>
            <w:shd w:fill="F8FAFC"/>
            <w:tcMar>
              <w:top w:w="60" w:type="dxa"/>
              <w:bottom w:w="60" w:type="dxa"/>
              <w:left w:w="80" w:type="dxa"/>
              <w:right w:w="80" w:type="dxa"/>
            </w:tcMar>
          </w:tcPr>
          <w:p>
            <w:r>
              <w:rPr>
                <w:color w:val="1E293B"/>
                <w:sz w:val="17"/>
              </w:rPr>
              <w:t>2,314 Samples</w:t>
            </w:r>
          </w:p>
        </w:tc>
        <w:tc>
          <w:tcPr>
            <w:tcW w:type="dxa" w:w="2340"/>
            <w:shd w:fill="F8FAFC"/>
            <w:tcMar>
              <w:top w:w="60" w:type="dxa"/>
              <w:bottom w:w="60" w:type="dxa"/>
              <w:left w:w="80" w:type="dxa"/>
              <w:right w:w="80" w:type="dxa"/>
            </w:tcMar>
          </w:tcPr>
          <w:p>
            <w:r>
              <w:rPr>
                <w:color w:val="1E293B"/>
                <w:sz w:val="17"/>
              </w:rPr>
              <w:t>80% Training partition with stratified class balance</w:t>
            </w:r>
          </w:p>
        </w:tc>
        <w:tc>
          <w:tcPr>
            <w:tcW w:type="dxa" w:w="2340"/>
            <w:shd w:fill="F8FAFC"/>
            <w:tcMar>
              <w:top w:w="60" w:type="dxa"/>
              <w:bottom w:w="60" w:type="dxa"/>
              <w:left w:w="80" w:type="dxa"/>
              <w:right w:w="80" w:type="dxa"/>
            </w:tcMar>
          </w:tcPr>
          <w:p>
            <w:r>
              <w:rPr>
                <w:color w:val="1E293B"/>
                <w:sz w:val="17"/>
              </w:rPr>
              <w:t>Training Subset</w:t>
            </w:r>
          </w:p>
        </w:tc>
      </w:tr>
      <w:tr>
        <w:tc>
          <w:tcPr>
            <w:tcW w:type="dxa" w:w="2340"/>
            <w:shd w:fill="FFFFFF"/>
            <w:tcMar>
              <w:top w:w="60" w:type="dxa"/>
              <w:bottom w:w="60" w:type="dxa"/>
              <w:left w:w="80" w:type="dxa"/>
              <w:right w:w="80" w:type="dxa"/>
            </w:tcMar>
          </w:tcPr>
          <w:p>
            <w:r>
              <w:rPr>
                <w:color w:val="1E293B"/>
                <w:sz w:val="17"/>
              </w:rPr>
              <w:t>Independent Holdout</w:t>
            </w:r>
          </w:p>
        </w:tc>
        <w:tc>
          <w:tcPr>
            <w:tcW w:type="dxa" w:w="2340"/>
            <w:shd w:fill="FFFFFF"/>
            <w:tcMar>
              <w:top w:w="60" w:type="dxa"/>
              <w:bottom w:w="60" w:type="dxa"/>
              <w:left w:w="80" w:type="dxa"/>
              <w:right w:w="80" w:type="dxa"/>
            </w:tcMar>
          </w:tcPr>
          <w:p>
            <w:r>
              <w:rPr>
                <w:color w:val="1E293B"/>
                <w:sz w:val="17"/>
              </w:rPr>
              <w:t>579 Samples</w:t>
            </w:r>
          </w:p>
        </w:tc>
        <w:tc>
          <w:tcPr>
            <w:tcW w:type="dxa" w:w="2340"/>
            <w:shd w:fill="FFFFFF"/>
            <w:tcMar>
              <w:top w:w="60" w:type="dxa"/>
              <w:bottom w:w="60" w:type="dxa"/>
              <w:left w:w="80" w:type="dxa"/>
              <w:right w:w="80" w:type="dxa"/>
            </w:tcMar>
          </w:tcPr>
          <w:p>
            <w:r>
              <w:rPr>
                <w:color w:val="1E293B"/>
                <w:sz w:val="17"/>
              </w:rPr>
              <w:t>20% Isolated unseen holdout test partition</w:t>
            </w:r>
          </w:p>
        </w:tc>
        <w:tc>
          <w:tcPr>
            <w:tcW w:type="dxa" w:w="2340"/>
            <w:shd w:fill="FFFFFF"/>
            <w:tcMar>
              <w:top w:w="60" w:type="dxa"/>
              <w:bottom w:w="60" w:type="dxa"/>
              <w:left w:w="80" w:type="dxa"/>
              <w:right w:w="80" w:type="dxa"/>
            </w:tcMar>
          </w:tcPr>
          <w:p>
            <w:r>
              <w:rPr>
                <w:color w:val="1E293B"/>
                <w:sz w:val="17"/>
              </w:rPr>
              <w:t>Validation Subset</w:t>
            </w:r>
          </w:p>
        </w:tc>
      </w:tr>
    </w:tbl>
    <w:p>
      <w:pPr>
        <w:spacing w:after="120"/>
      </w:pPr>
    </w:p>
    <w:p>
      <w:pPr>
        <w:pStyle w:val="Heading2"/>
        <w:spacing w:before="240" w:after="80"/>
      </w:pPr>
      <w:r>
        <w:rPr>
          <w:b/>
          <w:color w:val="0E7490"/>
          <w:sz w:val="26"/>
        </w:rPr>
        <w:t>Model Evaluation &amp; Performance Metrics: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b/>
                <w:color w:val="FFFFFF"/>
                <w:sz w:val="18"/>
              </w:rPr>
              <w:t>Performance Metric</w:t>
            </w:r>
          </w:p>
        </w:tc>
        <w:tc>
          <w:tcPr>
            <w:tcW w:type="dxa" w:w="3120"/>
            <w:shd w:fill="0F172A"/>
            <w:tcMar>
              <w:top w:w="80" w:type="dxa"/>
              <w:bottom w:w="80" w:type="dxa"/>
              <w:left w:w="100" w:type="dxa"/>
              <w:right w:w="100" w:type="dxa"/>
            </w:tcMar>
          </w:tcPr>
          <w:p>
            <w:r>
              <w:rPr>
                <w:b/>
                <w:color w:val="FFFFFF"/>
                <w:sz w:val="18"/>
              </w:rPr>
              <w:t>Empirical Value</w:t>
            </w:r>
          </w:p>
        </w:tc>
        <w:tc>
          <w:tcPr>
            <w:tcW w:type="dxa" w:w="3120"/>
            <w:shd w:fill="0F172A"/>
            <w:tcMar>
              <w:top w:w="80" w:type="dxa"/>
              <w:bottom w:w="80" w:type="dxa"/>
              <w:left w:w="100" w:type="dxa"/>
              <w:right w:w="100" w:type="dxa"/>
            </w:tcMar>
          </w:tcPr>
          <w:p>
            <w:r>
              <w:rPr>
                <w:b/>
                <w:color w:val="FFFFFF"/>
                <w:sz w:val="18"/>
              </w:rPr>
              <w:t>Benchmark / Threshold Standard</w:t>
            </w:r>
          </w:p>
        </w:tc>
      </w:tr>
      <w:tr>
        <w:tc>
          <w:tcPr>
            <w:tcW w:type="dxa" w:w="3120"/>
            <w:shd w:fill="F8FAFC"/>
            <w:tcMar>
              <w:top w:w="60" w:type="dxa"/>
              <w:bottom w:w="60" w:type="dxa"/>
              <w:left w:w="80" w:type="dxa"/>
              <w:right w:w="80" w:type="dxa"/>
            </w:tcMar>
          </w:tcPr>
          <w:p>
            <w:r>
              <w:rPr>
                <w:color w:val="1E293B"/>
                <w:sz w:val="17"/>
              </w:rPr>
              <w:t>5-Fold Cross-Validation Accuracy</w:t>
            </w:r>
          </w:p>
        </w:tc>
        <w:tc>
          <w:tcPr>
            <w:tcW w:type="dxa" w:w="3120"/>
            <w:shd w:fill="F8FAFC"/>
            <w:tcMar>
              <w:top w:w="60" w:type="dxa"/>
              <w:bottom w:w="60" w:type="dxa"/>
              <w:left w:w="80" w:type="dxa"/>
              <w:right w:w="80" w:type="dxa"/>
            </w:tcMar>
          </w:tcPr>
          <w:p>
            <w:r>
              <w:rPr>
                <w:color w:val="1E293B"/>
                <w:sz w:val="17"/>
              </w:rPr>
              <w:t>99.62% (± 0.28%)</w:t>
            </w:r>
          </w:p>
        </w:tc>
        <w:tc>
          <w:tcPr>
            <w:tcW w:type="dxa" w:w="3120"/>
            <w:shd w:fill="F8FAFC"/>
            <w:tcMar>
              <w:top w:w="60" w:type="dxa"/>
              <w:bottom w:w="60" w:type="dxa"/>
              <w:left w:w="80" w:type="dxa"/>
              <w:right w:w="80" w:type="dxa"/>
            </w:tcMar>
          </w:tcPr>
          <w:p>
            <w:r>
              <w:rPr>
                <w:color w:val="1E293B"/>
                <w:sz w:val="17"/>
              </w:rPr>
              <w:t>Baseline Requirement: &gt; 95.0%</w:t>
            </w:r>
          </w:p>
        </w:tc>
      </w:tr>
      <w:tr>
        <w:tc>
          <w:tcPr>
            <w:tcW w:type="dxa" w:w="3120"/>
            <w:shd w:fill="FFFFFF"/>
            <w:tcMar>
              <w:top w:w="60" w:type="dxa"/>
              <w:bottom w:w="60" w:type="dxa"/>
              <w:left w:w="80" w:type="dxa"/>
              <w:right w:w="80" w:type="dxa"/>
            </w:tcMar>
          </w:tcPr>
          <w:p>
            <w:r>
              <w:rPr>
                <w:color w:val="1E293B"/>
                <w:sz w:val="17"/>
              </w:rPr>
              <w:t>Area Under ROC Curve (ROC-AUC)</w:t>
            </w:r>
          </w:p>
        </w:tc>
        <w:tc>
          <w:tcPr>
            <w:tcW w:type="dxa" w:w="3120"/>
            <w:shd w:fill="FFFFFF"/>
            <w:tcMar>
              <w:top w:w="60" w:type="dxa"/>
              <w:bottom w:w="60" w:type="dxa"/>
              <w:left w:w="80" w:type="dxa"/>
              <w:right w:w="80" w:type="dxa"/>
            </w:tcMar>
          </w:tcPr>
          <w:p>
            <w:r>
              <w:rPr>
                <w:color w:val="1E293B"/>
                <w:sz w:val="17"/>
              </w:rPr>
              <w:t>1.0000</w:t>
            </w:r>
          </w:p>
        </w:tc>
        <w:tc>
          <w:tcPr>
            <w:tcW w:type="dxa" w:w="3120"/>
            <w:shd w:fill="FFFFFF"/>
            <w:tcMar>
              <w:top w:w="60" w:type="dxa"/>
              <w:bottom w:w="60" w:type="dxa"/>
              <w:left w:w="80" w:type="dxa"/>
              <w:right w:w="80" w:type="dxa"/>
            </w:tcMar>
          </w:tcPr>
          <w:p>
            <w:r>
              <w:rPr>
                <w:color w:val="1E293B"/>
                <w:sz w:val="17"/>
              </w:rPr>
              <w:t>Perfect discrimination threshold: &gt; 0.98</w:t>
            </w:r>
          </w:p>
        </w:tc>
      </w:tr>
      <w:tr>
        <w:tc>
          <w:tcPr>
            <w:tcW w:type="dxa" w:w="3120"/>
            <w:shd w:fill="F8FAFC"/>
            <w:tcMar>
              <w:top w:w="60" w:type="dxa"/>
              <w:bottom w:w="60" w:type="dxa"/>
              <w:left w:w="80" w:type="dxa"/>
              <w:right w:w="80" w:type="dxa"/>
            </w:tcMar>
          </w:tcPr>
          <w:p>
            <w:r>
              <w:rPr>
                <w:color w:val="1E293B"/>
                <w:sz w:val="17"/>
              </w:rPr>
              <w:t>Precision (AI Detection)</w:t>
            </w:r>
          </w:p>
        </w:tc>
        <w:tc>
          <w:tcPr>
            <w:tcW w:type="dxa" w:w="3120"/>
            <w:shd w:fill="F8FAFC"/>
            <w:tcMar>
              <w:top w:w="60" w:type="dxa"/>
              <w:bottom w:w="60" w:type="dxa"/>
              <w:left w:w="80" w:type="dxa"/>
              <w:right w:w="80" w:type="dxa"/>
            </w:tcMar>
          </w:tcPr>
          <w:p>
            <w:r>
              <w:rPr>
                <w:color w:val="1E293B"/>
                <w:sz w:val="17"/>
              </w:rPr>
              <w:t>99.45%</w:t>
            </w:r>
          </w:p>
        </w:tc>
        <w:tc>
          <w:tcPr>
            <w:tcW w:type="dxa" w:w="3120"/>
            <w:shd w:fill="F8FAFC"/>
            <w:tcMar>
              <w:top w:w="60" w:type="dxa"/>
              <w:bottom w:w="60" w:type="dxa"/>
              <w:left w:w="80" w:type="dxa"/>
              <w:right w:w="80" w:type="dxa"/>
            </w:tcMar>
          </w:tcPr>
          <w:p>
            <w:r>
              <w:rPr>
                <w:color w:val="1E293B"/>
                <w:sz w:val="17"/>
              </w:rPr>
              <w:t>False positive suppression critical</w:t>
            </w:r>
          </w:p>
        </w:tc>
      </w:tr>
      <w:tr>
        <w:tc>
          <w:tcPr>
            <w:tcW w:type="dxa" w:w="3120"/>
            <w:shd w:fill="FFFFFF"/>
            <w:tcMar>
              <w:top w:w="60" w:type="dxa"/>
              <w:bottom w:w="60" w:type="dxa"/>
              <w:left w:w="80" w:type="dxa"/>
              <w:right w:w="80" w:type="dxa"/>
            </w:tcMar>
          </w:tcPr>
          <w:p>
            <w:r>
              <w:rPr>
                <w:color w:val="1E293B"/>
                <w:sz w:val="17"/>
              </w:rPr>
              <w:t>Recall (Sensitivity)</w:t>
            </w:r>
          </w:p>
        </w:tc>
        <w:tc>
          <w:tcPr>
            <w:tcW w:type="dxa" w:w="3120"/>
            <w:shd w:fill="FFFFFF"/>
            <w:tcMar>
              <w:top w:w="60" w:type="dxa"/>
              <w:bottom w:w="60" w:type="dxa"/>
              <w:left w:w="80" w:type="dxa"/>
              <w:right w:w="80" w:type="dxa"/>
            </w:tcMar>
          </w:tcPr>
          <w:p>
            <w:r>
              <w:rPr>
                <w:color w:val="1E293B"/>
                <w:sz w:val="17"/>
              </w:rPr>
              <w:t>99.79%</w:t>
            </w:r>
          </w:p>
        </w:tc>
        <w:tc>
          <w:tcPr>
            <w:tcW w:type="dxa" w:w="3120"/>
            <w:shd w:fill="FFFFFF"/>
            <w:tcMar>
              <w:top w:w="60" w:type="dxa"/>
              <w:bottom w:w="60" w:type="dxa"/>
              <w:left w:w="80" w:type="dxa"/>
              <w:right w:w="80" w:type="dxa"/>
            </w:tcMar>
          </w:tcPr>
          <w:p>
            <w:r>
              <w:rPr>
                <w:color w:val="1E293B"/>
                <w:sz w:val="17"/>
              </w:rPr>
              <w:t>Zero tolerance for missed deepfakes</w:t>
            </w:r>
          </w:p>
        </w:tc>
      </w:tr>
      <w:tr>
        <w:tc>
          <w:tcPr>
            <w:tcW w:type="dxa" w:w="3120"/>
            <w:shd w:fill="F8FAFC"/>
            <w:tcMar>
              <w:top w:w="60" w:type="dxa"/>
              <w:bottom w:w="60" w:type="dxa"/>
              <w:left w:w="80" w:type="dxa"/>
              <w:right w:w="80" w:type="dxa"/>
            </w:tcMar>
          </w:tcPr>
          <w:p>
            <w:r>
              <w:rPr>
                <w:color w:val="1E293B"/>
                <w:sz w:val="17"/>
              </w:rPr>
              <w:t>Average Inference Latency</w:t>
            </w:r>
          </w:p>
        </w:tc>
        <w:tc>
          <w:tcPr>
            <w:tcW w:type="dxa" w:w="3120"/>
            <w:shd w:fill="F8FAFC"/>
            <w:tcMar>
              <w:top w:w="60" w:type="dxa"/>
              <w:bottom w:w="60" w:type="dxa"/>
              <w:left w:w="80" w:type="dxa"/>
              <w:right w:w="80" w:type="dxa"/>
            </w:tcMar>
          </w:tcPr>
          <w:p>
            <w:r>
              <w:rPr>
                <w:color w:val="1E293B"/>
                <w:sz w:val="17"/>
              </w:rPr>
              <w:t>14.2 ms / chunk</w:t>
            </w:r>
          </w:p>
        </w:tc>
        <w:tc>
          <w:tcPr>
            <w:tcW w:type="dxa" w:w="3120"/>
            <w:shd w:fill="F8FAFC"/>
            <w:tcMar>
              <w:top w:w="60" w:type="dxa"/>
              <w:bottom w:w="60" w:type="dxa"/>
              <w:left w:w="80" w:type="dxa"/>
              <w:right w:w="80" w:type="dxa"/>
            </w:tcMar>
          </w:tcPr>
          <w:p>
            <w:r>
              <w:rPr>
                <w:color w:val="1E293B"/>
                <w:sz w:val="17"/>
              </w:rPr>
              <w:t>Real-time SLA requirement: &lt; 300 ms</w:t>
            </w:r>
          </w:p>
        </w:tc>
      </w:tr>
    </w:tbl>
    <w:p>
      <w:pPr>
        <w:pStyle w:val="Heading1"/>
        <w:spacing w:before="320" w:after="120"/>
      </w:pPr>
      <w:r>
        <w:rPr>
          <w:b/>
          <w:color w:val="0A192F"/>
          <w:sz w:val="32"/>
        </w:rPr>
        <w:t>6. Complete Technology Stack &amp; Tooling Architecture</w:t>
      </w:r>
    </w:p>
    <w:p>
      <w:pPr>
        <w:spacing w:after="80" w:line="276" w:lineRule="auto"/>
      </w:pPr>
      <w:r>
        <w:rPr>
          <w:i w:val="0"/>
          <w:color w:val="1E293B"/>
          <w:sz w:val="20"/>
        </w:rPr>
        <w:t>SentinelShield AI utilizes a lightweight, modern, and open-source software stack engineered for zero cloud lock-in and high portability.</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b/>
                <w:color w:val="FFFFFF"/>
                <w:sz w:val="18"/>
              </w:rPr>
              <w:t>Layer / Subsystem</w:t>
            </w:r>
          </w:p>
        </w:tc>
        <w:tc>
          <w:tcPr>
            <w:tcW w:type="dxa" w:w="3120"/>
            <w:shd w:fill="0F172A"/>
            <w:tcMar>
              <w:top w:w="80" w:type="dxa"/>
              <w:bottom w:w="80" w:type="dxa"/>
              <w:left w:w="100" w:type="dxa"/>
              <w:right w:w="100" w:type="dxa"/>
            </w:tcMar>
          </w:tcPr>
          <w:p>
            <w:r>
              <w:rPr>
                <w:b/>
                <w:color w:val="FFFFFF"/>
                <w:sz w:val="18"/>
              </w:rPr>
              <w:t>Technologies &amp; Libraries</w:t>
            </w:r>
          </w:p>
        </w:tc>
        <w:tc>
          <w:tcPr>
            <w:tcW w:type="dxa" w:w="3120"/>
            <w:shd w:fill="0F172A"/>
            <w:tcMar>
              <w:top w:w="80" w:type="dxa"/>
              <w:bottom w:w="80" w:type="dxa"/>
              <w:left w:w="100" w:type="dxa"/>
              <w:right w:w="100" w:type="dxa"/>
            </w:tcMar>
          </w:tcPr>
          <w:p>
            <w:r>
              <w:rPr>
                <w:b/>
                <w:color w:val="FFFFFF"/>
                <w:sz w:val="18"/>
              </w:rPr>
              <w:t>Core Purpose &amp; Architectural Responsibility</w:t>
            </w:r>
          </w:p>
        </w:tc>
      </w:tr>
      <w:tr>
        <w:tc>
          <w:tcPr>
            <w:tcW w:type="dxa" w:w="3120"/>
            <w:shd w:fill="F8FAFC"/>
            <w:tcMar>
              <w:top w:w="60" w:type="dxa"/>
              <w:bottom w:w="60" w:type="dxa"/>
              <w:left w:w="80" w:type="dxa"/>
              <w:right w:w="80" w:type="dxa"/>
            </w:tcMar>
          </w:tcPr>
          <w:p>
            <w:r>
              <w:rPr>
                <w:color w:val="1E293B"/>
                <w:sz w:val="17"/>
              </w:rPr>
              <w:t>Frontend Dashboard &amp; PWA</w:t>
            </w:r>
          </w:p>
        </w:tc>
        <w:tc>
          <w:tcPr>
            <w:tcW w:type="dxa" w:w="3120"/>
            <w:shd w:fill="F8FAFC"/>
            <w:tcMar>
              <w:top w:w="60" w:type="dxa"/>
              <w:bottom w:w="60" w:type="dxa"/>
              <w:left w:w="80" w:type="dxa"/>
              <w:right w:w="80" w:type="dxa"/>
            </w:tcMar>
          </w:tcPr>
          <w:p>
            <w:r>
              <w:rPr>
                <w:color w:val="1E293B"/>
                <w:sz w:val="17"/>
              </w:rPr>
              <w:t>HTML5, Vanilla ES6+, CSS3 Glassmorphism, WebAudio API, Service Worker</w:t>
            </w:r>
          </w:p>
        </w:tc>
        <w:tc>
          <w:tcPr>
            <w:tcW w:type="dxa" w:w="3120"/>
            <w:shd w:fill="F8FAFC"/>
            <w:tcMar>
              <w:top w:w="60" w:type="dxa"/>
              <w:bottom w:w="60" w:type="dxa"/>
              <w:left w:w="80" w:type="dxa"/>
              <w:right w:w="80" w:type="dxa"/>
            </w:tcMar>
          </w:tcPr>
          <w:p>
            <w:r>
              <w:rPr>
                <w:color w:val="1E293B"/>
                <w:sz w:val="17"/>
              </w:rPr>
              <w:t>Sub-second 60 FPS acoustic visualizer, radial gauges, and mobile sandbox device frame with zero framework bloat.</w:t>
            </w:r>
          </w:p>
        </w:tc>
      </w:tr>
      <w:tr>
        <w:tc>
          <w:tcPr>
            <w:tcW w:type="dxa" w:w="3120"/>
            <w:shd w:fill="FFFFFF"/>
            <w:tcMar>
              <w:top w:w="60" w:type="dxa"/>
              <w:bottom w:w="60" w:type="dxa"/>
              <w:left w:w="80" w:type="dxa"/>
              <w:right w:w="80" w:type="dxa"/>
            </w:tcMar>
          </w:tcPr>
          <w:p>
            <w:r>
              <w:rPr>
                <w:color w:val="1E293B"/>
                <w:sz w:val="17"/>
              </w:rPr>
              <w:t>Backend API &amp; Microservices</w:t>
            </w:r>
          </w:p>
        </w:tc>
        <w:tc>
          <w:tcPr>
            <w:tcW w:type="dxa" w:w="3120"/>
            <w:shd w:fill="FFFFFF"/>
            <w:tcMar>
              <w:top w:w="60" w:type="dxa"/>
              <w:bottom w:w="60" w:type="dxa"/>
              <w:left w:w="80" w:type="dxa"/>
              <w:right w:w="80" w:type="dxa"/>
            </w:tcMar>
          </w:tcPr>
          <w:p>
            <w:r>
              <w:rPr>
                <w:color w:val="1E293B"/>
                <w:sz w:val="17"/>
              </w:rPr>
              <w:t>FastAPI (Async Python 3.11), Uvicorn ASGI, WebSockets, Pydantic v2</w:t>
            </w:r>
          </w:p>
        </w:tc>
        <w:tc>
          <w:tcPr>
            <w:tcW w:type="dxa" w:w="3120"/>
            <w:shd w:fill="FFFFFF"/>
            <w:tcMar>
              <w:top w:w="60" w:type="dxa"/>
              <w:bottom w:w="60" w:type="dxa"/>
              <w:left w:w="80" w:type="dxa"/>
              <w:right w:w="80" w:type="dxa"/>
            </w:tcMar>
          </w:tcPr>
          <w:p>
            <w:r>
              <w:rPr>
                <w:color w:val="1E293B"/>
                <w:sz w:val="17"/>
              </w:rPr>
              <w:t>High-throughput asynchronous streaming server handling live audio streams and URL scans.</w:t>
            </w:r>
          </w:p>
        </w:tc>
      </w:tr>
      <w:tr>
        <w:tc>
          <w:tcPr>
            <w:tcW w:type="dxa" w:w="3120"/>
            <w:shd w:fill="F8FAFC"/>
            <w:tcMar>
              <w:top w:w="60" w:type="dxa"/>
              <w:bottom w:w="60" w:type="dxa"/>
              <w:left w:w="80" w:type="dxa"/>
              <w:right w:w="80" w:type="dxa"/>
            </w:tcMar>
          </w:tcPr>
          <w:p>
            <w:r>
              <w:rPr>
                <w:color w:val="1E293B"/>
                <w:sz w:val="17"/>
              </w:rPr>
              <w:t>Acoustic DSP Engine</w:t>
            </w:r>
          </w:p>
        </w:tc>
        <w:tc>
          <w:tcPr>
            <w:tcW w:type="dxa" w:w="3120"/>
            <w:shd w:fill="F8FAFC"/>
            <w:tcMar>
              <w:top w:w="60" w:type="dxa"/>
              <w:bottom w:w="60" w:type="dxa"/>
              <w:left w:w="80" w:type="dxa"/>
              <w:right w:w="80" w:type="dxa"/>
            </w:tcMar>
          </w:tcPr>
          <w:p>
            <w:r>
              <w:rPr>
                <w:color w:val="1E293B"/>
                <w:sz w:val="17"/>
              </w:rPr>
              <w:t>Librosa 0.10.2, NumPy 1.26, SciPy 1.13, SoundFile</w:t>
            </w:r>
          </w:p>
        </w:tc>
        <w:tc>
          <w:tcPr>
            <w:tcW w:type="dxa" w:w="3120"/>
            <w:shd w:fill="F8FAFC"/>
            <w:tcMar>
              <w:top w:w="60" w:type="dxa"/>
              <w:bottom w:w="60" w:type="dxa"/>
              <w:left w:w="80" w:type="dxa"/>
              <w:right w:w="80" w:type="dxa"/>
            </w:tcMar>
          </w:tcPr>
          <w:p>
            <w:r>
              <w:rPr>
                <w:color w:val="1E293B"/>
                <w:sz w:val="17"/>
              </w:rPr>
              <w:t>Sub-millisecond extraction of 38 vocal tract biomarkers, STFT phase variance, and Titze pitch micro-jitter.</w:t>
            </w:r>
          </w:p>
        </w:tc>
      </w:tr>
      <w:tr>
        <w:tc>
          <w:tcPr>
            <w:tcW w:type="dxa" w:w="3120"/>
            <w:shd w:fill="FFFFFF"/>
            <w:tcMar>
              <w:top w:w="60" w:type="dxa"/>
              <w:bottom w:w="60" w:type="dxa"/>
              <w:left w:w="80" w:type="dxa"/>
              <w:right w:w="80" w:type="dxa"/>
            </w:tcMar>
          </w:tcPr>
          <w:p>
            <w:r>
              <w:rPr>
                <w:color w:val="1E293B"/>
                <w:sz w:val="17"/>
              </w:rPr>
              <w:t>Machine Learning Core</w:t>
            </w:r>
          </w:p>
        </w:tc>
        <w:tc>
          <w:tcPr>
            <w:tcW w:type="dxa" w:w="3120"/>
            <w:shd w:fill="FFFFFF"/>
            <w:tcMar>
              <w:top w:w="60" w:type="dxa"/>
              <w:bottom w:w="60" w:type="dxa"/>
              <w:left w:w="80" w:type="dxa"/>
              <w:right w:w="80" w:type="dxa"/>
            </w:tcMar>
          </w:tcPr>
          <w:p>
            <w:r>
              <w:rPr>
                <w:color w:val="1E293B"/>
                <w:sz w:val="17"/>
              </w:rPr>
              <w:t>Scikit-Learn 1.5.0, Random Forest Classifier (150 trees), Joblib</w:t>
            </w:r>
          </w:p>
        </w:tc>
        <w:tc>
          <w:tcPr>
            <w:tcW w:type="dxa" w:w="3120"/>
            <w:shd w:fill="FFFFFF"/>
            <w:tcMar>
              <w:top w:w="60" w:type="dxa"/>
              <w:bottom w:w="60" w:type="dxa"/>
              <w:left w:w="80" w:type="dxa"/>
              <w:right w:w="80" w:type="dxa"/>
            </w:tcMar>
          </w:tcPr>
          <w:p>
            <w:r>
              <w:rPr>
                <w:color w:val="1E293B"/>
                <w:sz w:val="17"/>
              </w:rPr>
              <w:t>Real-time probability inference, 5-fold cross-validation, and calibrated risk score fusion.</w:t>
            </w:r>
          </w:p>
        </w:tc>
      </w:tr>
      <w:tr>
        <w:tc>
          <w:tcPr>
            <w:tcW w:type="dxa" w:w="3120"/>
            <w:shd w:fill="F8FAFC"/>
            <w:tcMar>
              <w:top w:w="60" w:type="dxa"/>
              <w:bottom w:w="60" w:type="dxa"/>
              <w:left w:w="80" w:type="dxa"/>
              <w:right w:w="80" w:type="dxa"/>
            </w:tcMar>
          </w:tcPr>
          <w:p>
            <w:r>
              <w:rPr>
                <w:color w:val="1E293B"/>
                <w:sz w:val="17"/>
              </w:rPr>
              <w:t>TEE Privacy &amp; Volatile RAM</w:t>
            </w:r>
          </w:p>
        </w:tc>
        <w:tc>
          <w:tcPr>
            <w:tcW w:type="dxa" w:w="3120"/>
            <w:shd w:fill="F8FAFC"/>
            <w:tcMar>
              <w:top w:w="60" w:type="dxa"/>
              <w:bottom w:w="60" w:type="dxa"/>
              <w:left w:w="80" w:type="dxa"/>
              <w:right w:w="80" w:type="dxa"/>
            </w:tcMar>
          </w:tcPr>
          <w:p>
            <w:r>
              <w:rPr>
                <w:color w:val="1E293B"/>
                <w:sz w:val="17"/>
              </w:rPr>
              <w:t>ctypes (VirtualLock / mlock), ctypes.memset, BytesIO, hashlib HMAC</w:t>
            </w:r>
          </w:p>
        </w:tc>
        <w:tc>
          <w:tcPr>
            <w:tcW w:type="dxa" w:w="3120"/>
            <w:shd w:fill="F8FAFC"/>
            <w:tcMar>
              <w:top w:w="60" w:type="dxa"/>
              <w:bottom w:w="60" w:type="dxa"/>
              <w:left w:w="80" w:type="dxa"/>
              <w:right w:w="80" w:type="dxa"/>
            </w:tcMar>
          </w:tcPr>
          <w:p>
            <w:r>
              <w:rPr>
                <w:color w:val="1E293B"/>
                <w:sz w:val="17"/>
              </w:rPr>
              <w:t>Memory page pinning, zero disk persistence, and sub-1ms buffer zeroization after inference.</w:t>
            </w:r>
          </w:p>
        </w:tc>
      </w:tr>
      <w:tr>
        <w:tc>
          <w:tcPr>
            <w:tcW w:type="dxa" w:w="3120"/>
            <w:shd w:fill="FFFFFF"/>
            <w:tcMar>
              <w:top w:w="60" w:type="dxa"/>
              <w:bottom w:w="60" w:type="dxa"/>
              <w:left w:w="80" w:type="dxa"/>
              <w:right w:w="80" w:type="dxa"/>
            </w:tcMar>
          </w:tcPr>
          <w:p>
            <w:r>
              <w:rPr>
                <w:color w:val="1E293B"/>
                <w:sz w:val="17"/>
              </w:rPr>
              <w:t>Legal Forensic Generator</w:t>
            </w:r>
          </w:p>
        </w:tc>
        <w:tc>
          <w:tcPr>
            <w:tcW w:type="dxa" w:w="3120"/>
            <w:shd w:fill="FFFFFF"/>
            <w:tcMar>
              <w:top w:w="60" w:type="dxa"/>
              <w:bottom w:w="60" w:type="dxa"/>
              <w:left w:w="80" w:type="dxa"/>
              <w:right w:w="80" w:type="dxa"/>
            </w:tcMar>
          </w:tcPr>
          <w:p>
            <w:r>
              <w:rPr>
                <w:color w:val="1E293B"/>
                <w:sz w:val="17"/>
              </w:rPr>
              <w:t>ReportLab 4.2.0, SHA-256 HMAC Attestation Engine</w:t>
            </w:r>
          </w:p>
        </w:tc>
        <w:tc>
          <w:tcPr>
            <w:tcW w:type="dxa" w:w="3120"/>
            <w:shd w:fill="FFFFFF"/>
            <w:tcMar>
              <w:top w:w="60" w:type="dxa"/>
              <w:bottom w:w="60" w:type="dxa"/>
              <w:left w:w="80" w:type="dxa"/>
              <w:right w:w="80" w:type="dxa"/>
            </w:tcMar>
          </w:tcPr>
          <w:p>
            <w:r>
              <w:rPr>
                <w:color w:val="1E293B"/>
                <w:sz w:val="17"/>
              </w:rPr>
              <w:t>Compiles court-admissible cryptographic PDF dossiers under Section 65B Indian Evidence Act (BSA 2023).</w:t>
            </w:r>
          </w:p>
        </w:tc>
      </w:tr>
    </w:tbl>
    <w:p>
      <w:pPr>
        <w:pStyle w:val="Heading1"/>
        <w:spacing w:before="320" w:after="120"/>
      </w:pPr>
      <w:r>
        <w:rPr>
          <w:b/>
          <w:color w:val="0A192F"/>
          <w:sz w:val="32"/>
        </w:rPr>
        <w:t>7. Technical Feasibility, Scalability &amp; Performance Analysis</w:t>
      </w:r>
    </w:p>
    <w:p>
      <w:pPr>
        <w:pStyle w:val="ListBullet"/>
        <w:spacing w:after="60" w:line="276" w:lineRule="auto"/>
      </w:pPr>
      <w:r>
        <w:rPr>
          <w:b/>
          <w:color w:val="1E293B"/>
          <w:sz w:val="20"/>
        </w:rPr>
        <w:t xml:space="preserve">1. Ultra-Low Resource Footprint: </w:t>
      </w:r>
      <w:r>
        <w:rPr>
          <w:color w:val="1E293B"/>
          <w:sz w:val="20"/>
        </w:rPr>
        <w:t>By utilizing physics-based acoustic DSP and decision tree ensembles rather than billion-parameter deep learning models, inference requires zero GPU hardware and executes in under 15ms on standard dual-core mobile CPUs with less than 4% CPU utilization.</w:t>
      </w:r>
    </w:p>
    <w:p>
      <w:pPr>
        <w:pStyle w:val="ListBullet"/>
        <w:spacing w:after="60" w:line="276" w:lineRule="auto"/>
      </w:pPr>
      <w:r>
        <w:rPr>
          <w:b/>
          <w:color w:val="1E293B"/>
          <w:sz w:val="20"/>
        </w:rPr>
        <w:t xml:space="preserve">2. Minimal Bandwidth &amp; Storage: </w:t>
      </w:r>
      <w:r>
        <w:rPr>
          <w:color w:val="1E293B"/>
          <w:sz w:val="20"/>
        </w:rPr>
        <w:t>The total binary footprint of the client and backend engine is under 35 MB, with real-time audio telemetry requiring less than 16 KB/s bandwidth (raw PCM 16kHz).</w:t>
      </w:r>
    </w:p>
    <w:p>
      <w:pPr>
        <w:pStyle w:val="ListBullet"/>
        <w:spacing w:after="60" w:line="276" w:lineRule="auto"/>
      </w:pPr>
      <w:r>
        <w:rPr>
          <w:b/>
          <w:color w:val="1E293B"/>
          <w:sz w:val="20"/>
        </w:rPr>
        <w:t xml:space="preserve">3. Universal Hardware Compatibility: </w:t>
      </w:r>
      <w:r>
        <w:rPr>
          <w:color w:val="1E293B"/>
          <w:sz w:val="20"/>
        </w:rPr>
        <w:t>Complies with all Web standards (PWA WebAPK) and Android architecture components, allowing installation across Android, iOS, Windows, macOS, and Linux without native app store restrictions.</w:t>
      </w:r>
    </w:p>
    <w:p>
      <w:pPr>
        <w:pStyle w:val="ListBullet"/>
        <w:spacing w:after="60" w:line="276" w:lineRule="auto"/>
      </w:pPr>
      <w:r>
        <w:rPr>
          <w:b/>
          <w:color w:val="1E293B"/>
          <w:sz w:val="20"/>
        </w:rPr>
        <w:t xml:space="preserve">4. Cloud &amp; Edge Scalability: </w:t>
      </w:r>
      <w:r>
        <w:rPr>
          <w:color w:val="1E293B"/>
          <w:sz w:val="20"/>
        </w:rPr>
        <w:t>The stateless, volatile-only backend architecture can be horizontally scaled across micro-containers (Docker / Kubernetes) with zero shared state or persistent database bottlenecks.</w:t>
      </w:r>
    </w:p>
    <w:p>
      <w:pPr>
        <w:pStyle w:val="Heading1"/>
        <w:spacing w:before="320" w:after="120"/>
      </w:pPr>
      <w:r>
        <w:rPr>
          <w:b/>
          <w:color w:val="0A192F"/>
          <w:sz w:val="32"/>
        </w:rPr>
        <w:t>8. Comprehensive Project Directory Tree &amp; Codebase Anatomy</w:t>
      </w:r>
    </w:p>
    <w:p>
      <w:pPr>
        <w:spacing w:after="80" w:line="276" w:lineRule="auto"/>
      </w:pPr>
      <w:r>
        <w:rPr>
          <w:i w:val="0"/>
          <w:color w:val="1E293B"/>
          <w:sz w:val="20"/>
        </w:rPr>
        <w:t>The codebase follows a modular, enterprise-grade directory structure separating concerns across frontend presentation, backend API services, DSP extraction algorithms, ML models, dataset assets, and automated test runners:</w:t>
      </w:r>
    </w:p>
    <w:p>
      <w:pPr>
        <w:spacing w:after="160"/>
      </w:pPr>
      <w:r>
        <w:rPr>
          <w:rFonts w:ascii="Consolas" w:hAnsi="Consolas"/>
          <w:color w:val="1E293B"/>
          <w:sz w:val="16"/>
        </w:rPr>
        <w:t>sentinelshield-ai/</w:t>
        <w:br/>
        <w:t>├── backend/</w:t>
        <w:br/>
        <w:t>│   ├── core/</w:t>
        <w:br/>
        <w:t>│   │   ├── config.py              # Pydantic Settings (zero hardcoded secrets)</w:t>
        <w:br/>
        <w:t>│   │   ├── security.py            # Security headers, CSP, and MIME file upload validators</w:t>
        <w:br/>
        <w:t>│   │   └── tee_guard.py           # In-memory page locking (VirtualLock/mlock) &amp; zeroization</w:t>
        <w:br/>
        <w:t>│   ├── models/</w:t>
        <w:br/>
        <w:t>│   │   └── random_forest_model.joblib # 150-tree Random Forest model (99.62% CV Acc)</w:t>
        <w:br/>
        <w:t>│   ├── schemas/</w:t>
        <w:br/>
        <w:t>│   │   ├── audio.py               # Pydantic schemas for audio telemetry &amp; sessions</w:t>
        <w:br/>
        <w:t>│   │   ├── url.py                 # Pydantic schemas for URL threat indicators</w:t>
        <w:br/>
        <w:t>│   │   └── message.py             # Schemas for digital arrest extortion patterns</w:t>
        <w:br/>
        <w:t>│   ├── services/</w:t>
        <w:br/>
        <w:t>│   │   ├── voice_dsp.py           # 38-feature DSP extraction &amp; acoustic risk fusion</w:t>
        <w:br/>
        <w:t>│   │   ├── forensic_pdf.py        # ReportLab Section 65B legal PDF compiler</w:t>
        <w:br/>
        <w:t>│   │   └── link_shield/</w:t>
        <w:br/>
        <w:t>│   │       ├── entropy_scanner.py # Shannon entropy H(X) &amp; IP heuristic scanner</w:t>
        <w:br/>
        <w:t>│   │       └── typosquatting.py   # Levenshtein typosquatting matrix across 60+ Indian banks</w:t>
        <w:br/>
        <w:t>│   ├── main.py                    # FastAPI application entrypoint &amp; WebSocket routes</w:t>
        <w:br/>
        <w:t>│   └── requirements.txt           # Production Python dependencies</w:t>
        <w:br/>
        <w:t>├── data/</w:t>
        <w:br/>
        <w:t>│   └── voice_data/                # 2,893 validated audio samples (1,450 Human + 1,443 AI)</w:t>
        <w:br/>
        <w:t>├── frontend/</w:t>
        <w:br/>
        <w:t>│   ├── css/</w:t>
        <w:br/>
        <w:t>│   │   └── style.css              # Cyber dark glassmorphism design system &amp; HUD styling</w:t>
        <w:br/>
        <w:t>│   ├── js/</w:t>
        <w:br/>
        <w:t>│   │   ├── app.js                 # Global SentinelApp coordinator &amp; theme switcher</w:t>
        <w:br/>
        <w:t>│   │   ├── voice-shield.js        # WebAudio DSP engine, 42-band canvas &amp; call simulator</w:t>
        <w:br/>
        <w:t>│   │   ├── link-shield-controller.js # Link threat scanner &amp; Mobile URL sandbox controller</w:t>
        <w:br/>
        <w:t>│   │   └── forensic-pdf.js        # Client-side legal PDF generation triggers</w:t>
        <w:br/>
        <w:t>│   ├── index.html                 # Main Cyber Defense command center &amp; portal</w:t>
        <w:br/>
        <w:t>│   ├── voice-shield.html          # Real-time Voice Integrity Forensics workstation</w:t>
        <w:br/>
        <w:t>│   ├── link-shield.html           # URL Inspector &amp; Mobile In-App Sandbox workstation</w:t>
        <w:br/>
        <w:t>│   ├── manifest.json              # PWA WebAPK configuration</w:t>
        <w:br/>
        <w:t>│   └── sw.js                      # Offline caching &amp; Service Worker coordinator</w:t>
        <w:br/>
        <w:t>└── tests/</w:t>
        <w:br/>
        <w:t xml:space="preserve">    └── test_system.py             # 15/15 Automated End-to-End Test Suite</w:t>
      </w:r>
    </w:p>
    <w:p>
      <w:pPr>
        <w:pStyle w:val="Heading1"/>
        <w:spacing w:before="320" w:after="120"/>
      </w:pPr>
      <w:r>
        <w:rPr>
          <w:b/>
          <w:color w:val="0A192F"/>
          <w:sz w:val="32"/>
        </w:rPr>
        <w:t>9. Legal Admissibility &amp; Regulatory Framework</w:t>
      </w:r>
    </w:p>
    <w:p>
      <w:pPr>
        <w:spacing w:after="80" w:line="276" w:lineRule="auto"/>
      </w:pPr>
      <w:r>
        <w:rPr>
          <w:i w:val="0"/>
          <w:color w:val="1E293B"/>
          <w:sz w:val="20"/>
        </w:rPr>
        <w:t>A core differentiator of SentinelShield AI is its adherence to Indian legal evidentiary requirements, ensuring that detected deepfake scams can be immediately prosecuted.</w:t>
      </w:r>
    </w:p>
    <w:p>
      <w:pPr>
        <w:pStyle w:val="ListBullet"/>
        <w:spacing w:after="60" w:line="276" w:lineRule="auto"/>
      </w:pPr>
      <w:r>
        <w:rPr>
          <w:b/>
          <w:color w:val="1E293B"/>
          <w:sz w:val="20"/>
        </w:rPr>
        <w:t xml:space="preserve">1. Section 65B Indian Evidence Act / Section 63 BSA 2023: </w:t>
      </w:r>
      <w:r>
        <w:rPr>
          <w:color w:val="1E293B"/>
          <w:sz w:val="20"/>
        </w:rPr>
        <w:t>Generates court-admissible forensic certificates complying with Section 65B of the Indian Evidence Act 1872 and Section 63 of the Bharatiya Sakshya Adhiniyam 2023 (BSA). Each report embeds SHA-256 HMAC hardware attestation tokens verifying device operating state, timestamp, and mathematical signal integrity.</w:t>
      </w:r>
    </w:p>
    <w:p>
      <w:pPr>
        <w:pStyle w:val="ListBullet"/>
        <w:spacing w:after="60" w:line="276" w:lineRule="auto"/>
      </w:pPr>
      <w:r>
        <w:rPr>
          <w:b/>
          <w:color w:val="1E293B"/>
          <w:sz w:val="20"/>
        </w:rPr>
        <w:t xml:space="preserve">2. DPDP Act 2023 Zero-Knowledge Compliance: </w:t>
      </w:r>
      <w:r>
        <w:rPr>
          <w:color w:val="1E293B"/>
          <w:sz w:val="20"/>
        </w:rPr>
        <w:t>Complies with India's Digital Personal Data Protection Act 2023 (DPDP). The system operates on a zero-knowledge architecture: raw voice audio is processed strictly in volatile memory and zeroized within milliseconds without persisting biometric voiceprints or plain text transcriptions.</w:t>
      </w:r>
    </w:p>
    <w:p>
      <w:pPr>
        <w:pStyle w:val="ListBullet"/>
        <w:spacing w:after="60" w:line="276" w:lineRule="auto"/>
      </w:pPr>
      <w:r>
        <w:rPr>
          <w:b/>
          <w:color w:val="1E293B"/>
          <w:sz w:val="20"/>
        </w:rPr>
        <w:t xml:space="preserve">3. Cyber Crime Helpline 1930 Direct Dispatch: </w:t>
      </w:r>
      <w:r>
        <w:rPr>
          <w:color w:val="1E293B"/>
          <w:sz w:val="20"/>
        </w:rPr>
        <w:t>Provides 1-click incident reporting dispatches formatted for direct submission to the National Cyber Crime Reporting Portal (cybercrime.gov.in) and Helpline 1930.</w:t>
      </w:r>
    </w:p>
    <w:p>
      <w:pPr>
        <w:pStyle w:val="Heading1"/>
        <w:spacing w:before="320" w:after="120"/>
      </w:pPr>
      <w:r>
        <w:rPr>
          <w:b/>
          <w:color w:val="0A192F"/>
          <w:sz w:val="32"/>
        </w:rPr>
        <w:t>10. Team Neural Defenders — Roles &amp; Technical Work Breakdown</w:t>
      </w:r>
    </w:p>
    <w:p>
      <w:pPr>
        <w:spacing w:after="80" w:line="276" w:lineRule="auto"/>
      </w:pPr>
      <w:r>
        <w:rPr>
          <w:i w:val="0"/>
          <w:color w:val="1E293B"/>
          <w:sz w:val="20"/>
        </w:rPr>
        <w:t>The project was designed, developed, and calibrated by Team Neural Defenders with dedicated module ownership:</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b/>
                <w:color w:val="FFFFFF"/>
                <w:sz w:val="18"/>
              </w:rPr>
              <w:t>Team Member</w:t>
            </w:r>
          </w:p>
        </w:tc>
        <w:tc>
          <w:tcPr>
            <w:tcW w:type="dxa" w:w="3120"/>
            <w:shd w:fill="0F172A"/>
            <w:tcMar>
              <w:top w:w="80" w:type="dxa"/>
              <w:bottom w:w="80" w:type="dxa"/>
              <w:left w:w="100" w:type="dxa"/>
              <w:right w:w="100" w:type="dxa"/>
            </w:tcMar>
          </w:tcPr>
          <w:p>
            <w:r>
              <w:rPr>
                <w:b/>
                <w:color w:val="FFFFFF"/>
                <w:sz w:val="18"/>
              </w:rPr>
              <w:t>Role / Designation</w:t>
            </w:r>
          </w:p>
        </w:tc>
        <w:tc>
          <w:tcPr>
            <w:tcW w:type="dxa" w:w="3120"/>
            <w:shd w:fill="0F172A"/>
            <w:tcMar>
              <w:top w:w="80" w:type="dxa"/>
              <w:bottom w:w="80" w:type="dxa"/>
              <w:left w:w="100" w:type="dxa"/>
              <w:right w:w="100" w:type="dxa"/>
            </w:tcMar>
          </w:tcPr>
          <w:p>
            <w:r>
              <w:rPr>
                <w:b/>
                <w:color w:val="FFFFFF"/>
                <w:sz w:val="18"/>
              </w:rPr>
              <w:t>Technical Modules &amp; Codebase Ownership</w:t>
            </w:r>
          </w:p>
        </w:tc>
      </w:tr>
      <w:tr>
        <w:tc>
          <w:tcPr>
            <w:tcW w:type="dxa" w:w="3120"/>
            <w:shd w:fill="F8FAFC"/>
            <w:tcMar>
              <w:top w:w="60" w:type="dxa"/>
              <w:bottom w:w="60" w:type="dxa"/>
              <w:left w:w="80" w:type="dxa"/>
              <w:right w:w="80" w:type="dxa"/>
            </w:tcMar>
          </w:tcPr>
          <w:p>
            <w:r>
              <w:rPr>
                <w:color w:val="1E293B"/>
                <w:sz w:val="17"/>
              </w:rPr>
              <w:t>Prajwal Sharma (Lead)</w:t>
            </w:r>
          </w:p>
        </w:tc>
        <w:tc>
          <w:tcPr>
            <w:tcW w:type="dxa" w:w="3120"/>
            <w:shd w:fill="F8FAFC"/>
            <w:tcMar>
              <w:top w:w="60" w:type="dxa"/>
              <w:bottom w:w="60" w:type="dxa"/>
              <w:left w:w="80" w:type="dxa"/>
              <w:right w:w="80" w:type="dxa"/>
            </w:tcMar>
          </w:tcPr>
          <w:p>
            <w:r>
              <w:rPr>
                <w:color w:val="1E293B"/>
                <w:sz w:val="17"/>
              </w:rPr>
              <w:t>System Architect &amp; AI/DSP Lead</w:t>
            </w:r>
          </w:p>
        </w:tc>
        <w:tc>
          <w:tcPr>
            <w:tcW w:type="dxa" w:w="3120"/>
            <w:shd w:fill="F8FAFC"/>
            <w:tcMar>
              <w:top w:w="60" w:type="dxa"/>
              <w:bottom w:w="60" w:type="dxa"/>
              <w:left w:w="80" w:type="dxa"/>
              <w:right w:w="80" w:type="dxa"/>
            </w:tcMar>
          </w:tcPr>
          <w:p>
            <w:r>
              <w:rPr>
                <w:color w:val="1E293B"/>
                <w:sz w:val="17"/>
              </w:rPr>
              <w:t>Architecture design, 38-DSP acoustic pipeline, Random Forest retraining (2,893 dataset), and FastAPI backend coordinator.</w:t>
            </w:r>
          </w:p>
        </w:tc>
      </w:tr>
      <w:tr>
        <w:tc>
          <w:tcPr>
            <w:tcW w:type="dxa" w:w="3120"/>
            <w:shd w:fill="FFFFFF"/>
            <w:tcMar>
              <w:top w:w="60" w:type="dxa"/>
              <w:bottom w:w="60" w:type="dxa"/>
              <w:left w:w="80" w:type="dxa"/>
              <w:right w:w="80" w:type="dxa"/>
            </w:tcMar>
          </w:tcPr>
          <w:p>
            <w:r>
              <w:rPr>
                <w:color w:val="1E293B"/>
                <w:sz w:val="17"/>
              </w:rPr>
              <w:t>Priyanshu Ranjan</w:t>
            </w:r>
          </w:p>
        </w:tc>
        <w:tc>
          <w:tcPr>
            <w:tcW w:type="dxa" w:w="3120"/>
            <w:shd w:fill="FFFFFF"/>
            <w:tcMar>
              <w:top w:w="60" w:type="dxa"/>
              <w:bottom w:w="60" w:type="dxa"/>
              <w:left w:w="80" w:type="dxa"/>
              <w:right w:w="80" w:type="dxa"/>
            </w:tcMar>
          </w:tcPr>
          <w:p>
            <w:r>
              <w:rPr>
                <w:color w:val="1E293B"/>
                <w:sz w:val="17"/>
              </w:rPr>
              <w:t>Frontend &amp; WebAudio Lead</w:t>
            </w:r>
          </w:p>
        </w:tc>
        <w:tc>
          <w:tcPr>
            <w:tcW w:type="dxa" w:w="3120"/>
            <w:shd w:fill="FFFFFF"/>
            <w:tcMar>
              <w:top w:w="60" w:type="dxa"/>
              <w:bottom w:w="60" w:type="dxa"/>
              <w:left w:w="80" w:type="dxa"/>
              <w:right w:w="80" w:type="dxa"/>
            </w:tcMar>
          </w:tcPr>
          <w:p>
            <w:r>
              <w:rPr>
                <w:color w:val="1E293B"/>
                <w:sz w:val="17"/>
              </w:rPr>
              <w:t>Voice Shield UI, 60 FPS 42-band equalizer canvas, and PWA WebAPK service worker integration.</w:t>
            </w:r>
          </w:p>
        </w:tc>
      </w:tr>
      <w:tr>
        <w:tc>
          <w:tcPr>
            <w:tcW w:type="dxa" w:w="3120"/>
            <w:shd w:fill="F8FAFC"/>
            <w:tcMar>
              <w:top w:w="60" w:type="dxa"/>
              <w:bottom w:w="60" w:type="dxa"/>
              <w:left w:w="80" w:type="dxa"/>
              <w:right w:w="80" w:type="dxa"/>
            </w:tcMar>
          </w:tcPr>
          <w:p>
            <w:r>
              <w:rPr>
                <w:color w:val="1E293B"/>
                <w:sz w:val="17"/>
              </w:rPr>
              <w:t>Kavya</w:t>
            </w:r>
          </w:p>
        </w:tc>
        <w:tc>
          <w:tcPr>
            <w:tcW w:type="dxa" w:w="3120"/>
            <w:shd w:fill="F8FAFC"/>
            <w:tcMar>
              <w:top w:w="60" w:type="dxa"/>
              <w:bottom w:w="60" w:type="dxa"/>
              <w:left w:w="80" w:type="dxa"/>
              <w:right w:w="80" w:type="dxa"/>
            </w:tcMar>
          </w:tcPr>
          <w:p>
            <w:r>
              <w:rPr>
                <w:color w:val="1E293B"/>
                <w:sz w:val="17"/>
              </w:rPr>
              <w:t>Cyber Threat Intelligence Lead</w:t>
            </w:r>
          </w:p>
        </w:tc>
        <w:tc>
          <w:tcPr>
            <w:tcW w:type="dxa" w:w="3120"/>
            <w:shd w:fill="F8FAFC"/>
            <w:tcMar>
              <w:top w:w="60" w:type="dxa"/>
              <w:bottom w:w="60" w:type="dxa"/>
              <w:left w:w="80" w:type="dxa"/>
              <w:right w:w="80" w:type="dxa"/>
            </w:tcMar>
          </w:tcPr>
          <w:p>
            <w:r>
              <w:rPr>
                <w:color w:val="1E293B"/>
                <w:sz w:val="17"/>
              </w:rPr>
              <w:t>Link Guard URL heuristics, Shannon entropy DGA scanner, and Levenshtein 60+ Indian bank typosquatting matrix.</w:t>
            </w:r>
          </w:p>
        </w:tc>
      </w:tr>
      <w:tr>
        <w:tc>
          <w:tcPr>
            <w:tcW w:type="dxa" w:w="3120"/>
            <w:shd w:fill="FFFFFF"/>
            <w:tcMar>
              <w:top w:w="60" w:type="dxa"/>
              <w:bottom w:w="60" w:type="dxa"/>
              <w:left w:w="80" w:type="dxa"/>
              <w:right w:w="80" w:type="dxa"/>
            </w:tcMar>
          </w:tcPr>
          <w:p>
            <w:r>
              <w:rPr>
                <w:color w:val="1E293B"/>
                <w:sz w:val="17"/>
              </w:rPr>
              <w:t>Ashmit Singh</w:t>
            </w:r>
          </w:p>
        </w:tc>
        <w:tc>
          <w:tcPr>
            <w:tcW w:type="dxa" w:w="3120"/>
            <w:shd w:fill="FFFFFF"/>
            <w:tcMar>
              <w:top w:w="60" w:type="dxa"/>
              <w:bottom w:w="60" w:type="dxa"/>
              <w:left w:w="80" w:type="dxa"/>
              <w:right w:w="80" w:type="dxa"/>
            </w:tcMar>
          </w:tcPr>
          <w:p>
            <w:r>
              <w:rPr>
                <w:color w:val="1E293B"/>
                <w:sz w:val="17"/>
              </w:rPr>
              <w:t>Mobile Security &amp; Sandbox Dev</w:t>
            </w:r>
          </w:p>
        </w:tc>
        <w:tc>
          <w:tcPr>
            <w:tcW w:type="dxa" w:w="3120"/>
            <w:shd w:fill="FFFFFF"/>
            <w:tcMar>
              <w:top w:w="60" w:type="dxa"/>
              <w:bottom w:w="60" w:type="dxa"/>
              <w:left w:w="80" w:type="dxa"/>
              <w:right w:w="80" w:type="dxa"/>
            </w:tcMar>
          </w:tcPr>
          <w:p>
            <w:r>
              <w:rPr>
                <w:color w:val="1E293B"/>
                <w:sz w:val="17"/>
              </w:rPr>
              <w:t>Mobile In-Call HUD screening overlay, in-app ACTION_VIEW intent interceptor, and notification bridge.</w:t>
            </w:r>
          </w:p>
        </w:tc>
      </w:tr>
      <w:tr>
        <w:tc>
          <w:tcPr>
            <w:tcW w:type="dxa" w:w="3120"/>
            <w:shd w:fill="F8FAFC"/>
            <w:tcMar>
              <w:top w:w="60" w:type="dxa"/>
              <w:bottom w:w="60" w:type="dxa"/>
              <w:left w:w="80" w:type="dxa"/>
              <w:right w:w="80" w:type="dxa"/>
            </w:tcMar>
          </w:tcPr>
          <w:p>
            <w:r>
              <w:rPr>
                <w:color w:val="1E293B"/>
                <w:sz w:val="17"/>
              </w:rPr>
              <w:t>Anshika Verma</w:t>
            </w:r>
          </w:p>
        </w:tc>
        <w:tc>
          <w:tcPr>
            <w:tcW w:type="dxa" w:w="3120"/>
            <w:shd w:fill="F8FAFC"/>
            <w:tcMar>
              <w:top w:w="60" w:type="dxa"/>
              <w:bottom w:w="60" w:type="dxa"/>
              <w:left w:w="80" w:type="dxa"/>
              <w:right w:w="80" w:type="dxa"/>
            </w:tcMar>
          </w:tcPr>
          <w:p>
            <w:r>
              <w:rPr>
                <w:color w:val="1E293B"/>
                <w:sz w:val="17"/>
              </w:rPr>
              <w:t>Dataset &amp; Forensic Validation Lead</w:t>
            </w:r>
          </w:p>
        </w:tc>
        <w:tc>
          <w:tcPr>
            <w:tcW w:type="dxa" w:w="3120"/>
            <w:shd w:fill="F8FAFC"/>
            <w:tcMar>
              <w:top w:w="60" w:type="dxa"/>
              <w:bottom w:w="60" w:type="dxa"/>
              <w:left w:w="80" w:type="dxa"/>
              <w:right w:w="80" w:type="dxa"/>
            </w:tcMar>
          </w:tcPr>
          <w:p>
            <w:r>
              <w:rPr>
                <w:color w:val="1E293B"/>
                <w:sz w:val="17"/>
              </w:rPr>
              <w:t>2,893 multi-lingual audio corpus curation (13 Indian languages), 5-fold cross-validation benchmarking, and noise augmentation.</w:t>
            </w:r>
          </w:p>
        </w:tc>
      </w:tr>
      <w:tr>
        <w:tc>
          <w:tcPr>
            <w:tcW w:type="dxa" w:w="3120"/>
            <w:shd w:fill="FFFFFF"/>
            <w:tcMar>
              <w:top w:w="60" w:type="dxa"/>
              <w:bottom w:w="60" w:type="dxa"/>
              <w:left w:w="80" w:type="dxa"/>
              <w:right w:w="80" w:type="dxa"/>
            </w:tcMar>
          </w:tcPr>
          <w:p>
            <w:r>
              <w:rPr>
                <w:color w:val="1E293B"/>
                <w:sz w:val="17"/>
              </w:rPr>
              <w:t>Komal</w:t>
            </w:r>
          </w:p>
        </w:tc>
        <w:tc>
          <w:tcPr>
            <w:tcW w:type="dxa" w:w="3120"/>
            <w:shd w:fill="FFFFFF"/>
            <w:tcMar>
              <w:top w:w="60" w:type="dxa"/>
              <w:bottom w:w="60" w:type="dxa"/>
              <w:left w:w="80" w:type="dxa"/>
              <w:right w:w="80" w:type="dxa"/>
            </w:tcMar>
          </w:tcPr>
          <w:p>
            <w:r>
              <w:rPr>
                <w:color w:val="1E293B"/>
                <w:sz w:val="17"/>
              </w:rPr>
              <w:t>Legal Compliance &amp; SOC Automation Lead</w:t>
            </w:r>
          </w:p>
        </w:tc>
        <w:tc>
          <w:tcPr>
            <w:tcW w:type="dxa" w:w="3120"/>
            <w:shd w:fill="FFFFFF"/>
            <w:tcMar>
              <w:top w:w="60" w:type="dxa"/>
              <w:bottom w:w="60" w:type="dxa"/>
              <w:left w:w="80" w:type="dxa"/>
              <w:right w:w="80" w:type="dxa"/>
            </w:tcMar>
          </w:tcPr>
          <w:p>
            <w:r>
              <w:rPr>
                <w:color w:val="1E293B"/>
                <w:sz w:val="17"/>
              </w:rPr>
              <w:t>Section 65B PDF evidence compiler (BSA 2023), DPDP Act 2023 privacy validation, and n8n webhook incident dispatch.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