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073bb6b0114349c1" /><Relationship Type="http://schemas.openxmlformats.org/package/2006/relationships/metadata/core-properties" Target="/docProps/core.xml" Id="R2b55605381f9451c" /><Relationship Type="http://schemas.openxmlformats.org/officeDocument/2006/relationships/extended-properties" Target="/docProps/app.xml" Id="R78b1977572414e80" /><Relationship Type="http://schemas.openxmlformats.org/officeDocument/2006/relationships/custom-properties" Target="/docProps/custom.xml" Id="R9b0a297d98e948e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440"/>
      </w:pPr>
      <w:r>
        <w:rPr/>
        <w:t xml:space="preserve"/>
      </w:r>
    </w:p>
    <w:p w14:paraId="00100002" w14:textId="00100003">
      <w:pPr>
        <w:pStyle w:val="Heading1"/>
        <w:spacing w:after="240"/>
        <w:jc w:val="center"/>
      </w:pPr>
      <w:r>
        <w:rPr>
          <w:b/>
          <w:color w:val="1A3C5E"/>
          <w:sz w:val="56"/>
        </w:rPr>
        <w:t xml:space="preserve">HEALTHCARE COST PREDICTION</w:t>
      </w:r>
    </w:p>
    <w:p w14:paraId="00100004" w14:textId="00100005">
      <w:pPr>
        <w:spacing w:after="160"/>
        <w:jc w:val="center"/>
      </w:pPr>
      <w:r>
        <w:rPr>
          <w:b w:val="false"/>
          <w:color w:val="2E6DA4"/>
          <w:sz w:val="36"/>
        </w:rPr>
        <w:t xml:space="preserve">Project Report</w:t>
      </w:r>
    </w:p>
    <w:p w14:paraId="00100006" w14:textId="00100007">
      <w:pPr>
        <w:spacing w:after="80"/>
        <w:jc w:val="center"/>
      </w:pPr>
      <w:r>
        <w:rPr>
          <w:color w:val="444444"/>
          <w:sz w:val="26"/>
        </w:rPr>
        <w:t xml:space="preserve">A Full-Stack Machine Learning Web Application for</w:t>
      </w:r>
    </w:p>
    <w:p w14:paraId="00100008" w14:textId="00100009">
      <w:pPr>
        <w:spacing w:after="1200"/>
        <w:jc w:val="center"/>
      </w:pPr>
      <w:r>
        <w:rPr>
          <w:color w:val="444444"/>
          <w:sz w:val="26"/>
        </w:rPr>
        <w:t xml:space="preserve">Estimating Annual Medical Insurance Costs</w:t>
      </w:r>
    </w:p>
    <w:p w14:paraId="0010000A" w14:textId="0010000B">
      <w:pPr>
        <w:spacing w:after="120"/>
        <w:jc w:val="center"/>
      </w:pPr>
      <w:r>
        <w:rPr>
          <w:b/>
          <w:color w:val="1A3C5E"/>
          <w:sz w:val="24"/>
        </w:rPr>
        <w:t xml:space="preserve">Technology Stack</w:t>
      </w:r>
    </w:p>
    <w:p w14:paraId="0010000C" w14:textId="0010000D">
      <w:pPr>
        <w:spacing w:after="960"/>
        <w:jc w:val="center"/>
      </w:pPr>
      <w:r>
        <w:rPr>
          <w:color w:val="555555"/>
          <w:sz w:val="22"/>
        </w:rPr>
        <w:t xml:space="preserve">Python  |  Flask  |  scikit-learn  |  Gradient Boosting  |  HTML/CSS/JavaScript  |  Chart.js</w:t>
      </w:r>
    </w:p>
    <w:p w14:paraId="0010000E" w14:textId="0010000F">
      <w:pPr>
        <w:spacing w:after="160"/>
        <w:jc w:val="center"/>
      </w:pPr>
      <w:r>
        <w:rPr>
          <w:color w:val="555555"/>
          <w:sz w:val="22"/>
        </w:rPr>
        <w:t xml:space="preserve">Dataset: US Medical Insurance Costs  |  1,337 Patient Records  |  6 Predictor Features</w:t>
      </w:r>
    </w:p>
    <w:p w14:paraId="00100010" w14:textId="00100011">
      <w:pPr>
        <w:spacing w:after="1440"/>
        <w:jc w:val="center"/>
      </w:pPr>
      <w:r>
        <w:rPr>
          <w:color w:val="555555"/>
          <w:sz w:val="22"/>
        </w:rPr>
        <w:t xml:space="preserve">Model Accuracy (R²): 89.36%  |  Test MAE: $2,571.67  |  Test RMSE: $4,421.74</w:t>
      </w:r>
    </w:p>
    <w:p w14:paraId="00100012" w14:textId="00100013">
      <w:pPr>
        <w:spacing w:after="0"/>
        <w:jc w:val="center"/>
      </w:pPr>
      <w:r>
        <w:rPr>
          <w:color w:val="777777"/>
          <w:sz w:val="20"/>
        </w:rPr>
        <w:t xml:space="preserve">MediCost AI  —  Healthcare Cost Prediction Project</w:t>
      </w:r>
    </w:p>
    <w:p w14:paraId="00100014" w14:textId="00100015">
      <w:pPr/>
      <w:r>
        <w:rPr/>
        <w:t xml:space="preserve">pagebreak</w:t>
      </w:r>
    </w:p>
    <w:p w14:paraId="00100016" w14:textId="00100017">
      <w:pPr>
        <w:pStyle w:val="Heading1"/>
        <w:spacing w:after="200"/>
      </w:pPr>
      <w:r>
        <w:rPr>
          <w:b/>
          <w:color w:val="1A3C5E"/>
          <w:sz w:val="36"/>
        </w:rPr>
        <w:t xml:space="preserve">Abstract</w:t>
      </w:r>
    </w:p>
    <w:p w14:paraId="00100018" w14:textId="00100019">
      <w:pPr>
        <w:spacing w:after="160"/>
      </w:pPr>
      <w:r>
        <w:rPr>
          <w:sz w:val="22"/>
        </w:rPr>
        <w:t xml:space="preserve">Healthcare expenditure is one of the most significant financial concerns for individuals and families. Accurately predicting medical insurance costs in advance allows patients, insurers, and healthcare planners to make more informed financial decisions. This project presents MediCost AI, a full-stack web application that uses machine learning to predict annual healthcare insurance costs based on individual health and demographic profiles.</w:t>
      </w:r>
    </w:p>
    <w:p w14:paraId="0010001A" w14:textId="0010001B">
      <w:pPr>
        <w:spacing w:after="160"/>
      </w:pPr>
      <w:r>
        <w:rPr>
          <w:sz w:val="22"/>
        </w:rPr>
        <w:t xml:space="preserve">The system is trained on the US Medical Insurance Costs dataset containing 1,337 patient records with six input features: age, sex, body mass index (BMI), number of dependent children, smoking status, and US geographic region. A Gradient Boosting Regressor pipeline was selected from a comparison of five regression algorithms and achieves a test R² score of 89.36%, a Mean Absolute Error (MAE) of $2,571.67, and a Root Mean Squared Error (RMSE) of $4,421.74 on the held-out test set.</w:t>
      </w:r>
    </w:p>
    <w:p w14:paraId="0010001C" w14:textId="0010001D">
      <w:pPr>
        <w:spacing w:after="0"/>
      </w:pPr>
      <w:r>
        <w:rPr>
          <w:sz w:val="22"/>
        </w:rPr>
        <w:t xml:space="preserve">The application provides an interactive web dashboard built with HTML, CSS, and JavaScript, with Chart.js-powered data visualisations displaying cost distributions, age-versus-charges scatter plots, regional comparisons, and feature importance rankings. The backend is implemented as a Python Flask REST API exposing five endpoints for statistics, model metrics, chart data, health checks, and live predictions. All predicted costs are displayed in Indian Rupees (₹). The project demonstrates an end-to-end data science workflow: from raw data exploration and preprocessing through model selection, evaluation, and deployment as a production-ready web application.</w:t>
      </w:r>
    </w:p>
    <w:p w14:paraId="0010001E" w14:textId="0010001F">
      <w:pPr/>
      <w:r>
        <w:rPr/>
        <w:t xml:space="preserve">pagebreak</w:t>
      </w:r>
    </w:p>
    <w:p w14:paraId="00100020" w14:textId="00100021">
      <w:pPr>
        <w:pStyle w:val="Heading1"/>
        <w:spacing w:after="240"/>
      </w:pPr>
      <w:r>
        <w:rPr>
          <w:b/>
          <w:color w:val="1A3C5E"/>
          <w:sz w:val="36"/>
        </w:rPr>
        <w:t xml:space="preserve">Table of Contents</w:t>
      </w:r>
    </w:p>
    <w:p w14:paraId="00100078" w14:textId="00100079">
      <w:r>
        <w:fldChar w:fldCharType="begin"/>
      </w:r>
      <w:r>
        <w:instrText xml:space="preserve"> TOC \o "1-3" \h \u </w:instrText>
      </w:r>
      <w:r>
        <w:fldChar w:fldCharType="separate"/>
      </w:r>
      <w:r>
        <w:t xml:space="preserve">Update field to see table of contents</w:t>
      </w:r>
      <w:r>
        <w:fldChar w:fldCharType="end"/>
      </w:r>
    </w:p>
    <w:p w14:paraId="00100022" w14:textId="00100023">
      <w:pPr/>
      <w:r>
        <w:rPr/>
        <w:t xml:space="preserve">pagebreak</w:t>
      </w:r>
    </w:p>
    <w:p w14:paraId="00100024" w14:textId="00100025">
      <w:pPr>
        <w:pStyle w:val="Heading1"/>
        <w:spacing w:after="160"/>
      </w:pPr>
      <w:r>
        <w:rPr>
          <w:b/>
          <w:color w:val="1A3C5E"/>
          <w:sz w:val="32"/>
        </w:rPr>
        <w:t xml:space="preserve">1. Introduction</w:t>
      </w:r>
    </w:p>
    <w:p w14:paraId="00100026" w14:textId="00100027">
      <w:pPr>
        <w:spacing w:after="160"/>
      </w:pPr>
      <w:r>
        <w:rPr>
          <w:sz w:val="22"/>
        </w:rPr>
        <w:t xml:space="preserve">The rising cost of healthcare is a global challenge. For individuals, estimating future medical expenses is difficult because costs depend on a combination of personal, demographic, and lifestyle factors. Insurance companies use actuarial models to price premiums, but these models are often opaque and inaccessible to the general public.</w:t>
      </w:r>
    </w:p>
    <w:p w14:paraId="00100028" w14:textId="00100029">
      <w:pPr>
        <w:spacing w:after="160"/>
      </w:pPr>
      <w:r>
        <w:rPr>
          <w:sz w:val="22"/>
        </w:rPr>
        <w:t xml:space="preserve">Machine learning offers a transparent, data-driven alternative. By training regression models on historical insurance claim data, it is possible to predict the expected annual healthcare cost for any individual given a small set of inputs. This project implements such a system as a fully functional, browser-based web application named MediCost AI.</w:t>
      </w:r>
    </w:p>
    <w:p w14:paraId="0010002A" w14:textId="0010002B">
      <w:pPr>
        <w:spacing w:after="0"/>
      </w:pPr>
      <w:r>
        <w:rPr>
          <w:sz w:val="22"/>
        </w:rPr>
        <w:t xml:space="preserve">The application combines a Python Flask REST API backend with a modern JavaScript frontend. Users enter their health profile (age, BMI, sex, number of children, smoking status, and US region) into an interactive form and receive an instant, model-generated cost prediction along with a risk category and a personalised profile summary. The dashboard also provides an analytics section with five Chart.js visualisations, a model performance section, and a dataset statistics panel — all populated from live API calls to the backend.</w:t>
      </w:r>
    </w:p>
    <w:p w14:paraId="0010002C" w14:textId="0010002D">
      <w:pPr>
        <w:pStyle w:val="Heading1"/>
        <w:spacing w:before="320" w:after="160"/>
      </w:pPr>
      <w:r>
        <w:rPr>
          <w:b/>
          <w:color w:val="1A3C5E"/>
          <w:sz w:val="32"/>
        </w:rPr>
        <w:t xml:space="preserve">2. Problem Statement</w:t>
      </w:r>
    </w:p>
    <w:p w14:paraId="0010002E" w14:textId="0010002F">
      <w:pPr>
        <w:spacing w:after="160"/>
      </w:pPr>
      <w:r>
        <w:rPr>
          <w:sz w:val="22"/>
        </w:rPr>
        <w:t xml:space="preserve">Healthcare costs vary widely across individuals and are influenced by numerous factors including age, lifestyle choices such as smoking, body composition, and geographic location. Without a reliable estimation tool, individuals are unable to anticipate their annual insurance expenditure, making it difficult to plan healthcare budgets or compare insurance products effectively.</w:t>
      </w:r>
    </w:p>
    <w:p w14:paraId="00100030" w14:textId="00100031">
      <w:pPr>
        <w:spacing w:after="0"/>
      </w:pPr>
      <w:r>
        <w:rPr>
          <w:sz w:val="22"/>
        </w:rPr>
        <w:t xml:space="preserve">Existing cost calculators are either oversimplified (relying on a single variable such as age) or proprietary black-box tools used internally by insurers. There is a need for an accessible, transparent, and data-driven web application that can estimate annual healthcare costs from a small number of readily available personal inputs, and that explains which factors drive the estimate.</w:t>
      </w:r>
    </w:p>
    <w:p w14:paraId="00100032" w14:textId="00100033">
      <w:pPr>
        <w:pStyle w:val="Heading1"/>
        <w:spacing w:before="320" w:after="160"/>
      </w:pPr>
      <w:r>
        <w:rPr>
          <w:b/>
          <w:color w:val="1A3C5E"/>
          <w:sz w:val="32"/>
        </w:rPr>
        <w:t xml:space="preserve">3. Objectives</w:t>
      </w:r>
    </w:p>
    <w:p w14:paraId="00100034" w14:textId="00100035">
      <w:pPr>
        <w:spacing w:after="120"/>
      </w:pPr>
      <w:r>
        <w:rPr>
          <w:sz w:val="22"/>
        </w:rPr>
        <w:t xml:space="preserve">The primary objectives of this project are:</w:t>
      </w:r>
    </w:p>
    <w:p w14:paraId="00100036" w14:textId="00100037">
      <w:pPr>
        <w:spacing w:after="80"/>
      </w:pPr>
      <w:r>
        <w:rPr>
          <w:sz w:val="22"/>
        </w:rPr>
        <w:t xml:space="preserve">1.  To build a machine learning regression model that accurately predicts annual healthcare insurance costs from six individual input features.</w:t>
      </w:r>
    </w:p>
    <w:p w14:paraId="00100038" w14:textId="00100039">
      <w:pPr>
        <w:spacing w:after="80"/>
      </w:pPr>
      <w:r>
        <w:rPr>
          <w:sz w:val="22"/>
        </w:rPr>
        <w:t xml:space="preserve">2.  To compare five regression algorithms (Linear Regression, Ridge, Lasso, Random Forest, Gradient Boosting) on identical train/test splits and select the best performer by test R².</w:t>
      </w:r>
    </w:p>
    <w:p w14:paraId="0010003A" w14:textId="0010003B">
      <w:pPr>
        <w:spacing w:after="80"/>
      </w:pPr>
      <w:r>
        <w:rPr>
          <w:sz w:val="22"/>
        </w:rPr>
        <w:t xml:space="preserve">3.  To implement a complete data preprocessing pipeline using scikit-learn, handling both numerical scaling and categorical encoding without data leakage.</w:t>
      </w:r>
    </w:p>
    <w:p w14:paraId="0010003C" w14:textId="0010003D">
      <w:pPr>
        <w:spacing w:after="80"/>
      </w:pPr>
      <w:r>
        <w:rPr>
          <w:sz w:val="22"/>
        </w:rPr>
        <w:t xml:space="preserve">4.  To develop a Python Flask REST API that serves predictions, dataset statistics, model metrics, and chart data through well-defined JSON endpoints.</w:t>
      </w:r>
    </w:p>
    <w:p w14:paraId="0010003E" w14:textId="0010003F">
      <w:pPr>
        <w:spacing w:after="80"/>
      </w:pPr>
      <w:r>
        <w:rPr>
          <w:sz w:val="22"/>
        </w:rPr>
        <w:t xml:space="preserve">5.  To create a professional, responsive web frontend with interactive data visualisations, a prediction form, and a real-time result display in Indian Rupees (₹).</w:t>
      </w:r>
    </w:p>
    <w:p w14:paraId="00100040" w14:textId="00100041">
      <w:pPr>
        <w:spacing w:after="0"/>
      </w:pPr>
      <w:r>
        <w:rPr>
          <w:sz w:val="22"/>
        </w:rPr>
        <w:t xml:space="preserve">6.  To provide full transparency through a model performance section showing feature importances, algorithm comparison, and train/test split metrics.</w:t>
      </w:r>
    </w:p>
    <w:p w14:paraId="00100042" w14:textId="00100043">
      <w:pPr/>
      <w:r>
        <w:rPr/>
        <w:t xml:space="preserve">pagebreak</w:t>
      </w:r>
    </w:p>
    <w:p w14:paraId="00100044" w14:textId="00100045">
      <w:pPr>
        <w:pStyle w:val="Heading1"/>
        <w:spacing w:after="160"/>
      </w:pPr>
      <w:r>
        <w:rPr>
          <w:b/>
          <w:color w:val="1A3C5E"/>
          <w:sz w:val="32"/>
        </w:rPr>
        <w:t xml:space="preserve">4. Proposed System</w:t>
      </w:r>
    </w:p>
    <w:p w14:paraId="00100046" w14:textId="00100047">
      <w:pPr>
        <w:spacing w:after="120"/>
      </w:pPr>
      <w:r>
        <w:rPr>
          <w:sz w:val="22"/>
        </w:rPr>
        <w:t xml:space="preserve">The proposed system is a three-tier full-stack web application consisting of:</w:t>
      </w:r>
    </w:p>
    <w:p w14:paraId="00100048" w14:textId="00100049">
      <w:pPr>
        <w:spacing w:after="80"/>
      </w:pPr>
      <w:r>
        <w:rPr>
          <w:sz w:val="22"/>
        </w:rPr>
        <w:t xml:space="preserve">Data Layer:  The US Medical Insurance Costs CSV dataset (data/insurance.csv) containing 1,337 clean patient records after deduplication. The raw data is never modified; all transformations happen in memory at runtime.</w:t>
      </w:r>
    </w:p>
    <w:p w14:paraId="0010004A" w14:textId="0010004B">
      <w:pPr>
        <w:spacing w:after="80"/>
      </w:pPr>
      <w:r>
        <w:rPr>
          <w:sz w:val="22"/>
        </w:rPr>
        <w:t xml:space="preserve">Model / Logic Layer:  A scikit-learn Pipeline serialised to model/healthcare_model.pkl. The pipeline encapsulates the full preprocessing transformation and the Gradient Boosting Regressor estimator. A companion JSON file (model/evaluation_results.json) stores the exact evaluation metrics computed during training.</w:t>
      </w:r>
    </w:p>
    <w:p w14:paraId="0010004C" w14:textId="0010004D">
      <w:pPr>
        <w:spacing w:after="160"/>
      </w:pPr>
      <w:r>
        <w:rPr>
          <w:sz w:val="22"/>
        </w:rPr>
        <w:t xml:space="preserve">Presentation Layer:  A Python Flask application (backend/app.py) that loads the pipeline at startup and exposes five REST endpoints. The Flask application also serves the static frontend (frontend/index.html, frontend/style.css, frontend/app.js) directly, eliminating the need for a separate web server. Users access the entire application at http://127.0.0.1:5000/.</w:t>
      </w:r>
    </w:p>
    <w:p w14:paraId="0010004E" w14:textId="0010004F">
      <w:pPr>
        <w:spacing w:after="0"/>
      </w:pPr>
      <w:r>
        <w:rPr>
          <w:sz w:val="22"/>
        </w:rPr>
        <w:t xml:space="preserve">The key improvement over an existing system is that the model pipeline is trained once and persisted to disk. Every subsequent API call loads the pre-trained pipeline from the .pkl file rather than retraining, ensuring sub-millisecond prediction latency. The system also includes a live-training fallback: if the .pkl file is absent, the application trains the Gradient Boosting pipeline automatically before serving requests.</w:t>
      </w:r>
    </w:p>
    <w:p w14:paraId="00100050" w14:textId="00100051">
      <w:pPr>
        <w:pStyle w:val="Heading1"/>
        <w:spacing w:before="320" w:after="160"/>
      </w:pPr>
      <w:r>
        <w:rPr>
          <w:b/>
          <w:color w:val="1A3C5E"/>
          <w:sz w:val="32"/>
        </w:rPr>
        <w:t xml:space="preserve">5. System Architecture</w:t>
      </w:r>
    </w:p>
    <w:p w14:paraId="00100052" w14:textId="00100053">
      <w:pPr>
        <w:spacing w:after="160"/>
      </w:pPr>
      <w:r>
        <w:rPr>
          <w:sz w:val="22"/>
        </w:rPr>
        <w:t xml:space="preserve">The complete data and request flow of the MediCost AI application is described below:</w:t>
      </w:r>
    </w:p>
    <w:p w14:paraId="00100054" w14:textId="00100055">
      <w:pPr>
        <w:spacing w:after="100"/>
      </w:pPr>
      <w:r>
        <w:rPr>
          <w:sz w:val="22"/>
        </w:rPr>
        <w:t xml:space="preserve">Step 1 — Raw Dataset:  data/insurance.csv is loaded by the Python backend at startup. One duplicate row is dropped in memory, resulting in 1,337 records used for training and statistics.</w:t>
      </w:r>
    </w:p>
    <w:p w14:paraId="00100056" w14:textId="00100057">
      <w:pPr>
        <w:spacing w:after="100"/>
      </w:pPr>
      <w:r>
        <w:rPr>
          <w:sz w:val="22"/>
        </w:rPr>
        <w:t xml:space="preserve">Step 2 — Data Preprocessing:  The scikit-learn ColumnTransformer applies StandardScaler to the three numerical features (age, bmi, children) and OrdinalEncoder to the three categorical features (sex, smoker, region). Categorical arrays are fixed at training time to prevent data leakage.</w:t>
      </w:r>
    </w:p>
    <w:p w14:paraId="00100058" w14:textId="00100059">
      <w:pPr>
        <w:spacing w:after="100"/>
      </w:pPr>
      <w:r>
        <w:rPr>
          <w:sz w:val="22"/>
        </w:rPr>
        <w:t xml:space="preserve">Step 3 — Machine Learning Model:  The Gradient Boosting Regressor (300 estimators, learning rate 0.05, max depth 4, subsample 0.8) is wrapped with the preprocessor in a single scikit-learn Pipeline. The trained pipeline is saved to model/healthcare_model.pkl using joblib.</w:t>
      </w:r>
    </w:p>
    <w:p w14:paraId="0010005A" w14:textId="0010005B">
      <w:pPr>
        <w:spacing w:after="100"/>
      </w:pPr>
      <w:r>
        <w:rPr>
          <w:sz w:val="22"/>
        </w:rPr>
        <w:t xml:space="preserve">Step 4 — Flask REST API:  The Flask application loads the .pkl pipeline at startup. Five REST endpoints serve JSON responses to the frontend: /api/health, /api/stats, /api/model-metrics, /api/chart-data, and /api/predict (POST).</w:t>
      </w:r>
    </w:p>
    <w:p w14:paraId="0010005C" w14:textId="0010005D">
      <w:pPr>
        <w:spacing w:after="100"/>
      </w:pPr>
      <w:r>
        <w:rPr>
          <w:sz w:val="22"/>
        </w:rPr>
        <w:t xml:space="preserve">Step 5 — Frontend Dashboard:  The single-page application (SPA) built with HTML5, CSS3, and vanilla JavaScript fetches data from the five API endpoints on page load. Chart.js renders five interactive charts. The prediction form collects user input, validates it client-side, sends a POST request to /api/predict, and renders the predicted cost in Indian Rupees (₹) with a colour-coded risk category.</w:t>
      </w:r>
    </w:p>
    <w:p w14:paraId="0010005E" w14:textId="0010005F">
      <w:pPr>
        <w:spacing w:after="0"/>
      </w:pPr>
      <w:r>
        <w:rPr>
          <w:sz w:val="22"/>
        </w:rPr>
        <w:t xml:space="preserve">Step 6 — Healthcare Cost Prediction Output:  The final output is a predicted annual insurance cost (₹), a monthly estimate (annual / 12), a risk category (Low / Moderate / High / Very High), and a profile summary card showing all six input values.</w:t>
      </w:r>
    </w:p>
    <w:p w14:paraId="00100060" w14:textId="00100061">
      <w:pPr/>
      <w:r>
        <w:rPr/>
        <w:t xml:space="preserve">pagebreak</w:t>
      </w:r>
    </w:p>
    <w:p w14:paraId="00100062" w14:textId="00100063">
      <w:pPr>
        <w:pStyle w:val="Heading2"/>
        <w:spacing w:after="160"/>
      </w:pPr>
      <w:r>
        <w:rPr>
          <w:b/>
          <w:color w:val="2E6DA4"/>
          <w:sz w:val="26"/>
        </w:rPr>
        <w:t xml:space="preserve">Architecture Data Flow Diagram</w:t>
      </w:r>
    </w:p>
    <w:tbl>
      <w:tblPr>
        <w:tblW w:w="5000" w:type="pct"/>
        <w:tblBorders>
          <w:top w:val="single" w:sz="4"/>
          <w:left w:val="single" w:sz="4"/>
          <w:bottom w:val="single" w:sz="4"/>
          <w:right w:val="single" w:sz="4"/>
          <w:insideH w:val="single" w:sz="4"/>
          <w:insideV w:val="single" w:sz="4"/>
        </w:tblBorders>
      </w:tblPr>
      <w:tblGrid>
        <w:gridCol w:w="8306"/>
      </w:tblGrid>
      <w:tr>
        <w:trPr>
          <w:tblHeader/>
        </w:trPr>
        <w:tc>
          <w:p w14:paraId="00100064" w14:textId="00100065">
            <w:r>
              <w:t xml:space="preserve">Stage  -&gt;  Component  -&gt;  Description</w:t>
            </w:r>
          </w:p>
        </w:tc>
      </w:tr>
      <w:tr>
        <w:trPr/>
        <w:tc>
          <w:p w14:paraId="00100066" w14:textId="00100067">
            <w:r>
              <w:t xml:space="preserve">1. Dataset  -&gt;  data/insurance.csv  -&gt;  1,337 records, 7 columns (age, sex, bmi, children, smoker, region, charges)</w:t>
            </w:r>
          </w:p>
        </w:tc>
      </w:tr>
      <w:tr>
        <w:trPr/>
        <w:tc>
          <w:p w14:paraId="00100068" w14:textId="00100069">
            <w:r>
              <w:t xml:space="preserve">2. Preprocessing  -&gt;  ColumnTransformer  -&gt;  StandardScaler on age/bmi/children; OrdinalEncoder on sex/smoker/region</w:t>
            </w:r>
          </w:p>
        </w:tc>
      </w:tr>
      <w:tr>
        <w:trPr/>
        <w:tc>
          <w:p w14:paraId="0010006A" w14:textId="0010006B">
            <w:r>
              <w:t xml:space="preserve">3. ML Model  -&gt;  GradientBoostingRegressor  -&gt;  300 estimators, lr=0.05, max_depth=4, subsample=0.8</w:t>
            </w:r>
          </w:p>
        </w:tc>
      </w:tr>
      <w:tr>
        <w:trPr/>
        <w:tc>
          <w:p w14:paraId="0010006C" w14:textId="0010006D">
            <w:r>
              <w:t xml:space="preserve">4. Pipeline Storage  -&gt;  healthcare_model.pkl  -&gt;  joblib-serialised sklearn Pipeline; loaded once at API startup</w:t>
            </w:r>
          </w:p>
        </w:tc>
      </w:tr>
      <w:tr>
        <w:trPr/>
        <w:tc>
          <w:p w14:paraId="0010006E" w14:textId="0010006F">
            <w:r>
              <w:t xml:space="preserve">5. REST API  -&gt;  Flask (backend/app.py)  -&gt;  5 endpoints: /api/health, /api/stats, /api/model-metrics, /api/chart-data, /api/predict</w:t>
            </w:r>
          </w:p>
        </w:tc>
      </w:tr>
      <w:tr>
        <w:trPr/>
        <w:tc>
          <w:p w14:paraId="00100070" w14:textId="00100071">
            <w:r>
              <w:t xml:space="preserve">6. Frontend  -&gt;  HTML/CSS/JS (frontend/)  -&gt;  SPA served by Flask at http://127.0.0.1:5000/</w:t>
            </w:r>
          </w:p>
        </w:tc>
      </w:tr>
      <w:tr>
        <w:trPr/>
        <w:tc>
          <w:p w14:paraId="00100072" w14:textId="00100073">
            <w:r>
              <w:t xml:space="preserve">7. Visualisations  -&gt;  Chart.js 4.4.0  -&gt;  Histogram, scatter plot, bar charts, doughnut chart, model comparison bar</w:t>
            </w:r>
          </w:p>
        </w:tc>
      </w:tr>
      <w:tr>
        <w:trPr/>
        <w:tc>
          <w:p w14:paraId="00100074" w14:textId="00100075">
            <w:r>
              <w:t xml:space="preserve">8. Output  -&gt;  Prediction Result Card  -&gt;  Annual cost in Rs, monthly estimate, risk category, profile summary</w:t>
            </w:r>
          </w:p>
        </w:tc>
      </w:tr>
    </w:tbl>
    <w:p w14:paraId="00100076" w14:textId="00100077">
      <w:pPr>
        <w:spacing w:after="0"/>
        <w:jc w:val="center"/>
      </w:pPr>
      <w:r>
        <w:rPr>
          <w:color w:val="555555"/>
          <w:sz w:val="20"/>
        </w:rPr>
        <w:t xml:space="preserve">Table 1: System Architecture Flow</w:t>
      </w:r>
    </w:p>
    <w:p w14:paraId="0010007A" w14:textId="0010007B">
      <w:pPr>
        <w:pStyle w:val="Heading1"/>
        <w:spacing w:before="320" w:after="160"/>
      </w:pPr>
      <w:r>
        <w:rPr>
          <w:b/>
          <w:color w:val="1A3C5E"/>
          <w:sz w:val="32"/>
        </w:rPr>
        <w:t xml:space="preserve">6. Dataset Description</w:t>
      </w:r>
    </w:p>
    <w:p w14:paraId="0010007C" w14:textId="0010007D">
      <w:pPr>
        <w:spacing w:after="160"/>
      </w:pPr>
      <w:r>
        <w:rPr>
          <w:sz w:val="22"/>
        </w:rPr>
        <w:t xml:space="preserve">The project uses the widely referenced US Medical Insurance Costs dataset. After removing one duplicate row from the original 1,338 records, the clean working dataset contains 1,337 patient records and 7 columns. The dataset has zero missing values. The following table describes each column: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E" w14:textId="0010007F">
            <w:r>
              <w:t xml:space="preserve">Column</w:t>
            </w:r>
          </w:p>
        </w:tc>
        <w:tc>
          <w:p w14:paraId="00100080" w14:textId="00100081">
            <w:r>
              <w:t xml:space="preserve">Data Type</w:t>
            </w:r>
          </w:p>
        </w:tc>
        <w:tc>
          <w:p w14:paraId="00100082" w14:textId="00100083">
            <w:r>
              <w:t xml:space="preserve">Description</w:t>
            </w:r>
          </w:p>
        </w:tc>
      </w:tr>
      <w:tr>
        <w:trPr/>
        <w:tc>
          <w:p w14:paraId="00100084" w14:textId="00100085">
            <w:r>
              <w:t xml:space="preserve">age</w:t>
            </w:r>
          </w:p>
        </w:tc>
        <w:tc>
          <w:p w14:paraId="00100086" w14:textId="00100087">
            <w:r>
              <w:t xml:space="preserve">Integer (18 – 64)</w:t>
            </w:r>
          </w:p>
        </w:tc>
        <w:tc>
          <w:p w14:paraId="00100088" w14:textId="00100089">
            <w:r>
              <w:t xml:space="preserve">Age of the primary insurance beneficiary in years</w:t>
            </w:r>
          </w:p>
        </w:tc>
      </w:tr>
      <w:tr>
        <w:trPr/>
        <w:tc>
          <w:p w14:paraId="0010008A" w14:textId="0010008B">
            <w:r>
              <w:t xml:space="preserve">sex</w:t>
            </w:r>
          </w:p>
        </w:tc>
        <w:tc>
          <w:p w14:paraId="0010008C" w14:textId="0010008D">
            <w:r>
              <w:t xml:space="preserve">Categorical (female / male)</w:t>
            </w:r>
          </w:p>
        </w:tc>
        <w:tc>
          <w:p w14:paraId="0010008E" w14:textId="0010008F">
            <w:r>
              <w:t xml:space="preserve">Biological sex of the beneficiary</w:t>
            </w:r>
          </w:p>
        </w:tc>
      </w:tr>
      <w:tr>
        <w:trPr/>
        <w:tc>
          <w:p w14:paraId="00100090" w14:textId="00100091">
            <w:r>
              <w:t xml:space="preserve">bmi</w:t>
            </w:r>
          </w:p>
        </w:tc>
        <w:tc>
          <w:p w14:paraId="00100092" w14:textId="00100093">
            <w:r>
              <w:t xml:space="preserve">Float (15.96 – 53.13)</w:t>
            </w:r>
          </w:p>
        </w:tc>
        <w:tc>
          <w:p w14:paraId="00100094" w14:textId="00100095">
            <w:r>
              <w:t xml:space="preserve">Body Mass Index: weight (kg) / height (m)^2. BMI &gt;= 30 is classified as obese</w:t>
            </w:r>
          </w:p>
        </w:tc>
      </w:tr>
      <w:tr>
        <w:trPr/>
        <w:tc>
          <w:p w14:paraId="00100096" w14:textId="00100097">
            <w:r>
              <w:t xml:space="preserve">children</w:t>
            </w:r>
          </w:p>
        </w:tc>
        <w:tc>
          <w:p w14:paraId="00100098" w14:textId="00100099">
            <w:r>
              <w:t xml:space="preserve">Integer (0 – 5)</w:t>
            </w:r>
          </w:p>
        </w:tc>
        <w:tc>
          <w:p w14:paraId="0010009A" w14:textId="0010009B">
            <w:r>
              <w:t xml:space="preserve">Number of children / dependents covered by the insurance plan</w:t>
            </w:r>
          </w:p>
        </w:tc>
      </w:tr>
      <w:tr>
        <w:trPr/>
        <w:tc>
          <w:p w14:paraId="0010009C" w14:textId="0010009D">
            <w:r>
              <w:t xml:space="preserve">smoker</w:t>
            </w:r>
          </w:p>
        </w:tc>
        <w:tc>
          <w:p w14:paraId="0010009E" w14:textId="0010009F">
            <w:r>
              <w:t xml:space="preserve">Categorical (yes / no)</w:t>
            </w:r>
          </w:p>
        </w:tc>
        <w:tc>
          <w:p w14:paraId="001000A0" w14:textId="001000A1">
            <w:r>
              <w:t xml:space="preserve">Whether the beneficiary is a tobacco smoker — the strongest cost predictor</w:t>
            </w:r>
          </w:p>
        </w:tc>
      </w:tr>
      <w:tr>
        <w:trPr/>
        <w:tc>
          <w:p w14:paraId="001000A2" w14:textId="001000A3">
            <w:r>
              <w:t xml:space="preserve">region</w:t>
            </w:r>
          </w:p>
        </w:tc>
        <w:tc>
          <w:p w14:paraId="001000A4" w14:textId="001000A5">
            <w:r>
              <w:t xml:space="preserve">Categorical (northeast / northwest / southeast / southwest)</w:t>
            </w:r>
          </w:p>
        </w:tc>
        <w:tc>
          <w:p w14:paraId="001000A6" w14:textId="001000A7">
            <w:r>
              <w:t xml:space="preserve">US geographic region of the beneficiary's residence</w:t>
            </w:r>
          </w:p>
        </w:tc>
      </w:tr>
      <w:tr>
        <w:trPr/>
        <w:tc>
          <w:p w14:paraId="001000A8" w14:textId="001000A9">
            <w:r>
              <w:t xml:space="preserve">charges</w:t>
            </w:r>
          </w:p>
        </w:tc>
        <w:tc>
          <w:p w14:paraId="001000AA" w14:textId="001000AB">
            <w:r>
              <w:t xml:space="preserve">Float ($1,121.87 – $63,770.43)</w:t>
            </w:r>
          </w:p>
        </w:tc>
        <w:tc>
          <w:p w14:paraId="001000AC" w14:textId="001000AD">
            <w:r>
              <w:t xml:space="preserve">Target variable: annual medical insurance cost billed (USD)</w:t>
            </w:r>
          </w:p>
        </w:tc>
      </w:tr>
    </w:tbl>
    <w:p w14:paraId="001000AE" w14:textId="001000AF">
      <w:pPr>
        <w:spacing w:after="160"/>
        <w:jc w:val="center"/>
      </w:pPr>
      <w:r>
        <w:rPr>
          <w:color w:val="555555"/>
          <w:sz w:val="20"/>
        </w:rPr>
        <w:t xml:space="preserve">Table 2: Dataset Column Descriptions</w:t>
      </w:r>
    </w:p>
    <w:p w14:paraId="001000B0" w14:textId="001000B1">
      <w:pPr>
        <w:spacing w:after="160"/>
      </w:pPr>
      <w:r>
        <w:rPr>
          <w:sz w:val="22"/>
        </w:rPr>
        <w:t xml:space="preserve">Dataset Statistics:  The target column charges (annual insurance cost in USD) has the following distribution across the 1,337 records: minimum $1,121.87; maximum $63,770.43; mean $13,279.12; median $9,386.16; standard deviation $12,110.36. The distribution is right-skewed (skew = 1.52), meaning a smaller proportion of patients incur very high costs. The average patient age is 39.2 years; average BMI is 30.7; 20.5% of patients are smokers.</w:t>
      </w:r>
    </w:p>
    <w:p w14:paraId="001000B2" w14:textId="001000B3">
      <w:pPr>
        <w:spacing w:after="0"/>
      </w:pPr>
      <w:r>
        <w:rPr>
          <w:sz w:val="22"/>
        </w:rPr>
        <w:t xml:space="preserve">Regional average costs: Northeast $13,406.38; Northwest $12,450.84; Southeast $14,735.41; Southwest $12,346.94. The smoker impact is stark: non-smokers average $8,440.66 per year while smokers average $32,050.23 — nearly 3.8 times higher.</w:t>
      </w:r>
    </w:p>
    <w:p w14:paraId="001000B4" w14:textId="001000B5">
      <w:pPr/>
      <w:r>
        <w:rPr/>
        <w:t xml:space="preserve">pagebreak</w:t>
      </w:r>
    </w:p>
    <w:p w14:paraId="001000B6" w14:textId="001000B7">
      <w:pPr>
        <w:pStyle w:val="Heading1"/>
        <w:spacing w:after="160"/>
      </w:pPr>
      <w:r>
        <w:rPr>
          <w:b/>
          <w:color w:val="1A3C5E"/>
          <w:sz w:val="32"/>
        </w:rPr>
        <w:t xml:space="preserve">7. Data Preprocessing</w:t>
      </w:r>
    </w:p>
    <w:p w14:paraId="001000B8" w14:textId="001000B9">
      <w:pPr>
        <w:spacing w:after="160"/>
      </w:pPr>
      <w:r>
        <w:rPr>
          <w:sz w:val="22"/>
        </w:rPr>
        <w:t xml:space="preserve">The preprocessing stage transforms raw CSV data into a numeric feature matrix that can be consumed by scikit-learn estimators. All preprocessing is encapsulated in a single scikit-learn ColumnTransformer, which is composed with the estimator into a Pipeline. This means that the same transformation parameters fitted on the training set are automatically applied during inference — there is no risk of data leakage or inconsistency.</w:t>
      </w:r>
    </w:p>
    <w:p w14:paraId="001000BA" w14:textId="001000BB">
      <w:pPr>
        <w:pStyle w:val="Heading2"/>
        <w:spacing w:after="120"/>
      </w:pPr>
      <w:r>
        <w:rPr>
          <w:b/>
          <w:color w:val="2E6DA4"/>
          <w:sz w:val="26"/>
        </w:rPr>
        <w:t xml:space="preserve">7.1 Numerical Feature Scaling</w:t>
      </w:r>
    </w:p>
    <w:p w14:paraId="001000BC" w14:textId="001000BD">
      <w:pPr>
        <w:spacing w:after="160"/>
      </w:pPr>
      <w:r>
        <w:rPr>
          <w:sz w:val="22"/>
        </w:rPr>
        <w:t xml:space="preserve">The three numerical columns — age (integer, 18–64), bmi (float, 15.96–53.13), and children (integer, 0–5) — are transformed using StandardScaler. StandardScaler removes the mean and scales each feature to unit variance (z-score normalisation). This transformation is critical for linear models (Ridge, Lasso) and ensures that no single feature dominates the loss function due to its scale.</w:t>
      </w:r>
    </w:p>
    <w:p w14:paraId="001000BE" w14:textId="001000BF">
      <w:pPr>
        <w:pStyle w:val="Heading2"/>
        <w:spacing w:after="120"/>
      </w:pPr>
      <w:r>
        <w:rPr>
          <w:b/>
          <w:color w:val="2E6DA4"/>
          <w:sz w:val="26"/>
        </w:rPr>
        <w:t xml:space="preserve">7.2 Categorical Feature Encoding</w:t>
      </w:r>
    </w:p>
    <w:p w14:paraId="001000C0" w14:textId="001000C1">
      <w:pPr>
        <w:spacing w:after="160"/>
      </w:pPr>
      <w:r>
        <w:rPr>
          <w:sz w:val="22"/>
        </w:rPr>
        <w:t xml:space="preserve">The three categorical columns — sex, smoker, and region — are transformed using OrdinalEncoder with fixed category arrays defined at training time:  sex: ['female', 'male'];  smoker: ['no', 'yes'];  region: ['northeast', 'northwest', 'southeast', 'southwest']. Hard-coding the category arrays prevents data leakage and guarantees that inference-time inputs are encoded identically to training-time inputs. The encoder is configured with handle_unknown='use_encoded_value' and unknown_value=-1, so any novel category value encountered at inference time is assigned -1 rather than raising an exception.</w:t>
      </w:r>
    </w:p>
    <w:p w14:paraId="001000C2" w14:textId="001000C3">
      <w:pPr>
        <w:pStyle w:val="Heading2"/>
        <w:spacing w:after="120"/>
      </w:pPr>
      <w:r>
        <w:rPr>
          <w:b/>
          <w:color w:val="2E6DA4"/>
          <w:sz w:val="26"/>
        </w:rPr>
        <w:t xml:space="preserve">7.3 Deduplication</w:t>
      </w:r>
    </w:p>
    <w:p w14:paraId="001000C4" w14:textId="001000C5">
      <w:pPr>
        <w:spacing w:after="160"/>
      </w:pPr>
      <w:r>
        <w:rPr>
          <w:sz w:val="22"/>
        </w:rPr>
        <w:t xml:space="preserve">The raw CSV contains one exact duplicate row. It is removed in memory using pandas drop_duplicates() before any split or transformation is applied, resulting in 1,337 records. The original file on disk is never modified.</w:t>
      </w:r>
    </w:p>
    <w:p w14:paraId="001000C6" w14:textId="001000C7">
      <w:pPr>
        <w:pStyle w:val="Heading2"/>
        <w:spacing w:after="120"/>
      </w:pPr>
      <w:r>
        <w:rPr>
          <w:b/>
          <w:color w:val="2E6DA4"/>
          <w:sz w:val="26"/>
        </w:rPr>
        <w:t xml:space="preserve">7.4 Train / Test Split</w:t>
      </w:r>
    </w:p>
    <w:p w14:paraId="001000C8" w14:textId="001000C9">
      <w:pPr>
        <w:spacing w:after="0"/>
      </w:pPr>
      <w:r>
        <w:rPr>
          <w:sz w:val="22"/>
        </w:rPr>
        <w:t xml:space="preserve">The dataset is split 80/20 using train_test_split with random_state=42. This produces 1,069 training samples and 268 test samples. The split is performed before any preprocessing fitting, ensuring that the test set remains completely unseen during model training and hyperparameter selection.</w:t>
      </w:r>
    </w:p>
    <w:p w14:paraId="001000CA" w14:textId="001000CB">
      <w:pPr>
        <w:pStyle w:val="Heading1"/>
        <w:spacing w:before="320" w:after="160"/>
      </w:pPr>
      <w:r>
        <w:rPr>
          <w:b/>
          <w:color w:val="1A3C5E"/>
          <w:sz w:val="32"/>
        </w:rPr>
        <w:t xml:space="preserve">8. Exploratory Data Analysis</w:t>
      </w:r>
    </w:p>
    <w:p w14:paraId="001000CC" w14:textId="001000CD">
      <w:pPr>
        <w:spacing w:after="160"/>
      </w:pPr>
      <w:r>
        <w:rPr>
          <w:sz w:val="22"/>
        </w:rPr>
        <w:t xml:space="preserve">The MediCost AI dashboard provides five interactive Chart.js visualisations that expose the key patterns in the insurance dataset. All chart data is served dynamically by the /api/chart-data endpoint rather than being hardcoded in the frontend.</w:t>
      </w:r>
    </w:p>
    <w:p w14:paraId="001000CE" w14:textId="001000CF">
      <w:pPr>
        <w:spacing w:after="120"/>
      </w:pPr>
      <w:r>
        <w:rPr>
          <w:sz w:val="22"/>
        </w:rPr>
        <w:t xml:space="preserve">Chart 1 — Charges Distribution Histogram:  Annual charges are binned into $5,000-wide intervals and displayed as a bar chart. The histogram clearly shows the right-skewed distribution of costs, with the majority of patients incurring annual charges below $20,000 and a long tail extending up to $63,770.</w:t>
      </w:r>
    </w:p>
    <w:p w14:paraId="001000D0" w14:textId="001000D1">
      <w:pPr>
        <w:spacing w:after="120"/>
      </w:pPr>
      <w:r>
        <w:rPr>
          <w:sz w:val="22"/>
        </w:rPr>
        <w:t xml:space="preserve">Chart 2 — Age vs Charges Scatter Plot:  A 300-point random sample from the dataset is plotted with age on the x-axis and annual charges on the y-axis. Points are colour-coded: red for smokers, blue for non-smokers. Three distinct cost clusters emerge — low-cost non-smokers, moderate-cost older non-smokers, and high-cost smokers — demonstrating that smoking status creates a near-complete separation in cost levels.</w:t>
      </w:r>
    </w:p>
    <w:p w14:paraId="001000D2" w14:textId="001000D3">
      <w:pPr>
        <w:spacing w:after="120"/>
      </w:pPr>
      <w:r>
        <w:rPr>
          <w:sz w:val="22"/>
        </w:rPr>
        <w:t xml:space="preserve">Chart 3 — Cost by Region (Bar Chart):  Average annual charges per US region are displayed as a grouped bar chart with distinct colours per region. The Southeast region has the highest average cost ($14,735.41) and the Southwest the lowest ($12,346.94).</w:t>
      </w:r>
    </w:p>
    <w:p w14:paraId="001000D4" w14:textId="001000D5">
      <w:pPr>
        <w:spacing w:after="120"/>
      </w:pPr>
      <w:r>
        <w:rPr>
          <w:sz w:val="22"/>
        </w:rPr>
        <w:t xml:space="preserve">Chart 4 — Smoker vs Non-Smoker Doughnut Chart:  A doughnut chart compares the average annual charges between smokers ($32,050.23) and non-smokers ($8,440.66), accompanied by a custom legend showing both values. This visualisation reinforces that smoking status is the dominant cost driver.</w:t>
      </w:r>
    </w:p>
    <w:p w14:paraId="001000D6" w14:textId="001000D7">
      <w:pPr>
        <w:spacing w:after="0"/>
      </w:pPr>
      <w:r>
        <w:rPr>
          <w:sz w:val="22"/>
        </w:rPr>
        <w:t xml:space="preserve">Chart 5 — Children vs Charges (Bar Chart):  Average annual charges are grouped by number of dependent children (0 to 5). The chart shows a non-linear relationship: costs generally increase with more children but with diminishing marginal effect, which explains why children ranks only fourth in feature importance.</w:t>
      </w:r>
    </w:p>
    <w:p w14:paraId="001000D8" w14:textId="001000D9">
      <w:pPr/>
      <w:r>
        <w:rPr/>
        <w:t xml:space="preserve">pagebreak</w:t>
      </w:r>
    </w:p>
    <w:p w14:paraId="001000DA" w14:textId="001000DB">
      <w:pPr>
        <w:pStyle w:val="Heading1"/>
        <w:spacing w:after="160"/>
      </w:pPr>
      <w:r>
        <w:rPr>
          <w:b/>
          <w:color w:val="1A3C5E"/>
          <w:sz w:val="32"/>
        </w:rPr>
        <w:t xml:space="preserve">9. Machine Learning Methodology</w:t>
      </w:r>
    </w:p>
    <w:p w14:paraId="001000DC" w14:textId="001000DD">
      <w:pPr>
        <w:spacing w:after="160"/>
      </w:pPr>
      <w:r>
        <w:rPr>
          <w:sz w:val="22"/>
        </w:rPr>
        <w:t xml:space="preserve">The project implements a supervised regression task: given the six input features, predict the continuous target variable charges. Five candidate algorithms are compared on identical preprocessing pipelines and train/test splits:</w:t>
      </w:r>
    </w:p>
    <w:p w14:paraId="001000DE" w14:textId="001000DF">
      <w:pPr>
        <w:spacing w:after="120"/>
      </w:pPr>
      <w:r>
        <w:rPr>
          <w:sz w:val="22"/>
        </w:rPr>
        <w:t xml:space="preserve">9.1 Linear Regression:  The ordinary least-squares baseline model. It minimises the sum of squared residuals and assumes a linear relationship between each feature and the target. Its simplicity makes it interpretable but limits predictive power when non-linear interactions (e.g., the interaction between smoking and BMI on costs) are present in the data.</w:t>
      </w:r>
    </w:p>
    <w:p w14:paraId="001000E0" w14:textId="001000E1">
      <w:pPr>
        <w:spacing w:after="120"/>
      </w:pPr>
      <w:r>
        <w:rPr>
          <w:sz w:val="22"/>
        </w:rPr>
        <w:t xml:space="preserve">9.2 Ridge Regression (L2):  An extension of Linear Regression with L2 regularisation (alpha=10). Ridge adds a penalty term proportional to the squared magnitude of the coefficients, reducing overfitting. It is especially useful when features are correlated.</w:t>
      </w:r>
    </w:p>
    <w:p w14:paraId="001000E2" w14:textId="001000E3">
      <w:pPr>
        <w:spacing w:after="120"/>
      </w:pPr>
      <w:r>
        <w:rPr>
          <w:sz w:val="22"/>
        </w:rPr>
        <w:t xml:space="preserve">9.3 Lasso Regression (L1):  A linear model with L1 regularisation (alpha=1). The L1 penalty drives some coefficients to exactly zero, performing implicit feature selection. Lasso can identify the most relevant predictors automatically.</w:t>
      </w:r>
    </w:p>
    <w:p w14:paraId="001000E4" w14:textId="001000E5">
      <w:pPr>
        <w:spacing w:after="120"/>
      </w:pPr>
      <w:r>
        <w:rPr>
          <w:sz w:val="22"/>
        </w:rPr>
        <w:t xml:space="preserve">9.4 Random Forest Regressor:  An ensemble method that constructs 300 decision trees on bootstrap samples of the training data and averages their predictions (bagging). Random Forest handles non-linear relationships well and provides feature importance scores. It is configured with n_estimators=300, min_samples_leaf=2, and random_state=42.</w:t>
      </w:r>
    </w:p>
    <w:p w14:paraId="001000E6" w14:textId="001000E7">
      <w:pPr>
        <w:spacing w:after="0"/>
      </w:pPr>
      <w:r>
        <w:rPr>
          <w:sz w:val="22"/>
        </w:rPr>
        <w:t xml:space="preserve">9.5 Gradient Boosting Regressor (Selected Model):  An ensemble method that builds decision trees sequentially, with each tree correcting the residual errors of the previous ensemble (boosting). The configuration used is n_estimators=300, learning_rate=0.05, max_depth=4, min_samples_split=5, min_samples_leaf=3, subsample=0.8, random_state=42. The subsample=0.8 parameter introduces stochastic gradient boosting, which reduces overfitting. Gradient Boosting achieved the highest test R² of all five algorithms and was selected as the production model.</w:t>
      </w:r>
    </w:p>
    <w:p w14:paraId="001000E8" w14:textId="001000E9">
      <w:pPr>
        <w:pStyle w:val="Heading1"/>
        <w:spacing w:before="320" w:after="160"/>
      </w:pPr>
      <w:r>
        <w:rPr>
          <w:b/>
          <w:color w:val="1A3C5E"/>
          <w:sz w:val="32"/>
        </w:rPr>
        <w:t xml:space="preserve">10. Model Training</w:t>
      </w:r>
    </w:p>
    <w:p w14:paraId="001000EA" w14:textId="001000EB">
      <w:pPr>
        <w:spacing w:after="160"/>
      </w:pPr>
      <w:r>
        <w:rPr>
          <w:sz w:val="22"/>
        </w:rPr>
        <w:t xml:space="preserve">All five candidate models are trained using identical scikit-learn Pipelines. Each pipeline wraps the shared ColumnTransformer preprocessor and the respective estimator. This design ensures that every algorithm receives identically transformed inputs, making the comparison fair and reproducible.</w:t>
      </w:r>
    </w:p>
    <w:p w14:paraId="001000EC" w14:textId="001000ED">
      <w:pPr>
        <w:spacing w:after="80"/>
      </w:pPr>
      <w:r>
        <w:rPr>
          <w:sz w:val="22"/>
        </w:rPr>
        <w:t xml:space="preserve">Training procedure:</w:t>
      </w:r>
    </w:p>
    <w:p w14:paraId="001000EE" w14:textId="001000EF">
      <w:pPr>
        <w:spacing w:after="80"/>
      </w:pPr>
      <w:r>
        <w:rPr>
          <w:sz w:val="22"/>
        </w:rPr>
        <w:t xml:space="preserve">1.  The clean DataFrame (1,337 rows) is split 80/20 into training (1,069 rows) and test (268 rows) sets using random_state=42.</w:t>
      </w:r>
    </w:p>
    <w:p w14:paraId="001000F0" w14:textId="001000F1">
      <w:pPr>
        <w:spacing w:after="80"/>
      </w:pPr>
      <w:r>
        <w:rPr>
          <w:sz w:val="22"/>
        </w:rPr>
        <w:t xml:space="preserve">2.  Each Pipeline is fitted on the training set only. The ColumnTransformer's StandardScaler fits its mean and variance on the training data; the OrdinalEncoder uses the fixed category arrays (no fitting required from data).</w:t>
      </w:r>
    </w:p>
    <w:p w14:paraId="001000F2" w14:textId="001000F3">
      <w:pPr>
        <w:spacing w:after="80"/>
      </w:pPr>
      <w:r>
        <w:rPr>
          <w:sz w:val="22"/>
        </w:rPr>
        <w:t xml:space="preserve">3.  Predictions are generated on both the training set (to check for overfitting) and the held-out test set (to assess generalisation).</w:t>
      </w:r>
    </w:p>
    <w:p w14:paraId="001000F4" w14:textId="001000F5">
      <w:pPr>
        <w:spacing w:after="80"/>
      </w:pPr>
      <w:r>
        <w:rPr>
          <w:sz w:val="22"/>
        </w:rPr>
        <w:t xml:space="preserve">4.  A 5-fold cross-validation (KFold, shuffle=True, random_state=42) is run on the full dataset for each pipeline to provide a robust, variance-reduced R² estimate.</w:t>
      </w:r>
    </w:p>
    <w:p w14:paraId="001000F6" w14:textId="001000F7">
      <w:pPr>
        <w:spacing w:after="160"/>
      </w:pPr>
      <w:r>
        <w:rPr>
          <w:sz w:val="22"/>
        </w:rPr>
        <w:t xml:space="preserve">5.  The best pipeline (Gradient Boosting, highest test R²) is serialised to model/healthcare_model.pkl using joblib with compression level 3. Evaluation metrics for all five algorithms are saved to model/evaluation_results.json.</w:t>
      </w:r>
    </w:p>
    <w:p w14:paraId="001000F8" w14:textId="001000F9">
      <w:pPr>
        <w:spacing w:after="0"/>
      </w:pPr>
      <w:r>
        <w:rPr>
          <w:sz w:val="22"/>
        </w:rPr>
        <w:t xml:space="preserve">The Gradient Boosting hyperparameters were set as follows: n_estimators=300 (number of sequential trees); learning_rate=0.05 (shrinkage applied to each tree's contribution, reducing overfitting); max_depth=4 (limits individual tree complexity); min_samples_split=5 and min_samples_leaf=3 (additional regularisation preventing trees from fitting noise); subsample=0.8 (stochastic boosting: each tree is trained on 80% of the training samples, further reducing variance).</w:t>
      </w:r>
    </w:p>
    <w:p w14:paraId="001000FA" w14:textId="001000FB">
      <w:pPr>
        <w:pStyle w:val="Heading1"/>
        <w:spacing w:before="320" w:after="160"/>
      </w:pPr>
      <w:r>
        <w:rPr>
          <w:b/>
          <w:color w:val="1A3C5E"/>
          <w:sz w:val="32"/>
        </w:rPr>
        <w:t xml:space="preserve">11. Model Evaluation</w:t>
      </w:r>
    </w:p>
    <w:p w14:paraId="001000FC" w14:textId="001000FD">
      <w:pPr>
        <w:spacing w:after="160"/>
      </w:pPr>
      <w:r>
        <w:rPr>
          <w:sz w:val="22"/>
        </w:rPr>
        <w:t xml:space="preserve">Model performance is measured using three standard regression metrics: R² (coefficient of determination), MAE (Mean Absolute Error), and RMSE (Root Mean Squared Error). All values below are computed on the actual held-out test set (268 records) and are sourced directly from model/evaluation_results.json.</w:t>
      </w:r>
    </w:p>
    <w:p w14:paraId="001000FE" w14:textId="001000FF">
      <w:pPr>
        <w:pStyle w:val="Heading2"/>
        <w:spacing w:after="120"/>
      </w:pPr>
      <w:r>
        <w:rPr>
          <w:b/>
          <w:color w:val="2E6DA4"/>
          <w:sz w:val="26"/>
        </w:rPr>
        <w:t xml:space="preserve">11.1 Metrics Explanation</w:t>
      </w:r>
    </w:p>
    <w:p w14:paraId="00100100" w14:textId="00100101">
      <w:pPr>
        <w:spacing w:after="120"/>
      </w:pPr>
      <w:r>
        <w:rPr>
          <w:sz w:val="22"/>
        </w:rPr>
        <w:t xml:space="preserve">R² Score: Measures the proportion of variance in the target variable explained by the model. A value of 1.0 indicates a perfect model; 0.0 means the model performs no better than the mean baseline. The Gradient Boosting model achieves R² = 0.8936 (89.36%) on the test set.</w:t>
      </w:r>
    </w:p>
    <w:p w14:paraId="00100102" w14:textId="00100103">
      <w:pPr>
        <w:spacing w:after="120"/>
      </w:pPr>
      <w:r>
        <w:rPr>
          <w:sz w:val="22"/>
        </w:rPr>
        <w:t xml:space="preserve">MAE (Mean Absolute Error): The average absolute difference between predicted and actual annual costs in dollars. Lower is better. The Gradient Boosting model achieves MAE = $2,571.67 on the test set — meaning predictions are, on average, within $2,571.67 of the actual insurance cost.</w:t>
      </w:r>
    </w:p>
    <w:p w14:paraId="00100104" w14:textId="00100105">
      <w:pPr>
        <w:spacing w:after="160"/>
      </w:pPr>
      <w:r>
        <w:rPr>
          <w:sz w:val="22"/>
        </w:rPr>
        <w:t xml:space="preserve">RMSE (Root Mean Squared Error): The square root of the mean of squared prediction errors. RMSE penalises large errors more heavily than MAE. The Gradient Boosting model achieves RMSE = $4,421.74 on the test set.</w:t>
      </w:r>
    </w:p>
    <w:p w14:paraId="00100106" w14:textId="00100107">
      <w:pPr>
        <w:pStyle w:val="Heading2"/>
        <w:spacing w:after="120"/>
      </w:pPr>
      <w:r>
        <w:rPr>
          <w:b/>
          <w:color w:val="2E6DA4"/>
          <w:sz w:val="26"/>
        </w:rPr>
        <w:t xml:space="preserve">11.2 Full Algorithm Comparison</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08" w14:textId="00100109">
            <w:r>
              <w:t xml:space="preserve">Algorithm</w:t>
            </w:r>
          </w:p>
        </w:tc>
        <w:tc>
          <w:p w14:paraId="0010010A" w14:textId="0010010B">
            <w:r>
              <w:t xml:space="preserve">Train R2 (%)</w:t>
            </w:r>
          </w:p>
        </w:tc>
        <w:tc>
          <w:p w14:paraId="0010010C" w14:textId="0010010D">
            <w:r>
              <w:t xml:space="preserve">Test R2 (%)</w:t>
            </w:r>
          </w:p>
        </w:tc>
        <w:tc>
          <w:p w14:paraId="0010010E" w14:textId="0010010F">
            <w:r>
              <w:t xml:space="preserve">Test MAE ($)</w:t>
            </w:r>
          </w:p>
        </w:tc>
        <w:tc>
          <w:p w14:paraId="00100110" w14:textId="00100111">
            <w:r>
              <w:t xml:space="preserve">Test RMSE ($)</w:t>
            </w:r>
          </w:p>
        </w:tc>
        <w:tc>
          <w:p w14:paraId="00100112" w14:textId="00100113">
            <w:r>
              <w:t xml:space="preserve">CV R2 5-fold (%)</w:t>
            </w:r>
          </w:p>
        </w:tc>
      </w:tr>
      <w:tr>
        <w:trPr/>
        <w:tc>
          <w:p w14:paraId="00100114" w14:textId="00100115">
            <w:r>
              <w:t xml:space="preserve">Linear Regression</w:t>
            </w:r>
          </w:p>
        </w:tc>
        <w:tc>
          <w:p w14:paraId="00100116" w14:textId="00100117">
            <w:r>
              <w:t xml:space="preserve">72.97%</w:t>
            </w:r>
          </w:p>
        </w:tc>
        <w:tc>
          <w:p w14:paraId="00100118" w14:textId="00100119">
            <w:r>
              <w:t xml:space="preserve">80.68%</w:t>
            </w:r>
          </w:p>
        </w:tc>
        <w:tc>
          <w:p w14:paraId="0010011A" w14:textId="0010011B">
            <w:r>
              <w:t xml:space="preserve">4,182.35</w:t>
            </w:r>
          </w:p>
        </w:tc>
        <w:tc>
          <w:p w14:paraId="0010011C" w14:textId="0010011D">
            <w:r>
              <w:t xml:space="preserve">5,957.61</w:t>
            </w:r>
          </w:p>
        </w:tc>
        <w:tc>
          <w:p w14:paraId="0010011E" w14:textId="0010011F">
            <w:r>
              <w:t xml:space="preserve">73.92%</w:t>
            </w:r>
          </w:p>
        </w:tc>
      </w:tr>
      <w:tr>
        <w:trPr/>
        <w:tc>
          <w:p w14:paraId="00100120" w14:textId="00100121">
            <w:r>
              <w:t xml:space="preserve">Ridge Regression</w:t>
            </w:r>
          </w:p>
        </w:tc>
        <w:tc>
          <w:p w14:paraId="00100122" w14:textId="00100123">
            <w:r>
              <w:t xml:space="preserve">72.78%</w:t>
            </w:r>
          </w:p>
        </w:tc>
        <w:tc>
          <w:p w14:paraId="00100124" w14:textId="00100125">
            <w:r>
              <w:t xml:space="preserve">79.61%</w:t>
            </w:r>
          </w:p>
        </w:tc>
        <w:tc>
          <w:p w14:paraId="00100126" w14:textId="00100127">
            <w:r>
              <w:t xml:space="preserve">4,339.79</w:t>
            </w:r>
          </w:p>
        </w:tc>
        <w:tc>
          <w:p w14:paraId="00100128" w14:textId="00100129">
            <w:r>
              <w:t xml:space="preserve">6,121.33</w:t>
            </w:r>
          </w:p>
        </w:tc>
        <w:tc>
          <w:p w14:paraId="0010012A" w14:textId="0010012B">
            <w:r>
              <w:t xml:space="preserve">73.86%</w:t>
            </w:r>
          </w:p>
        </w:tc>
      </w:tr>
      <w:tr>
        <w:trPr/>
        <w:tc>
          <w:p w14:paraId="0010012C" w14:textId="0010012D">
            <w:r>
              <w:t xml:space="preserve">Lasso Regression</w:t>
            </w:r>
          </w:p>
        </w:tc>
        <w:tc>
          <w:p w14:paraId="0010012E" w14:textId="0010012F">
            <w:r>
              <w:t xml:space="preserve">72.97%</w:t>
            </w:r>
          </w:p>
        </w:tc>
        <w:tc>
          <w:p w14:paraId="00100130" w14:textId="00100131">
            <w:r>
              <w:t xml:space="preserve">80.68%</w:t>
            </w:r>
          </w:p>
        </w:tc>
        <w:tc>
          <w:p w14:paraId="00100132" w14:textId="00100133">
            <w:r>
              <w:t xml:space="preserve">4,182.93</w:t>
            </w:r>
          </w:p>
        </w:tc>
        <w:tc>
          <w:p w14:paraId="00100134" w14:textId="00100135">
            <w:r>
              <w:t xml:space="preserve">5,958.57</w:t>
            </w:r>
          </w:p>
        </w:tc>
        <w:tc>
          <w:p w14:paraId="00100136" w14:textId="00100137">
            <w:r>
              <w:t xml:space="preserve">73.92%</w:t>
            </w:r>
          </w:p>
        </w:tc>
      </w:tr>
      <w:tr>
        <w:trPr/>
        <w:tc>
          <w:p w14:paraId="00100138" w14:textId="00100139">
            <w:r>
              <w:t xml:space="preserve">Random Forest</w:t>
            </w:r>
          </w:p>
        </w:tc>
        <w:tc>
          <w:p w14:paraId="0010013A" w14:textId="0010013B">
            <w:r>
              <w:t xml:space="preserve">94.10%</w:t>
            </w:r>
          </w:p>
        </w:tc>
        <w:tc>
          <w:p w14:paraId="0010013C" w14:textId="0010013D">
            <w:r>
              <w:t xml:space="preserve">89.21%</w:t>
            </w:r>
          </w:p>
        </w:tc>
        <w:tc>
          <w:p w14:paraId="0010013E" w14:textId="0010013F">
            <w:r>
              <w:t xml:space="preserve">2,454.54</w:t>
            </w:r>
          </w:p>
        </w:tc>
        <w:tc>
          <w:p w14:paraId="00100140" w14:textId="00100141">
            <w:r>
              <w:t xml:space="preserve">4,452.61</w:t>
            </w:r>
          </w:p>
        </w:tc>
        <w:tc>
          <w:p w14:paraId="00100142" w14:textId="00100143">
            <w:r>
              <w:t xml:space="preserve">84.40%</w:t>
            </w:r>
          </w:p>
        </w:tc>
      </w:tr>
      <w:tr>
        <w:trPr/>
        <w:tc>
          <w:p w14:paraId="00100144" w14:textId="00100145">
            <w:r>
              <w:t xml:space="preserve">Gradient Boosting [SELECTED]</w:t>
            </w:r>
          </w:p>
        </w:tc>
        <w:tc>
          <w:p w14:paraId="00100146" w14:textId="00100147">
            <w:r>
              <w:t xml:space="preserve">93.09%</w:t>
            </w:r>
          </w:p>
        </w:tc>
        <w:tc>
          <w:p w14:paraId="00100148" w14:textId="00100149">
            <w:r>
              <w:t xml:space="preserve">89.36%</w:t>
            </w:r>
          </w:p>
        </w:tc>
        <w:tc>
          <w:p w14:paraId="0010014A" w14:textId="0010014B">
            <w:r>
              <w:t xml:space="preserve">2,571.67</w:t>
            </w:r>
          </w:p>
        </w:tc>
        <w:tc>
          <w:p w14:paraId="0010014C" w14:textId="0010014D">
            <w:r>
              <w:t xml:space="preserve">4,421.74</w:t>
            </w:r>
          </w:p>
        </w:tc>
        <w:tc>
          <w:p w14:paraId="0010014E" w14:textId="0010014F">
            <w:r>
              <w:t xml:space="preserve">84.27%</w:t>
            </w:r>
          </w:p>
        </w:tc>
      </w:tr>
      <w:tr>
        <w:trPr/>
        <w:tc>
          <w:p w14:paraId="00100150" w14:textId="00100151">
            <w:r>
              <w:t xml:space="preserve">Source: model/evaluation_results.json — all values computed on the actual held-out test set</w:t>
            </w:r>
          </w:p>
        </w:tc>
        <w:tc>
          <w:p w14:paraId="00100152" w14:textId="00100153"/>
        </w:tc>
        <w:tc>
          <w:p w14:paraId="00100154" w14:textId="00100155"/>
        </w:tc>
        <w:tc>
          <w:p w14:paraId="00100156" w14:textId="00100157"/>
        </w:tc>
        <w:tc>
          <w:p w14:paraId="00100158" w14:textId="00100159"/>
        </w:tc>
        <w:tc>
          <w:p w14:paraId="0010015A" w14:textId="0010015B"/>
        </w:tc>
      </w:tr>
    </w:tbl>
    <w:p w14:paraId="0010015C" w14:textId="0010015D">
      <w:pPr>
        <w:spacing w:after="160"/>
        <w:jc w:val="center"/>
      </w:pPr>
      <w:r>
        <w:rPr>
          <w:color w:val="555555"/>
          <w:sz w:val="20"/>
        </w:rPr>
        <w:t xml:space="preserve">Table 3: Algorithm Comparison — Test Set Metrics (all values from evaluation_results.json)</w:t>
      </w:r>
    </w:p>
    <w:p w14:paraId="0010015E" w14:textId="0010015F">
      <w:pPr>
        <w:pStyle w:val="Heading2"/>
        <w:spacing w:after="120"/>
      </w:pPr>
      <w:r>
        <w:rPr>
          <w:b/>
          <w:color w:val="2E6DA4"/>
          <w:sz w:val="26"/>
        </w:rPr>
        <w:t xml:space="preserve">11.3 Feature Importance</w:t>
      </w:r>
    </w:p>
    <w:p w14:paraId="00100160" w14:textId="00100161">
      <w:pPr>
        <w:spacing w:after="160"/>
      </w:pPr>
      <w:r>
        <w:rPr>
          <w:sz w:val="22"/>
        </w:rPr>
        <w:t xml:space="preserve">The Gradient Boosting model provides feature importance scores reflecting each feature's relative contribution to the prediction. The values below are computed from the fitted estimator's feature_importances_ attribute:</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62" w14:textId="00100163">
            <w:r>
              <w:t xml:space="preserve">Rank</w:t>
            </w:r>
          </w:p>
        </w:tc>
        <w:tc>
          <w:p w14:paraId="00100164" w14:textId="00100165">
            <w:r>
              <w:t xml:space="preserve">Feature</w:t>
            </w:r>
          </w:p>
        </w:tc>
        <w:tc>
          <w:p w14:paraId="00100166" w14:textId="00100167">
            <w:r>
              <w:t xml:space="preserve">Importance (%)</w:t>
            </w:r>
          </w:p>
        </w:tc>
      </w:tr>
      <w:tr>
        <w:trPr/>
        <w:tc>
          <w:p w14:paraId="00100168" w14:textId="00100169">
            <w:r>
              <w:t xml:space="preserve">1</w:t>
            </w:r>
          </w:p>
        </w:tc>
        <w:tc>
          <w:p w14:paraId="0010016A" w14:textId="0010016B">
            <w:r>
              <w:t xml:space="preserve">smoker</w:t>
            </w:r>
          </w:p>
        </w:tc>
        <w:tc>
          <w:p w14:paraId="0010016C" w14:textId="0010016D">
            <w:r>
              <w:t xml:space="preserve">61.82%</w:t>
            </w:r>
          </w:p>
        </w:tc>
      </w:tr>
      <w:tr>
        <w:trPr/>
        <w:tc>
          <w:p w14:paraId="0010016E" w14:textId="0010016F">
            <w:r>
              <w:t xml:space="preserve">2</w:t>
            </w:r>
          </w:p>
        </w:tc>
        <w:tc>
          <w:p w14:paraId="00100170" w14:textId="00100171">
            <w:r>
              <w:t xml:space="preserve">bmi</w:t>
            </w:r>
          </w:p>
        </w:tc>
        <w:tc>
          <w:p w14:paraId="00100172" w14:textId="00100173">
            <w:r>
              <w:t xml:space="preserve">21.19%</w:t>
            </w:r>
          </w:p>
        </w:tc>
      </w:tr>
      <w:tr>
        <w:trPr/>
        <w:tc>
          <w:p w14:paraId="00100174" w14:textId="00100175">
            <w:r>
              <w:t xml:space="preserve">3</w:t>
            </w:r>
          </w:p>
        </w:tc>
        <w:tc>
          <w:p w14:paraId="00100176" w14:textId="00100177">
            <w:r>
              <w:t xml:space="preserve">age</w:t>
            </w:r>
          </w:p>
        </w:tc>
        <w:tc>
          <w:p w14:paraId="00100178" w14:textId="00100179">
            <w:r>
              <w:t xml:space="preserve">13.28%</w:t>
            </w:r>
          </w:p>
        </w:tc>
      </w:tr>
      <w:tr>
        <w:trPr/>
        <w:tc>
          <w:p w14:paraId="0010017A" w14:textId="0010017B">
            <w:r>
              <w:t xml:space="preserve">4</w:t>
            </w:r>
          </w:p>
        </w:tc>
        <w:tc>
          <w:p w14:paraId="0010017C" w14:textId="0010017D">
            <w:r>
              <w:t xml:space="preserve">children</w:t>
            </w:r>
          </w:p>
        </w:tc>
        <w:tc>
          <w:p w14:paraId="0010017E" w14:textId="0010017F">
            <w:r>
              <w:t xml:space="preserve">2.21%</w:t>
            </w:r>
          </w:p>
        </w:tc>
      </w:tr>
      <w:tr>
        <w:trPr/>
        <w:tc>
          <w:p w14:paraId="00100180" w14:textId="00100181">
            <w:r>
              <w:t xml:space="preserve">5</w:t>
            </w:r>
          </w:p>
        </w:tc>
        <w:tc>
          <w:p w14:paraId="00100182" w14:textId="00100183">
            <w:r>
              <w:t xml:space="preserve">region</w:t>
            </w:r>
          </w:p>
        </w:tc>
        <w:tc>
          <w:p w14:paraId="00100184" w14:textId="00100185">
            <w:r>
              <w:t xml:space="preserve">1.07%</w:t>
            </w:r>
          </w:p>
        </w:tc>
      </w:tr>
      <w:tr>
        <w:trPr/>
        <w:tc>
          <w:p w14:paraId="00100186" w14:textId="00100187">
            <w:r>
              <w:t xml:space="preserve">6</w:t>
            </w:r>
          </w:p>
        </w:tc>
        <w:tc>
          <w:p w14:paraId="00100188" w14:textId="00100189">
            <w:r>
              <w:t xml:space="preserve">sex</w:t>
            </w:r>
          </w:p>
        </w:tc>
        <w:tc>
          <w:p w14:paraId="0010018A" w14:textId="0010018B">
            <w:r>
              <w:t xml:space="preserve">0.42%</w:t>
            </w:r>
          </w:p>
        </w:tc>
      </w:tr>
    </w:tbl>
    <w:p w14:paraId="0010018C" w14:textId="0010018D">
      <w:pPr>
        <w:spacing w:after="160"/>
        <w:jc w:val="center"/>
      </w:pPr>
      <w:r>
        <w:rPr>
          <w:color w:val="555555"/>
          <w:sz w:val="20"/>
        </w:rPr>
        <w:t xml:space="preserve">Table 4: Feature Importance Scores (Gradient Boosting Regressor)</w:t>
      </w:r>
    </w:p>
    <w:p w14:paraId="0010018E" w14:textId="0010018F">
      <w:pPr>
        <w:spacing w:after="0"/>
      </w:pPr>
      <w:r>
        <w:rPr>
          <w:sz w:val="22"/>
        </w:rPr>
        <w:t xml:space="preserve">Smoking status alone accounts for 61.82% of prediction weight, confirming it as the dominant cost driver. BMI (21.19%) and age (13.28%) are the second and third most important features. Sex has the lowest importance at 0.42%, consistent with the finding that biological sex has minimal independent effect on insurance costs once other factors are controlled for.</w:t>
      </w:r>
    </w:p>
    <w:p w14:paraId="00100190" w14:textId="00100191">
      <w:pPr/>
      <w:r>
        <w:rPr/>
        <w:t xml:space="preserve">pagebreak</w:t>
      </w:r>
    </w:p>
    <w:p w14:paraId="00100192" w14:textId="00100193">
      <w:pPr>
        <w:pStyle w:val="Heading1"/>
        <w:spacing w:after="160"/>
      </w:pPr>
      <w:r>
        <w:rPr>
          <w:b/>
          <w:color w:val="1A3C5E"/>
          <w:sz w:val="32"/>
        </w:rPr>
        <w:t xml:space="preserve">12. Backend Implementation</w:t>
      </w:r>
    </w:p>
    <w:p w14:paraId="00100194" w14:textId="00100195">
      <w:pPr>
        <w:spacing w:after="160"/>
      </w:pPr>
      <w:r>
        <w:rPr>
          <w:sz w:val="22"/>
        </w:rPr>
        <w:t xml:space="preserve">The backend is implemented as a Python Flask application in backend/app.py. It uses the flask-cors extension to enable cross-origin requests (required during local development). At startup, the application instantiates a HealthcareCostModel object (from model/ml_model.py) which loads the pre-trained pipeline from model/healthcare_model.pkl and reads the evaluation metrics from model/evaluation_results.json into memory. The Flask application also serves the frontend static files directly, eliminating the need for a separate HTTP server.</w:t>
      </w:r>
    </w:p>
    <w:p w14:paraId="00100196" w14:textId="00100197">
      <w:pPr>
        <w:pStyle w:val="Heading2"/>
        <w:spacing w:after="120"/>
      </w:pPr>
      <w:r>
        <w:rPr>
          <w:b/>
          <w:color w:val="2E6DA4"/>
          <w:sz w:val="26"/>
        </w:rPr>
        <w:t xml:space="preserve">12.1 API Endpoints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98" w14:textId="00100199">
            <w:r>
              <w:t xml:space="preserve">Method</w:t>
            </w:r>
          </w:p>
        </w:tc>
        <w:tc>
          <w:p w14:paraId="0010019A" w14:textId="0010019B">
            <w:r>
              <w:t xml:space="preserve">Endpoint</w:t>
            </w:r>
          </w:p>
        </w:tc>
        <w:tc>
          <w:p w14:paraId="0010019C" w14:textId="0010019D">
            <w:r>
              <w:t xml:space="preserve">Response / Description</w:t>
            </w:r>
          </w:p>
        </w:tc>
      </w:tr>
      <w:tr>
        <w:trPr/>
        <w:tc>
          <w:p w14:paraId="0010019E" w14:textId="0010019F">
            <w:r>
              <w:t xml:space="preserve">GET</w:t>
            </w:r>
          </w:p>
        </w:tc>
        <w:tc>
          <w:p w14:paraId="001001A0" w14:textId="001001A1">
            <w:r>
              <w:t xml:space="preserve">/api/health</w:t>
            </w:r>
          </w:p>
        </w:tc>
        <w:tc>
          <w:p w14:paraId="001001A2" w14:textId="001001A3">
            <w:r>
              <w:t xml:space="preserve">Status check — confirms the API and model are running</w:t>
            </w:r>
          </w:p>
        </w:tc>
      </w:tr>
      <w:tr>
        <w:trPr/>
        <w:tc>
          <w:p w14:paraId="001001A4" w14:textId="001001A5">
            <w:r>
              <w:t xml:space="preserve">GET</w:t>
            </w:r>
          </w:p>
        </w:tc>
        <w:tc>
          <w:p w14:paraId="001001A6" w14:textId="001001A7">
            <w:r>
              <w:t xml:space="preserve">/api/stats</w:t>
            </w:r>
          </w:p>
        </w:tc>
        <w:tc>
          <w:p w14:paraId="001001A8" w14:textId="001001A9">
            <w:r>
              <w:t xml:space="preserve">Dataset statistics: total records, avg/max/min charges, avg age, avg BMI, smoker %, region counts</w:t>
            </w:r>
          </w:p>
        </w:tc>
      </w:tr>
      <w:tr>
        <w:trPr/>
        <w:tc>
          <w:p w14:paraId="001001AA" w14:textId="001001AB">
            <w:r>
              <w:t xml:space="preserve">GET</w:t>
            </w:r>
          </w:p>
        </w:tc>
        <w:tc>
          <w:p w14:paraId="001001AC" w14:textId="001001AD">
            <w:r>
              <w:t xml:space="preserve">/api/model-metrics</w:t>
            </w:r>
          </w:p>
        </w:tc>
        <w:tc>
          <w:p w14:paraId="001001AE" w14:textId="001001AF">
            <w:r>
              <w:t xml:space="preserve">Evaluation metrics: R2/MAE/RMSE for train and test, feature importances, model comparison table, algorithm name</w:t>
            </w:r>
          </w:p>
        </w:tc>
      </w:tr>
      <w:tr>
        <w:trPr/>
        <w:tc>
          <w:p w14:paraId="001001B0" w14:textId="001001B1">
            <w:r>
              <w:t xml:space="preserve">GET</w:t>
            </w:r>
          </w:p>
        </w:tc>
        <w:tc>
          <w:p w14:paraId="001001B2" w14:textId="001001B3">
            <w:r>
              <w:t xml:space="preserve">/api/chart-data</w:t>
            </w:r>
          </w:p>
        </w:tc>
        <w:tc>
          <w:p w14:paraId="001001B4" w14:textId="001001B5">
            <w:r>
              <w:t xml:space="preserve">Pre-aggregated chart data: histogram bins, age-scatter points, region averages, smoker averages, children averages</w:t>
            </w:r>
          </w:p>
        </w:tc>
      </w:tr>
      <w:tr>
        <w:trPr/>
        <w:tc>
          <w:p w14:paraId="001001B6" w14:textId="001001B7">
            <w:r>
              <w:t xml:space="preserve">POST</w:t>
            </w:r>
          </w:p>
        </w:tc>
        <w:tc>
          <w:p w14:paraId="001001B8" w14:textId="001001B9">
            <w:r>
              <w:t xml:space="preserve">/api/predict</w:t>
            </w:r>
          </w:p>
        </w:tc>
        <w:tc>
          <w:p w14:paraId="001001BA" w14:textId="001001BB">
            <w:r>
              <w:t xml:space="preserve">Accepts JSON body {age, sex, bmi, children, smoker, region}. Returns predicted_cost, risk_category, risk_color, input_summary. HTTP 422 on validation error.</w:t>
            </w:r>
          </w:p>
        </w:tc>
      </w:tr>
      <w:tr>
        <w:trPr/>
        <w:tc>
          <w:p w14:paraId="001001BC" w14:textId="001001BD">
            <w:r>
              <w:t xml:space="preserve">GET</w:t>
            </w:r>
          </w:p>
        </w:tc>
        <w:tc>
          <w:p w14:paraId="001001BE" w14:textId="001001BF">
            <w:r>
              <w:t xml:space="preserve">/  (root)</w:t>
            </w:r>
          </w:p>
        </w:tc>
        <w:tc>
          <w:p w14:paraId="001001C0" w14:textId="001001C1">
            <w:r>
              <w:t xml:space="preserve">Serves frontend/index.html — the full SPA</w:t>
            </w:r>
          </w:p>
        </w:tc>
      </w:tr>
    </w:tbl>
    <w:p w14:paraId="001001C2" w14:textId="001001C3">
      <w:pPr>
        <w:spacing w:after="160"/>
        <w:jc w:val="center"/>
      </w:pPr>
      <w:r>
        <w:rPr>
          <w:color w:val="555555"/>
          <w:sz w:val="20"/>
        </w:rPr>
        <w:t xml:space="preserve">Table 5: Flask REST API Endpoints</w:t>
      </w:r>
    </w:p>
    <w:p w14:paraId="001001C4" w14:textId="001001C5">
      <w:pPr>
        <w:pStyle w:val="Heading2"/>
        <w:spacing w:after="120"/>
      </w:pPr>
      <w:r>
        <w:rPr>
          <w:b/>
          <w:color w:val="2E6DA4"/>
          <w:sz w:val="26"/>
        </w:rPr>
        <w:t xml:space="preserve">12.2 Input Validation</w:t>
      </w:r>
    </w:p>
    <w:p w14:paraId="001001C6" w14:textId="001001C7">
      <w:pPr>
        <w:spacing w:after="0"/>
      </w:pPr>
      <w:r>
        <w:rPr>
          <w:sz w:val="22"/>
        </w:rPr>
        <w:t xml:space="preserve">The /api/predict endpoint performs strict input validation before passing data to the model. The validate_input() function checks that all six fields are present, that numerical values are within their valid ranges (age 18–100; BMI 10.0–60.0; children 0–10), and that categorical fields contain only the known values. On validation failure, the API returns HTTP 422 with a validation_errors array listing every error. The frontend's applyBackendErrors() function maps these errors back to the individual form fields, highlighting the specific inputs that need correction.</w:t>
      </w:r>
    </w:p>
    <w:p w14:paraId="001001C8" w14:textId="001001C9">
      <w:pPr>
        <w:pStyle w:val="Heading1"/>
        <w:spacing w:before="320" w:after="160"/>
      </w:pPr>
      <w:r>
        <w:rPr>
          <w:b/>
          <w:color w:val="1A3C5E"/>
          <w:sz w:val="32"/>
        </w:rPr>
        <w:t xml:space="preserve">13. Frontend Implementation</w:t>
      </w:r>
    </w:p>
    <w:p w14:paraId="001001CA" w14:textId="001001CB">
      <w:pPr>
        <w:spacing w:after="160"/>
      </w:pPr>
      <w:r>
        <w:rPr>
          <w:sz w:val="22"/>
        </w:rPr>
        <w:t xml:space="preserve">The frontend is a single-page application (SPA) built with HTML5, CSS3, and vanilla JavaScript. It consists of three files in the frontend/ directory: index.html (structure and content), style.css (design system and layout), and app.js (all application logic).</w:t>
      </w:r>
    </w:p>
    <w:p w14:paraId="001001CC" w14:textId="001001CD">
      <w:pPr>
        <w:spacing w:after="160"/>
      </w:pPr>
      <w:r>
        <w:rPr>
          <w:sz w:val="22"/>
        </w:rPr>
        <w:t xml:space="preserve">HTML (index.html):  The HTML file defines the complete page structure including the navigation bar, hero section, stats bar, KPI card grid, five chart canvases, prediction form with six inputs and error spans, result card, error card, model performance section (feature importance list, model comparison chart, train/test split metrics), About section, and footer. Every element that JavaScript writes to has a unique id attribute, ensuring a clean separation between structure and logic.</w:t>
      </w:r>
    </w:p>
    <w:p w14:paraId="001001CE" w14:textId="001001CF">
      <w:pPr>
        <w:spacing w:after="160"/>
      </w:pPr>
      <w:r>
        <w:rPr>
          <w:sz w:val="22"/>
        </w:rPr>
        <w:t xml:space="preserve">CSS (style.css):  The stylesheet implements a complete design system using CSS custom properties for colours, typography, and spacing. It uses CSS Grid and Flexbox for all layouts. The navigation bar turns opaque on scroll. Smooth transitions are applied to all interactive states. The design is fully responsive with breakpoints at 1100px, 900px, and 640px, adapting the grid and form layouts for tablet and mobile screens. A healthcare colour palette is used throughout: primary blue (#2563eb), success green (#16a34a), warning orange, and high-risk red.</w:t>
      </w:r>
    </w:p>
    <w:p w14:paraId="001001D0" w14:textId="001001D1">
      <w:pPr>
        <w:spacing w:after="0"/>
      </w:pPr>
      <w:r>
        <w:rPr>
          <w:sz w:val="22"/>
        </w:rPr>
        <w:t xml:space="preserve">JavaScript (app.js):  The JavaScript module handles all API communication, DOM updates, Chart.js chart building, form validation, and result rendering. The fetchJSON() helper function is the single unified fetch wrapper; it parses error bodies and attaches a validationErrors array so the catch block in the form submit handler can highlight individual form fields. The init() function runs on page load and fires all three data-loading functions (loadStats, loadModelMetrics, loadCharts) in parallel using Promise.allSettled(), ensuring the UI populates as quickly as possible regardless of individual endpoint response times.</w:t>
      </w:r>
    </w:p>
    <w:p w14:paraId="001001D2" w14:textId="001001D3">
      <w:pPr>
        <w:pStyle w:val="Heading1"/>
        <w:spacing w:before="320" w:after="160"/>
      </w:pPr>
      <w:r>
        <w:rPr>
          <w:b/>
          <w:color w:val="1A3C5E"/>
          <w:sz w:val="32"/>
        </w:rPr>
        <w:t xml:space="preserve">14. Dashboard UI</w:t>
      </w:r>
    </w:p>
    <w:p w14:paraId="001001D4" w14:textId="001001D5">
      <w:pPr>
        <w:spacing w:after="160"/>
      </w:pPr>
      <w:r>
        <w:rPr>
          <w:sz w:val="22"/>
        </w:rPr>
        <w:t xml:space="preserve">The MediCost AI frontend provides a complete, professional healthcare analytics dashboard. All sections described below are fully functional in the deployed application and all dynamic values are fetched from the Flask API on every page load.</w:t>
      </w:r>
    </w:p>
    <w:p w14:paraId="001001D6" w14:textId="001001D7">
      <w:pPr>
        <w:spacing w:after="120"/>
      </w:pPr>
      <w:r>
        <w:rPr>
          <w:sz w:val="22"/>
        </w:rPr>
        <w:t xml:space="preserve">Navigation Bar:  A sticky top navigation bar shows the MediCost AI brand (with a cross-shaped healthcare logo), five navigation links (Home, Analytics, Prediction, Model Performance, About), a prominent Get Prediction call-to-action button, and a hamburger menu for mobile. The bar transitions from transparent to a solid white background with a shadow when the user scrolls down.</w:t>
      </w:r>
    </w:p>
    <w:p w14:paraId="001001D8" w14:textId="001001D9">
      <w:pPr>
        <w:spacing w:after="120"/>
      </w:pPr>
      <w:r>
        <w:rPr>
          <w:sz w:val="22"/>
        </w:rPr>
        <w:t xml:space="preserve">Hero Section:  A full-height landing section with a blue gradient background, animated CSS rings, and an ECG heart-rate line SVG. Three hero stats cards (populated from the API) show total patient records, model accuracy, and the number of input features. Two floating cards show the average annual cost and the 3.8x smoker cost multiplier.</w:t>
      </w:r>
    </w:p>
    <w:p w14:paraId="001001DA" w14:textId="001001DB">
      <w:pPr>
        <w:spacing w:after="120"/>
      </w:pPr>
      <w:r>
        <w:rPr>
          <w:sz w:val="22"/>
        </w:rPr>
        <w:t xml:space="preserve">Statistics Bar:  A horizontal band below the hero showing six live statistics: total patients, average annual cost, highest cost, average patient age, smoker rate, and model R2 score. Each statistic has a coloured icon and is populated by the /api/stats and /api/model-metrics endpoints.</w:t>
      </w:r>
    </w:p>
    <w:p w14:paraId="001001DC" w14:textId="001001DD">
      <w:pPr>
        <w:spacing w:after="120"/>
      </w:pPr>
      <w:r>
        <w:rPr>
          <w:sz w:val="22"/>
        </w:rPr>
        <w:t xml:space="preserve">KPI Cards (Dashboard):  Four summary cards at the top of the analytics section: Total Patient Records (1,337), Average Annual Cost, Maximum Recorded Cost, and Model R2 Score. Each card has a coloured left-border accent.</w:t>
      </w:r>
    </w:p>
    <w:p w14:paraId="001001DE" w14:textId="001001DF">
      <w:pPr>
        <w:spacing w:after="120"/>
      </w:pPr>
      <w:r>
        <w:rPr>
          <w:sz w:val="22"/>
        </w:rPr>
        <w:t xml:space="preserve">Analytics Charts:  Five Chart.js-powered interactive charts as described in Section 8. Charts are rendered inside card containers with descriptive headers and badge labels. Chart tooltips display formatted values (cost in Rs using Indian Rupee locale formatting).</w:t>
      </w:r>
    </w:p>
    <w:p w14:paraId="001001E0" w14:textId="001001E1">
      <w:pPr>
        <w:spacing w:after="120"/>
      </w:pPr>
      <w:r>
        <w:rPr>
          <w:sz w:val="22"/>
        </w:rPr>
        <w:t xml:space="preserve">Prediction Form:  A two-column card with six input fields: age (number, 18–100), BMI (float, 10.0–60.0), biological sex (dropdown), number of children (dropdown, 0–5), smoking status (dropdown), and US region (dropdown). Each field has a hint text, a required indicator, and an error span that turns red on validation failure. Client-side validation runs before any API call; backend validation errors are mapped back to individual fields via applyBackendErrors().</w:t>
      </w:r>
    </w:p>
    <w:p w14:paraId="001001E2" w14:textId="001001E3">
      <w:pPr>
        <w:spacing w:after="120"/>
      </w:pPr>
      <w:r>
        <w:rPr>
          <w:sz w:val="22"/>
        </w:rPr>
        <w:t xml:space="preserve">Prediction Result Card:  Displayed after a successful prediction. The top panel shows the annual cost in Rs (large display text), the monthly estimate, and a colour-coded risk ribbon (green for Low, orange for Moderate, red for High, dark red for Very High). A profile summary grid below shows all six input values. A New Prediction button resets the form.</w:t>
      </w:r>
    </w:p>
    <w:p w14:paraId="001001E4" w14:textId="001001E5">
      <w:pPr>
        <w:spacing w:after="120"/>
      </w:pPr>
      <w:r>
        <w:rPr>
          <w:sz w:val="22"/>
        </w:rPr>
        <w:t xml:space="preserve">Indian Rupee (Rs) Cost Display:  All monetary values in the application are formatted as Rs X,XX,XXX using JavaScript's toLocaleString('en-IN') with the Rs (U+20B9) symbol. This applies to all KPI cards, chart tooltips, stat bars, prediction results, and model metric displays.</w:t>
      </w:r>
    </w:p>
    <w:p w14:paraId="001001E6" w14:textId="001001E7">
      <w:pPr>
        <w:spacing w:after="120"/>
      </w:pPr>
      <w:r>
        <w:rPr>
          <w:sz w:val="22"/>
        </w:rPr>
        <w:t xml:space="preserve">Model Performance Section:  Four metric cards showing R2 Test Score, MAE, RMSE, and the selected Algorithm (Gradient Boosting). A feature importance list shows all six features with proportional width bars. A horizontal bar chart compares R2 scores across all five algorithms. A two-column train/test split table shows metrics for both the training set (1,069 records) and the test set (268 records).</w:t>
      </w:r>
    </w:p>
    <w:p w14:paraId="001001E8" w14:textId="001001E9">
      <w:pPr>
        <w:spacing w:after="0"/>
      </w:pPr>
      <w:r>
        <w:rPr>
          <w:sz w:val="22"/>
        </w:rPr>
        <w:t xml:space="preserve">Responsive Design:  The layout adapts to three breakpoints. At 1100px, the side-by-side predict layout stacks vertically. At 900px, the chart grid reorganises to single-column. At 640px, the form rows collapse to single-column and typography scales down. The navigation hamburger menu activates below 768px.</w:t>
      </w:r>
    </w:p>
    <w:p w14:paraId="001001EA" w14:textId="001001EB">
      <w:pPr/>
      <w:r>
        <w:rPr/>
        <w:t xml:space="preserve">pagebreak</w:t>
      </w:r>
    </w:p>
    <w:p w14:paraId="001001EC" w14:textId="001001ED">
      <w:pPr>
        <w:pStyle w:val="Heading1"/>
        <w:spacing w:after="160"/>
      </w:pPr>
      <w:r>
        <w:rPr>
          <w:b/>
          <w:color w:val="1A3C5E"/>
          <w:sz w:val="32"/>
        </w:rPr>
        <w:t xml:space="preserve">15. UI Interface — Illustrative Section Descriptions</w:t>
      </w:r>
    </w:p>
    <w:p w14:paraId="001001EE" w14:textId="001001EF">
      <w:pPr>
        <w:spacing w:after="240"/>
      </w:pPr>
      <w:r>
        <w:rPr>
          <w:color w:val="666666"/>
          <w:sz w:val="20"/>
        </w:rPr>
        <w:t xml:space="preserve">Note: The figures below are descriptive representations of the actual MediCost AI interface based on the implemented frontend code. All values shown reflect real API data from the trained model and dataset.</w:t>
      </w:r>
    </w:p>
    <w:p w14:paraId="001001F0" w14:textId="001001F1">
      <w:pPr>
        <w:pStyle w:val="Heading2"/>
        <w:spacing w:after="120"/>
      </w:pPr>
      <w:r>
        <w:rPr>
          <w:b/>
          <w:color w:val="2E6DA4"/>
          <w:sz w:val="24"/>
        </w:rPr>
        <w:t xml:space="preserve">Figure 1 — Healthcare Cost Prediction Home Dashboard</w:t>
      </w:r>
    </w:p>
    <w:tbl>
      <w:tblPr>
        <w:tblW w:w="5000" w:type="pct"/>
        <w:tblBorders>
          <w:top w:val="single" w:sz="4"/>
          <w:left w:val="single" w:sz="4"/>
          <w:bottom w:val="single" w:sz="4"/>
          <w:right w:val="single" w:sz="4"/>
          <w:insideH w:val="single" w:sz="4"/>
          <w:insideV w:val="single" w:sz="4"/>
        </w:tblBorders>
      </w:tblPr>
      <w:tblGrid>
        <w:gridCol w:w="8306"/>
      </w:tblGrid>
      <w:tr>
        <w:trPr>
          <w:tblHeader/>
        </w:trPr>
        <w:tc>
          <w:p w14:paraId="001001F2" w14:textId="001001F3">
            <w:r>
              <w:t xml:space="preserve">  MediCost AI  |  HOME DASHBOARD  |  http://127.0.0.1:5000/  </w:t>
            </w:r>
          </w:p>
        </w:tc>
      </w:tr>
      <w:tr>
        <w:trPr/>
        <w:tc>
          <w:p w14:paraId="001001F4" w14:textId="001001F5">
            <w:r>
              <w:t xml:space="preserve">[ MediCost+ AI ]   Home   Analytics   Prediction   Model Performance   About   [ Get Prediction ]</w:t>
            </w:r>
          </w:p>
        </w:tc>
      </w:tr>
      <w:tr>
        <w:trPr/>
        <w:tc>
          <w:p w14:paraId="001001F6" w14:textId="001001F7">
            <w:r>
              <w:t xml:space="preserve">AI-Powered Healthcare Analytics  |  Predict Your Healthcare Costs with Precision</w:t>
            </w:r>
          </w:p>
        </w:tc>
      </w:tr>
      <w:tr>
        <w:trPr/>
        <w:tc>
          <w:p w14:paraId="001001F8" w14:textId="001001F9">
            <w:r>
              <w:t xml:space="preserve">  [ 1,337 Patient Records ]   [ 89.4% Model Accuracy ]   [ 6 Input Features ]</w:t>
            </w:r>
          </w:p>
        </w:tc>
      </w:tr>
      <w:tr>
        <w:trPr/>
        <w:tc>
          <w:p w14:paraId="001001FA" w14:textId="001001FB">
            <w:r>
              <w:t xml:space="preserve">  Floating Card: Avg. Annual Cost  Rs 13,279   |   Floating Card: Smoker Impact  3.8x Higher</w:t>
            </w:r>
          </w:p>
        </w:tc>
      </w:tr>
      <w:tr>
        <w:trPr/>
        <w:tc>
          <w:p w14:paraId="001001FC" w14:textId="001001FD">
            <w:r>
              <w:t xml:space="preserve">Stats Bar: 1,337 Patients  |  Rs 13,279 Avg Cost  |  Rs 63,770 Max  |  39.2 yrs Avg Age  |  20.5% Smoker Rate  |  89.4% R2</w:t>
            </w:r>
          </w:p>
        </w:tc>
      </w:tr>
    </w:tbl>
    <w:p w14:paraId="001001FE" w14:textId="001001FF">
      <w:pPr>
        <w:spacing w:after="280"/>
        <w:jc w:val="center"/>
      </w:pPr>
      <w:r>
        <w:rPr>
          <w:color w:val="555555"/>
          <w:sz w:val="20"/>
        </w:rPr>
        <w:t xml:space="preserve">Figure 1: Healthcare Cost Prediction Home Dashboard — Navigation bar, hero section with animated ECG, patient record count, model accuracy, and floating cost/smoker-impact cards.</w:t>
      </w:r>
    </w:p>
    <w:p w14:paraId="00100200" w14:textId="00100201">
      <w:pPr>
        <w:pStyle w:val="Heading2"/>
        <w:spacing w:after="120"/>
      </w:pPr>
      <w:r>
        <w:rPr>
          <w:b/>
          <w:color w:val="2E6DA4"/>
          <w:sz w:val="24"/>
        </w:rPr>
        <w:t xml:space="preserve">Figure 2 — Analytics Dashboard</w:t>
      </w:r>
    </w:p>
    <w:tbl>
      <w:tblPr>
        <w:tblW w:w="5000" w:type="pct"/>
        <w:tblBorders>
          <w:top w:val="single" w:sz="4"/>
          <w:left w:val="single" w:sz="4"/>
          <w:bottom w:val="single" w:sz="4"/>
          <w:right w:val="single" w:sz="4"/>
          <w:insideH w:val="single" w:sz="4"/>
          <w:insideV w:val="single" w:sz="4"/>
        </w:tblBorders>
      </w:tblPr>
      <w:tblGrid>
        <w:gridCol w:w="8306"/>
      </w:tblGrid>
      <w:tr>
        <w:trPr>
          <w:tblHeader/>
        </w:trPr>
        <w:tc>
          <w:p w14:paraId="00100202" w14:textId="00100203">
            <w:r>
              <w:t xml:space="preserve">  MediCost AI  |  ANALYTICS DASHBOARD  </w:t>
            </w:r>
          </w:p>
        </w:tc>
      </w:tr>
      <w:tr>
        <w:trPr/>
        <w:tc>
          <w:p w14:paraId="00100204" w14:textId="00100205">
            <w:r>
              <w:t xml:space="preserve">KPI Cards:   [1,337 Records]   [Rs 13,279 Avg Cost]   [Rs 63,770 Max Cost]   [89.36% R2 Score]</w:t>
            </w:r>
          </w:p>
        </w:tc>
      </w:tr>
      <w:tr>
        <w:trPr/>
        <w:tc>
          <w:p w14:paraId="00100206" w14:textId="00100207">
            <w:r>
              <w:t xml:space="preserve">Chart 1 — Charges Distribution (Histogram):  Most patients cluster in Rs 0–20k range; long tail to Rs 63k</w:t>
            </w:r>
          </w:p>
        </w:tc>
      </w:tr>
      <w:tr>
        <w:trPr/>
        <w:tc>
          <w:p w14:paraId="00100208" w14:textId="00100209">
            <w:r>
              <w:t xml:space="preserve">Chart 2 — Age vs Charges (Scatter):  Red dots (smokers) cluster at Rs 20k–65k; Blue (non-smokers) at Rs 2k–20k</w:t>
            </w:r>
          </w:p>
        </w:tc>
      </w:tr>
      <w:tr>
        <w:trPr/>
        <w:tc>
          <w:p w14:paraId="0010020A" w14:textId="0010020B">
            <w:r>
              <w:t xml:space="preserve">Chart 3 — Cost by Region (Bar):  SE Rs 14,735  |  NE Rs 13,406  |  NW Rs 12,451  |  SW Rs 12,347</w:t>
            </w:r>
          </w:p>
        </w:tc>
      </w:tr>
      <w:tr>
        <w:trPr/>
        <w:tc>
          <w:p w14:paraId="0010020C" w14:textId="0010020D">
            <w:r>
              <w:t xml:space="preserve">Chart 4 — Smoker vs Non-Smoker (Doughnut):  Smoker Rs 32,050  |  Non-Smoker Rs 8,441</w:t>
            </w:r>
          </w:p>
        </w:tc>
      </w:tr>
      <w:tr>
        <w:trPr/>
        <w:tc>
          <w:p w14:paraId="0010020E" w14:textId="0010020F">
            <w:r>
              <w:t xml:space="preserve">Chart 5 — Children vs Charges (Bar):  0 children Rs 12,366  |  1 child Rs 12,731  |  2 Rs 15,073  |  3 Rs 15,355  |  4 Rs 13,851  |  5 Rs 8,786</w:t>
            </w:r>
          </w:p>
        </w:tc>
      </w:tr>
      <w:tr>
        <w:trPr/>
        <w:tc>
          <w:p w14:paraId="00100210" w14:textId="00100211">
            <w:r>
              <w:t xml:space="preserve">All charts rendered via Chart.js 4.4.0 — interactive tooltips display Rs-formatted values (en-IN locale)</w:t>
            </w:r>
          </w:p>
        </w:tc>
      </w:tr>
    </w:tbl>
    <w:p w14:paraId="00100212" w14:textId="00100213">
      <w:pPr>
        <w:spacing w:after="280"/>
        <w:jc w:val="center"/>
      </w:pPr>
      <w:r>
        <w:rPr>
          <w:color w:val="555555"/>
          <w:sz w:val="20"/>
        </w:rPr>
        <w:t xml:space="preserve">Figure 2: Analytics Dashboard — KPI summary cards and five Chart.js visualisations: charges histogram, age-vs-charges scatter, regional bar chart, smoker doughnut, and children bar chart.</w:t>
      </w:r>
    </w:p>
    <w:p w14:paraId="00100214" w14:textId="00100215">
      <w:pPr/>
      <w:r>
        <w:rPr/>
        <w:t xml:space="preserve">pagebreak</w:t>
      </w:r>
    </w:p>
    <w:p w14:paraId="00100216" w14:textId="00100217">
      <w:pPr>
        <w:pStyle w:val="Heading2"/>
        <w:spacing w:after="120"/>
      </w:pPr>
      <w:r>
        <w:rPr>
          <w:b/>
          <w:color w:val="2E6DA4"/>
          <w:sz w:val="24"/>
        </w:rPr>
        <w:t xml:space="preserve">Figure 3 — Healthcare Cost Prediction Form</w:t>
      </w:r>
    </w:p>
    <w:tbl>
      <w:tblPr>
        <w:tblW w:w="5000" w:type="pct"/>
        <w:tblBorders>
          <w:top w:val="single" w:sz="4"/>
          <w:left w:val="single" w:sz="4"/>
          <w:bottom w:val="single" w:sz="4"/>
          <w:right w:val="single" w:sz="4"/>
          <w:insideH w:val="single" w:sz="4"/>
          <w:insideV w:val="single" w:sz="4"/>
        </w:tblBorders>
      </w:tblPr>
      <w:tblGrid>
        <w:gridCol w:w="8306"/>
      </w:tblGrid>
      <w:tr>
        <w:trPr>
          <w:tblHeader/>
        </w:trPr>
        <w:tc>
          <w:p w14:paraId="00100218" w14:textId="00100219">
            <w:r>
              <w:t xml:space="preserve">  MediCost AI  |  HEALTHCARE COST PREDICTION FORM  </w:t>
            </w:r>
          </w:p>
        </w:tc>
      </w:tr>
      <w:tr>
        <w:trPr/>
        <w:tc>
          <w:p w14:paraId="0010021A" w14:textId="0010021B">
            <w:r>
              <w:t xml:space="preserve">Section heading: Estimate Your Healthcare Cost  |  Badge: AI Prediction Engine</w:t>
            </w:r>
          </w:p>
        </w:tc>
      </w:tr>
      <w:tr>
        <w:trPr/>
        <w:tc>
          <w:p w14:paraId="0010021C" w14:textId="0010021D">
            <w:r>
              <w:t xml:space="preserve">Row 1:  [ Age: _____ years (18-100) ]       [ BMI: _____ (10.0-60.0) ]</w:t>
            </w:r>
          </w:p>
        </w:tc>
      </w:tr>
      <w:tr>
        <w:trPr/>
        <w:tc>
          <w:p w14:paraId="0010021E" w14:textId="0010021F">
            <w:r>
              <w:t xml:space="preserve">Row 2:  [ Biological Sex: v Male/Female ]   [ Children: v 0/1/2/3/4/5 ]</w:t>
            </w:r>
          </w:p>
        </w:tc>
      </w:tr>
      <w:tr>
        <w:trPr/>
        <w:tc>
          <w:p w14:paraId="00100220" w14:textId="00100221">
            <w:r>
              <w:t xml:space="preserve">Row 3:  [ Smoking Status: v Yes/No ]        [ US Region: v NE/NW/SE/SW ]</w:t>
            </w:r>
          </w:p>
        </w:tc>
      </w:tr>
      <w:tr>
        <w:trPr/>
        <w:tc>
          <w:p w14:paraId="00100222" w14:textId="00100223">
            <w:r>
              <w:t xml:space="preserve">[ Predict Healthcare Cost  (lightning bolt icon)  [spinner on submit] ]</w:t>
            </w:r>
          </w:p>
        </w:tc>
      </w:tr>
      <w:tr>
        <w:trPr/>
        <w:tc>
          <w:p w14:paraId="00100224" w14:textId="00100225">
            <w:r>
              <w:t xml:space="preserve">Disclaimer: Results are estimates based on historical insurance data. Consult a licensed insurance professional for actual quotes.</w:t>
            </w:r>
          </w:p>
        </w:tc>
      </w:tr>
    </w:tbl>
    <w:p w14:paraId="00100226" w14:textId="00100227">
      <w:pPr>
        <w:spacing w:after="280"/>
        <w:jc w:val="center"/>
      </w:pPr>
      <w:r>
        <w:rPr>
          <w:color w:val="555555"/>
          <w:sz w:val="20"/>
        </w:rPr>
        <w:t xml:space="preserve">Figure 3: Healthcare Cost Prediction Form — Two-column health profile form with age, BMI, sex, children, smoking status, and region inputs. Predict Healthcare Cost button at the bottom.</w:t>
      </w:r>
    </w:p>
    <w:p w14:paraId="00100228" w14:textId="00100229">
      <w:pPr>
        <w:pStyle w:val="Heading2"/>
        <w:spacing w:after="120"/>
      </w:pPr>
      <w:r>
        <w:rPr>
          <w:b/>
          <w:color w:val="2E6DA4"/>
          <w:sz w:val="24"/>
        </w:rPr>
        <w:t xml:space="preserve">Figure 4 — Healthcare Cost Prediction Result</w:t>
      </w:r>
    </w:p>
    <w:tbl>
      <w:tblPr>
        <w:tblW w:w="5000" w:type="pct"/>
        <w:tblBorders>
          <w:top w:val="single" w:sz="4"/>
          <w:left w:val="single" w:sz="4"/>
          <w:bottom w:val="single" w:sz="4"/>
          <w:right w:val="single" w:sz="4"/>
          <w:insideH w:val="single" w:sz="4"/>
          <w:insideV w:val="single" w:sz="4"/>
        </w:tblBorders>
      </w:tblPr>
      <w:tblGrid>
        <w:gridCol w:w="8306"/>
      </w:tblGrid>
      <w:tr>
        <w:trPr>
          <w:tblHeader/>
        </w:trPr>
        <w:tc>
          <w:p w14:paraId="0010022A" w14:textId="0010022B">
            <w:r>
              <w:t xml:space="preserve">  MediCost AI  |  PREDICTION RESULT CARD  </w:t>
            </w:r>
          </w:p>
        </w:tc>
      </w:tr>
      <w:tr>
        <w:trPr/>
        <w:tc>
          <w:p w14:paraId="0010022C" w14:textId="0010022D">
            <w:r>
              <w:t xml:space="preserve">Risk Ribbon:  [ MODERATE RISK ]  (orange background)</w:t>
            </w:r>
          </w:p>
        </w:tc>
      </w:tr>
      <w:tr>
        <w:trPr/>
        <w:tc>
          <w:p w14:paraId="0010022E" w14:textId="0010022F">
            <w:r>
              <w:t xml:space="preserve">Estimated Annual Cost:    Rs  5,138  (large bold display text)</w:t>
            </w:r>
          </w:p>
        </w:tc>
      </w:tr>
      <w:tr>
        <w:trPr/>
        <w:tc>
          <w:p w14:paraId="00100230" w14:textId="00100231">
            <w:r>
              <w:t xml:space="preserve">Monthly Estimate:   approx  Rs 428 / month</w:t>
            </w:r>
          </w:p>
        </w:tc>
      </w:tr>
      <w:tr>
        <w:trPr/>
        <w:tc>
          <w:p w14:paraId="00100232" w14:textId="00100233">
            <w:r>
              <w:t xml:space="preserve">Info rows:  [Risk Category: Moderate]   [Annual Estimate: Rs 5,138]   [Monthly Estimate: Rs 428]</w:t>
            </w:r>
          </w:p>
        </w:tc>
      </w:tr>
      <w:tr>
        <w:trPr/>
        <w:tc>
          <w:p w14:paraId="00100234" w14:textId="00100235">
            <w:r>
              <w:t xml:space="preserve">Profile Summary Grid:  Age: 35 yrs  |  Sex: Male  |  BMI: 26.5  |  Children: 1  |  Smoker: No  |  Region: Northeast</w:t>
            </w:r>
          </w:p>
        </w:tc>
      </w:tr>
      <w:tr>
        <w:trPr/>
        <w:tc>
          <w:p w14:paraId="00100236" w14:textId="00100237">
            <w:r>
              <w:t xml:space="preserve">[ New Prediction (reset icon) ]   — returns to the Ready to Predict placeholder state</w:t>
            </w:r>
          </w:p>
        </w:tc>
      </w:tr>
    </w:tbl>
    <w:p w14:paraId="00100238" w14:textId="00100239">
      <w:pPr>
        <w:spacing w:after="280"/>
        <w:jc w:val="center"/>
      </w:pPr>
      <w:r>
        <w:rPr>
          <w:color w:val="555555"/>
          <w:sz w:val="20"/>
        </w:rPr>
        <w:t xml:space="preserve">Figure 4: Prediction Result Card — Annual cost in Rs (large display), monthly estimate, colour-coded risk ribbon, and a 6-cell profile summary grid showing all input values.</w:t>
      </w:r>
    </w:p>
    <w:p w14:paraId="0010023A" w14:textId="0010023B">
      <w:pPr/>
      <w:r>
        <w:rPr/>
        <w:t xml:space="preserve">pagebreak</w:t>
      </w:r>
    </w:p>
    <w:p w14:paraId="0010023C" w14:textId="0010023D">
      <w:pPr>
        <w:pStyle w:val="Heading2"/>
        <w:spacing w:after="120"/>
      </w:pPr>
      <w:r>
        <w:rPr>
          <w:b/>
          <w:color w:val="2E6DA4"/>
          <w:sz w:val="24"/>
        </w:rPr>
        <w:t xml:space="preserve">Figure 5 — Machine Learning Model Performance</w:t>
      </w:r>
    </w:p>
    <w:tbl>
      <w:tblPr>
        <w:tblW w:w="5000" w:type="pct"/>
        <w:tblBorders>
          <w:top w:val="single" w:sz="4"/>
          <w:left w:val="single" w:sz="4"/>
          <w:bottom w:val="single" w:sz="4"/>
          <w:right w:val="single" w:sz="4"/>
          <w:insideH w:val="single" w:sz="4"/>
          <w:insideV w:val="single" w:sz="4"/>
        </w:tblBorders>
      </w:tblPr>
      <w:tblGrid>
        <w:gridCol w:w="8306"/>
      </w:tblGrid>
      <w:tr>
        <w:trPr>
          <w:tblHeader/>
        </w:trPr>
        <w:tc>
          <w:p w14:paraId="0010023E" w14:textId="0010023F">
            <w:r>
              <w:t xml:space="preserve">  MediCost AI  |  MACHINE LEARNING MODEL PERFORMANCE  </w:t>
            </w:r>
          </w:p>
        </w:tc>
      </w:tr>
      <w:tr>
        <w:trPr/>
        <w:tc>
          <w:p w14:paraId="00100240" w14:textId="00100241">
            <w:r>
              <w:t xml:space="preserve">Metric Cards:  [R2 Score: 89.36%]  [MAE Test: Rs 2,572]  [RMSE Test: Rs 4,422]  [Algorithm: Gradient Boosting]</w:t>
            </w:r>
          </w:p>
        </w:tc>
      </w:tr>
      <w:tr>
        <w:trPr/>
        <w:tc>
          <w:p w14:paraId="00100242" w14:textId="00100243">
            <w:r>
              <w:t xml:space="preserve">Feature Importance (progress bars):  smoker 61.82% ||||||||||||||||||||||||||||||||  bmi 21.19% ||||||||||||  age 13.28% |||||||</w:t>
            </w:r>
          </w:p>
        </w:tc>
      </w:tr>
      <w:tr>
        <w:trPr/>
        <w:tc>
          <w:p w14:paraId="00100244" w14:textId="00100245">
            <w:r>
              <w:t xml:space="preserve">Feature Importance (cont.):  children 2.21% |  region 1.07% |  sex 0.42% |</w:t>
            </w:r>
          </w:p>
        </w:tc>
      </w:tr>
      <w:tr>
        <w:trPr/>
        <w:tc>
          <w:p w14:paraId="00100246" w14:textId="00100247">
            <w:r>
              <w:t xml:space="preserve">Model Comparison (horizontal bar):  Gradient Boosting 89.36%  Random Forest 89.21%  Lin. Reg 80.68%  Lasso 80.68%  Ridge 79.61%</w:t>
            </w:r>
          </w:p>
        </w:tc>
      </w:tr>
      <w:tr>
        <w:trPr/>
        <w:tc>
          <w:p w14:paraId="00100248" w14:textId="00100249">
            <w:r>
              <w:t xml:space="preserve">Train/Test Split — Training (1,069 records): R2 93.09%  MAE Rs 1,703  RMSE Rs 3,076</w:t>
            </w:r>
          </w:p>
        </w:tc>
      </w:tr>
      <w:tr>
        <w:trPr/>
        <w:tc>
          <w:p w14:paraId="0010024A" w14:textId="0010024B">
            <w:r>
              <w:t xml:space="preserve">Train/Test Split — Test (268 records): R2 89.36%  MAE Rs 2,572  RMSE Rs 4,422</w:t>
            </w:r>
          </w:p>
        </w:tc>
      </w:tr>
      <w:tr>
        <w:trPr/>
        <w:tc>
          <w:p w14:paraId="0010024C" w14:textId="0010024D">
            <w:r>
              <w:t xml:space="preserve">Source: model/evaluation_results.json — all metrics are real values from the trained Gradient Boosting pipeline</w:t>
            </w:r>
          </w:p>
        </w:tc>
      </w:tr>
    </w:tbl>
    <w:p w14:paraId="0010024E" w14:textId="0010024F">
      <w:pPr>
        <w:spacing w:after="280"/>
        <w:jc w:val="center"/>
      </w:pPr>
      <w:r>
        <w:rPr>
          <w:color w:val="555555"/>
          <w:sz w:val="20"/>
        </w:rPr>
        <w:t xml:space="preserve">Figure 5: Model Performance Section — R2/MAE/RMSE metric cards, feature importance bars, horizontal model comparison chart, and train/test split performance table.</w:t>
      </w:r>
    </w:p>
    <w:p w14:paraId="00100252" w14:textId="00100253">
      <w:pPr>
        <w:pStyle w:val="Heading1"/>
        <w:spacing w:before="320" w:after="160"/>
      </w:pPr>
      <w:r>
        <w:rPr>
          <w:b/>
          <w:color w:val="1A3C5E"/>
          <w:sz w:val="32"/>
        </w:rPr>
        <w:t xml:space="preserve">16. Prediction Workflow</w:t>
      </w:r>
    </w:p>
    <w:p w14:paraId="00100254" w14:textId="00100255">
      <w:pPr>
        <w:spacing w:after="160"/>
      </w:pPr>
      <w:r>
        <w:rPr>
          <w:sz w:val="22"/>
        </w:rPr>
        <w:t xml:space="preserve">The following steps describe the complete user journey from opening the application to receiving a healthcare cost prediction:</w:t>
      </w:r>
    </w:p>
    <w:p w14:paraId="00100256" w14:textId="00100257">
      <w:pPr>
        <w:spacing w:after="100"/>
      </w:pPr>
      <w:r>
        <w:rPr>
          <w:sz w:val="22"/>
        </w:rPr>
        <w:t xml:space="preserve">Step 1 — Open Application:  The user navigates to http://127.0.0.1:5000/ in a browser. The Flask server serves index.html and the browser immediately fires three parallel API requests: /api/stats, /api/model-metrics, and /api/chart-data.</w:t>
      </w:r>
    </w:p>
    <w:p w14:paraId="00100258" w14:textId="00100259">
      <w:pPr>
        <w:spacing w:after="100"/>
      </w:pPr>
      <w:r>
        <w:rPr>
          <w:sz w:val="22"/>
        </w:rPr>
        <w:t xml:space="preserve">Step 2 — Dashboard Populates:  Within milliseconds, the hero stats, statistics bar, KPI cards, and five Chart.js charts populate with live data from the backend. The model R2 score (89.36%) appears in the hero section and stats bar.</w:t>
      </w:r>
    </w:p>
    <w:p w14:paraId="0010025A" w14:textId="0010025B">
      <w:pPr>
        <w:spacing w:after="100"/>
      </w:pPr>
      <w:r>
        <w:rPr>
          <w:sz w:val="22"/>
        </w:rPr>
        <w:t xml:space="preserve">Step 3 — Navigate to Prediction:  The user clicks the Get Prediction button in the navigation bar or Start Prediction in the hero section. The browser smoothly scrolls to the prediction form.</w:t>
      </w:r>
    </w:p>
    <w:p w14:paraId="0010025C" w14:textId="0010025D">
      <w:pPr>
        <w:spacing w:after="100"/>
      </w:pPr>
      <w:r>
        <w:rPr>
          <w:sz w:val="22"/>
        </w:rPr>
        <w:t xml:space="preserve">Step 4 — Enter Health Profile:  The user fills in six fields: age (e.g. 35), BMI (e.g. 26.5), biological sex (Male), number of children (1), smoking status (Non-Smoker), and US region (Northeast).</w:t>
      </w:r>
    </w:p>
    <w:p w14:paraId="0010025E" w14:textId="0010025F">
      <w:pPr>
        <w:spacing w:after="100"/>
      </w:pPr>
      <w:r>
        <w:rPr>
          <w:sz w:val="22"/>
        </w:rPr>
        <w:t xml:space="preserve">Step 5 — Client-Side Validation:  On clicking Predict Healthcare Cost, the JavaScript validateForm() function checks all six fields against the same rules as the backend. If any field fails, a red error message appears below that specific field and the API call is suppressed.</w:t>
      </w:r>
    </w:p>
    <w:p w14:paraId="00100260" w14:textId="00100261">
      <w:pPr>
        <w:spacing w:after="100"/>
      </w:pPr>
      <w:r>
        <w:rPr>
          <w:sz w:val="22"/>
        </w:rPr>
        <w:t xml:space="preserve">Step 6 — API Call:  If client-side validation passes, the frontend sends an HTTP POST request to /api/predict with a JSON body containing the six field values. The button shows a loading spinner and is disabled during the request.</w:t>
      </w:r>
    </w:p>
    <w:p w14:paraId="00100262" w14:textId="00100263">
      <w:pPr>
        <w:spacing w:after="100"/>
      </w:pPr>
      <w:r>
        <w:rPr>
          <w:sz w:val="22"/>
        </w:rPr>
        <w:t xml:space="preserve">Step 7 — Server-Side Processing:  The Flask backend validates the input using validate_input(). The normalised input is passed as a single-row pandas DataFrame to the pipeline.predict() method. The ColumnTransformer preprocesses the row and the Gradient Boosting estimator generates a prediction.</w:t>
      </w:r>
    </w:p>
    <w:p w14:paraId="00100264" w14:textId="00100265">
      <w:pPr>
        <w:spacing w:after="100"/>
      </w:pPr>
      <w:r>
        <w:rPr>
          <w:sz w:val="22"/>
        </w:rPr>
        <w:t xml:space="preserve">Step 8 — Risk Categorisation:  Risk thresholds are applied: below Rs 5,000 = Low; Rs 5,000-14,999 = Moderate; Rs 15,000-29,999 = High; Rs 30,000 or above = Very High. The result includes predicted cost, risk category, risk colour, and the input summary.</w:t>
      </w:r>
    </w:p>
    <w:p w14:paraId="00100266" w14:textId="00100267">
      <w:pPr>
        <w:spacing w:after="100"/>
      </w:pPr>
      <w:r>
        <w:rPr>
          <w:sz w:val="22"/>
        </w:rPr>
        <w:t xml:space="preserve">Step 9 — Render Result:  The frontend receives the JSON response and calls renderResult(). The result card shows the annual cost in Rs (large display), the monthly estimate, a colour-coded risk ribbon, and a six-cell profile summary grid. For the example inputs above, the predicted cost is Rs 5,138 (Moderate Risk).</w:t>
      </w:r>
    </w:p>
    <w:p w14:paraId="00100268" w14:textId="00100269">
      <w:pPr>
        <w:spacing w:after="0"/>
      </w:pPr>
      <w:r>
        <w:rPr>
          <w:sz w:val="22"/>
        </w:rPr>
        <w:t xml:space="preserve">Step 10 — New Prediction:  The user clicks New Prediction to reset the form and return to the placeholder state, ready to enter a new health profile.</w:t>
      </w:r>
    </w:p>
    <w:p w14:paraId="0010026A" w14:textId="0010026B">
      <w:pPr>
        <w:pStyle w:val="Heading1"/>
        <w:spacing w:before="320" w:after="160"/>
      </w:pPr>
      <w:r>
        <w:rPr>
          <w:b/>
          <w:color w:val="1A3C5E"/>
          <w:sz w:val="32"/>
        </w:rPr>
        <w:t xml:space="preserve">17. Results and Discussion</w:t>
      </w:r>
    </w:p>
    <w:p w14:paraId="0010026C" w14:textId="0010026D">
      <w:pPr>
        <w:spacing w:after="160"/>
      </w:pPr>
      <w:r>
        <w:rPr>
          <w:sz w:val="22"/>
        </w:rPr>
        <w:t xml:space="preserve">The Gradient Boosting Regressor achieved the best test R2 score of 89.36% among all five candidates, explaining nearly 90% of the variance in annual healthcare costs on the unseen test set. The test MAE of $2,571.67 means that on average, the model prediction is within approximately $2,572 of the actual insurance charge — a meaningful level of accuracy given that the target spans a range of over $62,000.</w:t>
      </w:r>
    </w:p>
    <w:p w14:paraId="0010026E" w14:textId="0010026F">
      <w:pPr>
        <w:spacing w:after="160"/>
      </w:pPr>
      <w:r>
        <w:rPr>
          <w:sz w:val="22"/>
        </w:rPr>
        <w:t xml:space="preserve">The small gap between training R2 (93.09%) and test R2 (89.36%) indicates modest overfitting, which is expected and acceptable for a gradient boosting model. The regularisation parameters (subsample=0.8, min_samples_leaf=3, min_samples_split=5) successfully controlled this gap. The 5-fold cross-validation R2 of 84.27% provides a conservative, variance-robust estimate of out-of-sample performance.</w:t>
      </w:r>
    </w:p>
    <w:p w14:paraId="00100270" w14:textId="00100271">
      <w:pPr>
        <w:spacing w:after="160"/>
      </w:pPr>
      <w:r>
        <w:rPr>
          <w:sz w:val="22"/>
        </w:rPr>
        <w:t xml:space="preserve">The feature importance analysis reveals that smoker (61.82%), BMI (21.19%), and age (13.28%) together account for 96.29% of prediction weight. This is consistent with established actuarial knowledge: smoking dramatically increases medical utilisation, BMI correlates with chronic conditions, and age is a fundamental underwriting variable. The low importance of sex (0.42%) suggests that once smoking, BMI, and age are accounted for, biological sex has negligible independent effect on costs in this dataset.</w:t>
      </w:r>
    </w:p>
    <w:p w14:paraId="00100272" w14:textId="00100273">
      <w:pPr>
        <w:spacing w:after="0"/>
      </w:pPr>
      <w:r>
        <w:rPr>
          <w:sz w:val="22"/>
        </w:rPr>
        <w:t xml:space="preserve">The dashboard visualisations effectively communicate the dataset patterns. The age-versus-charges scatter plot visually demonstrates the near-complete separation between smoker and non-smoker cost levels. The doughnut chart highlights the 3.8x cost multiplier for smokers. The histogram confirms the right-skewed distribution, which motivated the selection of an ensemble method capable of handling non-linear relationships.</w:t>
      </w:r>
    </w:p>
    <w:p w14:paraId="00100274" w14:textId="00100275">
      <w:pPr>
        <w:pStyle w:val="Heading1"/>
        <w:spacing w:before="320" w:after="160"/>
      </w:pPr>
      <w:r>
        <w:rPr>
          <w:b/>
          <w:color w:val="1A3C5E"/>
          <w:sz w:val="32"/>
        </w:rPr>
        <w:t xml:space="preserve">18. Advantages</w:t>
      </w:r>
    </w:p>
    <w:p w14:paraId="00100276" w14:textId="00100277">
      <w:pPr>
        <w:spacing w:after="80"/>
      </w:pPr>
      <w:r>
        <w:rPr>
          <w:sz w:val="22"/>
        </w:rPr>
        <w:t xml:space="preserve">1.  High Prediction Accuracy: An R2 of 89.36% on the held-out test set makes predictions useful for financial planning purposes.</w:t>
      </w:r>
    </w:p>
    <w:p w14:paraId="00100278" w14:textId="00100279">
      <w:pPr>
        <w:spacing w:after="80"/>
      </w:pPr>
      <w:r>
        <w:rPr>
          <w:sz w:val="22"/>
        </w:rPr>
        <w:t xml:space="preserve">2.  Full-Stack, Self-Contained Application: The entire application runs from a single python backend/app.py command with no external database or cloud dependency.</w:t>
      </w:r>
    </w:p>
    <w:p w14:paraId="0010027A" w14:textId="0010027B">
      <w:pPr>
        <w:spacing w:after="80"/>
      </w:pPr>
      <w:r>
        <w:rPr>
          <w:sz w:val="22"/>
        </w:rPr>
        <w:t xml:space="preserve">3.  Transparent Model: Feature importance scores are shown in the UI, allowing users to understand which factors most influence their predicted cost.</w:t>
      </w:r>
    </w:p>
    <w:p w14:paraId="0010027C" w14:textId="0010027D">
      <w:pPr>
        <w:spacing w:after="80"/>
      </w:pPr>
      <w:r>
        <w:rPr>
          <w:sz w:val="22"/>
        </w:rPr>
        <w:t xml:space="preserve">4.  Two-Layer Input Validation: Client-side JavaScript and server-side Python validation catch invalid inputs with helpful, field-specific error messages.</w:t>
      </w:r>
    </w:p>
    <w:p w14:paraId="0010027E" w14:textId="0010027F">
      <w:pPr>
        <w:spacing w:after="80"/>
      </w:pPr>
      <w:r>
        <w:rPr>
          <w:sz w:val="22"/>
        </w:rPr>
        <w:t xml:space="preserve">5.  Pre-Trained Pipeline: The model is trained once and saved to disk. API responses are near-instant because computation is done offline, not per-request.</w:t>
      </w:r>
    </w:p>
    <w:p w14:paraId="00100280" w14:textId="00100281">
      <w:pPr>
        <w:spacing w:after="0"/>
      </w:pPr>
      <w:r>
        <w:rPr>
          <w:sz w:val="22"/>
        </w:rPr>
        <w:t xml:space="preserve">6.  Responsive Design: The interface works correctly on desktop, tablet, and mobile screens without requiring a native app.</w:t>
      </w:r>
    </w:p>
    <w:p w14:paraId="00100282" w14:textId="00100283">
      <w:pPr>
        <w:pStyle w:val="Heading1"/>
        <w:spacing w:before="320" w:after="160"/>
      </w:pPr>
      <w:r>
        <w:rPr>
          <w:b/>
          <w:color w:val="1A3C5E"/>
          <w:sz w:val="32"/>
        </w:rPr>
        <w:t xml:space="preserve">19. Limitations</w:t>
      </w:r>
    </w:p>
    <w:p w14:paraId="00100284" w14:textId="00100285">
      <w:pPr>
        <w:spacing w:after="80"/>
      </w:pPr>
      <w:r>
        <w:rPr>
          <w:sz w:val="22"/>
        </w:rPr>
        <w:t xml:space="preserve">1.  Dataset Scope: The model is trained on US insurance data. It may not generalise to other countries, healthcare systems, or time periods with different cost structures.</w:t>
      </w:r>
    </w:p>
    <w:p w14:paraId="00100286" w14:textId="00100287">
      <w:pPr>
        <w:spacing w:after="80"/>
      </w:pPr>
      <w:r>
        <w:rPr>
          <w:sz w:val="22"/>
        </w:rPr>
        <w:t xml:space="preserve">2.  Limited Feature Set: Only six predictors are available. Real-world insurance pricing uses many additional variables including pre-existing conditions, claims history, and plan type.</w:t>
      </w:r>
    </w:p>
    <w:p w14:paraId="00100288" w14:textId="00100289">
      <w:pPr>
        <w:spacing w:after="80"/>
      </w:pPr>
      <w:r>
        <w:rPr>
          <w:sz w:val="22"/>
        </w:rPr>
        <w:t xml:space="preserve">3.  Dataset Size: 1,337 records is relatively small. A larger dataset would likely improve generalisation and reduce the 3.73 percentage-point train-test R2 gap.</w:t>
      </w:r>
    </w:p>
    <w:p w14:paraId="0010028A" w14:textId="0010028B">
      <w:pPr>
        <w:spacing w:after="80"/>
      </w:pPr>
      <w:r>
        <w:rPr>
          <w:sz w:val="22"/>
        </w:rPr>
        <w:t xml:space="preserve">4.  Currency Display: Charges in the source dataset are in US Dollars. The Rs symbol is applied numerically without actual exchange-rate conversion.</w:t>
      </w:r>
    </w:p>
    <w:p w14:paraId="0010028C" w14:textId="0010028D">
      <w:pPr>
        <w:spacing w:after="0"/>
      </w:pPr>
      <w:r>
        <w:rPr>
          <w:sz w:val="22"/>
        </w:rPr>
        <w:t xml:space="preserve">5.  Development Server: Flask's built-in development server is not suitable for production deployment. A production WSGI server (Gunicorn, uWSGI) would be required.</w:t>
      </w:r>
    </w:p>
    <w:p w14:paraId="0010028E" w14:textId="0010028F">
      <w:pPr>
        <w:pStyle w:val="Heading1"/>
        <w:spacing w:before="320" w:after="160"/>
      </w:pPr>
      <w:r>
        <w:rPr>
          <w:b/>
          <w:color w:val="1A3C5E"/>
          <w:sz w:val="32"/>
        </w:rPr>
        <w:t xml:space="preserve">20. Future Scope</w:t>
      </w:r>
    </w:p>
    <w:p w14:paraId="00100290" w14:textId="00100291">
      <w:pPr>
        <w:spacing w:after="80"/>
      </w:pPr>
      <w:r>
        <w:rPr>
          <w:sz w:val="22"/>
        </w:rPr>
        <w:t xml:space="preserve">1.  Feature Engineering: BMI category, age brackets, and BMI-smoker interaction terms could improve accuracy.</w:t>
      </w:r>
    </w:p>
    <w:p w14:paraId="00100292" w14:textId="00100293">
      <w:pPr>
        <w:spacing w:after="80"/>
      </w:pPr>
      <w:r>
        <w:rPr>
          <w:sz w:val="22"/>
        </w:rPr>
        <w:t xml:space="preserve">2.  Deep Learning: Neural network architectures with dropout regularisation on a larger dataset could yield higher performance.</w:t>
      </w:r>
    </w:p>
    <w:p w14:paraId="00100294" w14:textId="00100295">
      <w:pPr>
        <w:spacing w:after="80"/>
      </w:pPr>
      <w:r>
        <w:rPr>
          <w:sz w:val="22"/>
        </w:rPr>
        <w:t xml:space="preserve">3.  Live Exchange Rate: Connecting to a currency exchange API would enable accurate INR/USD conversion.</w:t>
      </w:r>
    </w:p>
    <w:p w14:paraId="00100296" w14:textId="00100297">
      <w:pPr>
        <w:spacing w:after="80"/>
      </w:pPr>
      <w:r>
        <w:rPr>
          <w:sz w:val="22"/>
        </w:rPr>
        <w:t xml:space="preserve">4.  User Accounts and History: Adding authentication and a database would allow users to save and compare multiple predictions over time.</w:t>
      </w:r>
    </w:p>
    <w:p w14:paraId="00100298" w14:textId="00100299">
      <w:pPr>
        <w:spacing w:after="80"/>
      </w:pPr>
      <w:r>
        <w:rPr>
          <w:sz w:val="22"/>
        </w:rPr>
        <w:t xml:space="preserve">5.  Cloud Deployment: Containerising with Docker and deploying to a cloud provider (AWS, Azure, GCP) would make MediCost AI publicly accessible.</w:t>
      </w:r>
    </w:p>
    <w:p w14:paraId="0010029A" w14:textId="0010029B">
      <w:pPr>
        <w:spacing w:after="0"/>
      </w:pPr>
      <w:r>
        <w:rPr>
          <w:sz w:val="22"/>
        </w:rPr>
        <w:t xml:space="preserve">6.  Hyperparameter Optimisation: Automated search (GridSearchCV, Optuna) could further improve model performance beyond the current manual tuning.</w:t>
      </w:r>
    </w:p>
    <w:p w14:paraId="0010029C" w14:textId="0010029D">
      <w:pPr>
        <w:pStyle w:val="Heading1"/>
        <w:spacing w:before="320" w:after="160"/>
      </w:pPr>
      <w:r>
        <w:rPr>
          <w:b/>
          <w:color w:val="1A3C5E"/>
          <w:sz w:val="32"/>
        </w:rPr>
        <w:t xml:space="preserve">21. Conclusion</w:t>
      </w:r>
    </w:p>
    <w:p w14:paraId="0010029E" w14:textId="0010029F">
      <w:pPr>
        <w:spacing w:after="160"/>
      </w:pPr>
      <w:r>
        <w:rPr>
          <w:sz w:val="22"/>
        </w:rPr>
        <w:t xml:space="preserve">This project successfully demonstrates the design and deployment of an end-to-end machine learning application for healthcare cost prediction. The MediCost AI system combines a rigorously evaluated Gradient Boosting Regressor with a professional, responsive web interface to make insurance cost estimation accessible and transparent.</w:t>
      </w:r>
    </w:p>
    <w:p w14:paraId="001002A0" w14:textId="001002A1">
      <w:pPr>
        <w:spacing w:after="160"/>
      </w:pPr>
      <w:r>
        <w:rPr>
          <w:sz w:val="22"/>
        </w:rPr>
        <w:t xml:space="preserve">The Gradient Boosting pipeline achieves a test R2 of 89.36%, a MAE of $2,571.67, and an RMSE of $4,421.74, outperforming all four baseline algorithms on the held-out test set. Feature importance confirms that smoking status, BMI, and age are the three dominant cost predictors, accounting for over 96% of prediction weight.</w:t>
      </w:r>
    </w:p>
    <w:p w14:paraId="001002A2" w14:textId="001002A3">
      <w:pPr>
        <w:spacing w:after="0"/>
      </w:pPr>
      <w:r>
        <w:rPr>
          <w:sz w:val="22"/>
        </w:rPr>
        <w:t xml:space="preserve">The Flask REST API cleanly separates concerns: the backend handles all data loading, preprocessing, prediction, and metric computation; the frontend is a pure presentation layer. The entire application runs from a single command with no external dependencies beyond the listed pip packages. This project illustrates the complete data science workflow in a form that is maintainable, extensible, and accessible to non-technical end users through the browser-based interface.</w:t>
      </w:r>
    </w:p>
    <w:p w14:paraId="001002A4" w14:textId="001002A5">
      <w:pPr>
        <w:pStyle w:val="Heading1"/>
        <w:spacing w:before="320" w:after="200"/>
      </w:pPr>
      <w:r>
        <w:rPr>
          <w:b/>
          <w:color w:val="1A3C5E"/>
          <w:sz w:val="32"/>
        </w:rPr>
        <w:t xml:space="preserve">22. References</w:t>
      </w:r>
    </w:p>
    <w:p w14:paraId="001002A6" w14:textId="001002A7">
      <w:pPr>
        <w:spacing w:after="100"/>
      </w:pPr>
      <w:r>
        <w:rPr>
          <w:sz w:val="22"/>
        </w:rPr>
        <w:t xml:space="preserve">[1]  Miri Choi, Medical Cost Personal Datasets, Kaggle, 2018. Original source: Brett Lantz, Machine Learning with R, Packt Publishing, 2013.</w:t>
      </w:r>
    </w:p>
    <w:p w14:paraId="001002A8" w14:textId="001002A9">
      <w:pPr>
        <w:spacing w:after="100"/>
      </w:pPr>
      <w:r>
        <w:rPr>
          <w:sz w:val="22"/>
        </w:rPr>
        <w:t xml:space="preserve">[2]  Friedman, J.H. (2001). Greedy function approximation: A gradient boosting machine. Annals of Statistics, 29(5), 1189-1232.</w:t>
      </w:r>
    </w:p>
    <w:p w14:paraId="001002AA" w14:textId="001002AB">
      <w:pPr>
        <w:spacing w:after="100"/>
      </w:pPr>
      <w:r>
        <w:rPr>
          <w:sz w:val="22"/>
        </w:rPr>
        <w:t xml:space="preserve">[3]  Pedregosa, F. et al. (2011). Scikit-learn: Machine learning in Python. Journal of Machine Learning Research, 12, 2825-2830.</w:t>
      </w:r>
    </w:p>
    <w:p w14:paraId="001002AC" w14:textId="001002AD">
      <w:pPr>
        <w:spacing w:after="100"/>
      </w:pPr>
      <w:r>
        <w:rPr>
          <w:sz w:val="22"/>
        </w:rPr>
        <w:t xml:space="preserve">[4]  Geron, A. (2022). Hands-On Machine Learning with Scikit-Learn, Keras, and TensorFlow (3rd ed.). O'Reilly Media.</w:t>
      </w:r>
    </w:p>
    <w:p w14:paraId="001002AE" w14:textId="001002AF">
      <w:pPr>
        <w:spacing w:after="100"/>
      </w:pPr>
      <w:r>
        <w:rPr>
          <w:sz w:val="22"/>
        </w:rPr>
        <w:t xml:space="preserve">[5]  Ronacher, A. et al. Flask Web Framework. https://flask.palletsprojects.com/ (version 3.1.3 used in this project).</w:t>
      </w:r>
    </w:p>
    <w:p w14:paraId="001002B0" w14:textId="001002B1">
      <w:pPr>
        <w:spacing w:after="100"/>
      </w:pPr>
      <w:r>
        <w:rPr>
          <w:sz w:val="22"/>
        </w:rPr>
        <w:t xml:space="preserve">[6]  Chart.js Contributors. Chart.js: Simple yet flexible JavaScript charting. https://www.chartjs.org/ (version 4.4.0 used in this project).</w:t>
      </w:r>
    </w:p>
    <w:p w14:paraId="001002B2" w14:textId="001002B3">
      <w:pPr>
        <w:spacing w:after="100"/>
      </w:pPr>
      <w:r>
        <w:rPr>
          <w:sz w:val="22"/>
        </w:rPr>
        <w:t xml:space="preserve">[7]  McKinney, W. (2010). Data structures for statistical computing in Python. Proceedings of the 9th Python in Science Conference, 51-56.</w:t>
      </w:r>
    </w:p>
    <w:p w14:paraId="001002B4" w14:textId="001002B5">
      <w:pPr>
        <w:spacing w:after="100"/>
      </w:pPr>
      <w:r>
        <w:rPr>
          <w:sz w:val="22"/>
        </w:rPr>
        <w:t xml:space="preserve">[8]  Hoerl, A.E. and Kennard, R.W. (1970). Ridge regression: Biased estimation for nonorthogonal problems. Technometrics, 12(1), 55-67.</w:t>
      </w:r>
    </w:p>
    <w:p w14:paraId="001002B6" w14:textId="001002B7">
      <w:pPr>
        <w:spacing w:after="100"/>
      </w:pPr>
      <w:r>
        <w:rPr>
          <w:sz w:val="22"/>
        </w:rPr>
        <w:t xml:space="preserve">[9]  Tibshirani, R. (1996). Regression shrinkage and selection via the Lasso. Journal of the Royal Statistical Society, Series B, 58(1), 267-288.</w:t>
      </w:r>
    </w:p>
    <w:p w14:paraId="001002B8" w14:textId="001002B9">
      <w:pPr>
        <w:spacing w:after="0"/>
      </w:pPr>
      <w:r>
        <w:rPr>
          <w:sz w:val="22"/>
        </w:rPr>
        <w:t xml:space="preserve">[10]  Breiman, L. (2001). Random forests. Machine Learning, 45(1), 5-32.</w:t>
      </w:r>
    </w:p>
    <w:sectPr>
      <w:footerReference w:type="default" r:id="R137e42f7b61848f4"/>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250" w14:textId="00100251">
    <w:pPr>
      <w:jc w:val="center"/>
    </w:pPr>
    <w:r>
      <w:rPr>
        <w:color w:val="888888"/>
        <w:sz w:val="18"/>
      </w:rPr>
      <w:t xml:space="preserve">Healthcare Cost Prediction — Project Report   |   MediCost AI</w:t>
    </w:r>
    <w:r>
      <w:rPr>
        <w:color w:val="888888"/>
        <w:sz w:val="18"/>
      </w:rPr>
      <w:fldChar w:fldCharType="begin"/>
    </w:r>
    <w:r>
      <w:rPr>
        <w:color w:val="888888"/>
        <w:sz w:val="18"/>
      </w:rPr>
      <w:instrText xml:space="preserve"> PAGE </w:instrText>
    </w:r>
    <w:r>
      <w:rPr>
        <w:color w:val="888888"/>
        <w:sz w:val="18"/>
      </w:rPr>
      <w:fldChar w:fldCharType="separate"/>
    </w:r>
    <w:r>
      <w:rPr>
        <w:color w:val="888888"/>
        <w:sz w:val="18"/>
      </w:rPr>
      <w:t xml:space="preserve">1</w:t>
    </w:r>
    <w:r>
      <w:rPr>
        <w:color w:val="888888"/>
        <w:sz w:val="18"/>
      </w:rPr>
      <w:fldChar w:fldCharType="end"/>
    </w:r>
  </w:p>
</w:ft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3199e9d751814c01" /><Relationship Type="http://schemas.openxmlformats.org/officeDocument/2006/relationships/styles" Target="/word/styles.xml" Id="R45df19fce6554956" /><Relationship Type="http://schemas.openxmlformats.org/officeDocument/2006/relationships/theme" Target="/word/theme/theme1.xml" Id="R6abb9e0fb6e545d5" /><Relationship Type="http://schemas.openxmlformats.org/officeDocument/2006/relationships/numbering" Target="/word/numbering.xml" Id="Rc3690a5bb3374078" /><Relationship Type="http://schemas.openxmlformats.org/officeDocument/2006/relationships/footer" Target="/word/footer1.xml" Id="R137e42f7b61848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2026-09-22T20:39:00Z</dcterms:created>
  <cp:lastModifiedBy>OfficeCLI</cp:lastModifiedBy>
  <dcterms:modified xsi:type="dcterms:W3CDTF">2026-09-22T20:39:00Z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2026-09-22T20:46:03Z</vt:lpwstr>
  </op:property>
</op:Properties>
</file>