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06be2b1c6e1f4e56" /><Relationship Type="http://schemas.openxmlformats.org/package/2006/relationships/metadata/core-properties" Target="/docProps/core.xml" Id="R10d8a150b416405e" /><Relationship Type="http://schemas.openxmlformats.org/officeDocument/2006/relationships/extended-properties" Target="/docProps/app.xml" Id="Rcd1249d67c754eaf" /><Relationship Type="http://schemas.openxmlformats.org/officeDocument/2006/relationships/custom-properties" Target="/docProps/custom.xml" Id="R65cbac939aaa4cc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rPr>
        <w:t xml:space="preserve">SecureScan AI — Project Report</w:t>
      </w:r>
    </w:p>
    <w:p w14:paraId="00100002" w14:textId="00100003">
      <w:pPr>
        <w:pStyle w:val="Subtitle"/>
        <w:spacing w:after="80"/>
        <w:jc w:val="center"/>
      </w:pPr>
      <w:r>
        <w:rPr/>
        <w:t xml:space="preserve">Passive Website Security Configuration Scanner and Risk Analyzer</w:t>
      </w:r>
    </w:p>
    <w:p w14:paraId="00100004" w14:textId="00100005">
      <w:pPr>
        <w:spacing w:after="80"/>
        <w:jc w:val="center"/>
      </w:pPr>
      <w:r>
        <w:rPr>
          <w:sz w:val="20"/>
        </w:rPr>
        <w:t xml:space="preserve">Project Type: Full-Stack Web Application  |  BCA Final Year Capstone Project</w:t>
      </w:r>
    </w:p>
    <w:p w14:paraId="00100006" w14:textId="00100007">
      <w:pPr>
        <w:spacing w:after="280"/>
        <w:jc w:val="center"/>
      </w:pPr>
      <w:r>
        <w:rPr>
          <w:sz w:val="20"/>
        </w:rPr>
        <w:t xml:space="preserve">Stack: Python 3.12 · FastAPI · React 18 · TypeScript · Tailwind CSS · SQLite · Docker</w:t>
      </w:r>
    </w:p>
    <w:p w14:paraId="00100008" w14:textId="00100009">
      <w:pPr>
        <w:pStyle w:val="Heading1"/>
        <w:spacing w:after="120"/>
      </w:pPr>
      <w:r>
        <w:rPr/>
        <w:t xml:space="preserve">Abstract</w:t>
      </w:r>
    </w:p>
    <w:p w14:paraId="0010000A" w14:textId="0010000B">
      <w:pPr>
        <w:spacing w:after="200"/>
      </w:pPr>
      <w:r>
        <w:rPr>
          <w:sz w:val="22"/>
        </w:rPr>
        <w:t xml:space="preserve">SecureScan AI is a full-stack web application that passively checks the publicly observable security configuration of a website. A user enters a public URL; the FastAPI backend validates the destination, performs bounded HTTP and TLS observations, and returns a structured report that a React dashboard renders as a score ring, severity charts, header checklist, cookie inspection, public signal log, and an expandable evidence panel with plain-language finding explanations. The project demonstrates frontend engineering, backend API design, secure input handling, passive cybersecurity analysis, local explainable-AI-style reasoning, test automation and deployment documentation — without requiring a paid AI service key.</w:t>
      </w:r>
    </w:p>
    <w:p w14:paraId="0010000C" w14:textId="0010000D">
      <w:pPr>
        <w:pStyle w:val="Heading1"/>
        <w:spacing w:before="200" w:after="120"/>
      </w:pPr>
      <w:r>
        <w:rPr/>
        <w:t xml:space="preserve">1. Problem Statement</w:t>
      </w:r>
    </w:p>
    <w:p w14:paraId="0010000E" w14:textId="0010000F">
      <w:pPr>
        <w:spacing w:after="120"/>
      </w:pPr>
      <w:r>
        <w:rPr>
          <w:sz w:val="22"/>
        </w:rPr>
        <w:t xml:space="preserve">Many website owners and junior developers know that HTTPS and security headers matter, but have no straightforward way to verify whether their public site exposes those controls correctly. Professional security products are expensive, complex to operate, or too broad for a first assessment.</w:t>
      </w:r>
    </w:p>
    <w:p w14:paraId="00100010" w14:textId="00100011">
      <w:pPr>
        <w:spacing w:after="120"/>
      </w:pPr>
      <w:r>
        <w:rPr>
          <w:sz w:val="22"/>
        </w:rPr>
        <w:t xml:space="preserve">SecureScan AI provides: (1) A safe, evidence-first scanner that makes zero intrusive requests. (2) Plain-language explanations that help a beginner understand what each finding means. (3) A transparent scoring model that honestly states what it measures and what it does not.</w:t>
      </w:r>
    </w:p>
    <w:p w14:paraId="00100012" w14:textId="00100013">
      <w:pPr>
        <w:spacing w:after="200"/>
      </w:pPr>
      <w:r>
        <w:rPr>
          <w:sz w:val="22"/>
        </w:rPr>
        <w:t xml:space="preserve">The educational value is twofold: the application is useful to its end users, and its source code is a studied example of how to build responsible security tooling.</w:t>
      </w:r>
    </w:p>
    <w:p w14:paraId="00100014" w14:textId="00100015">
      <w:pPr>
        <w:pStyle w:val="Heading1"/>
        <w:spacing w:before="200" w:after="120"/>
      </w:pPr>
      <w:r>
        <w:rPr/>
        <w:t xml:space="preserve">2. Objectives</w:t>
      </w:r>
    </w:p>
    <w:p w14:paraId="00100016" w14:textId="00100017">
      <w:pPr>
        <w:spacing w:after="60"/>
      </w:pPr>
      <w:r>
        <w:rPr>
          <w:sz w:val="22"/>
        </w:rPr>
        <w:t xml:space="preserve">1. Accept real user-entered URLs, not a fixed demo list — Implemented</w:t>
      </w:r>
    </w:p>
    <w:p w14:paraId="00100018" w14:textId="00100019">
      <w:pPr>
        <w:spacing w:after="60"/>
      </w:pPr>
      <w:r>
        <w:rPr>
          <w:sz w:val="22"/>
        </w:rPr>
        <w:t xml:space="preserve">2. Validate public destinations and reject SSRF targets — Implemented</w:t>
      </w:r>
    </w:p>
    <w:p w14:paraId="0010001A" w14:textId="0010001B">
      <w:pPr>
        <w:spacing w:after="60"/>
      </w:pPr>
      <w:r>
        <w:rPr>
          <w:sz w:val="22"/>
        </w:rPr>
        <w:t xml:space="preserve">3. Inspect HTTPS/TLS, security headers, cookies, public signals, mixed content — Implemented</w:t>
      </w:r>
    </w:p>
    <w:p w14:paraId="0010001C" w14:textId="0010001D">
      <w:pPr>
        <w:spacing w:after="60"/>
      </w:pPr>
      <w:r>
        <w:rPr>
          <w:sz w:val="22"/>
        </w:rPr>
        <w:t xml:space="preserve">4. Detect weakening CSP directives (unsafe-inline, unsafe-eval, wildcards) — Implemented</w:t>
      </w:r>
    </w:p>
    <w:p w14:paraId="0010001E" w14:textId="0010001F">
      <w:pPr>
        <w:spacing w:after="60"/>
      </w:pPr>
      <w:r>
        <w:rPr>
          <w:sz w:val="22"/>
        </w:rPr>
        <w:t xml:space="preserve">5. Produce a deterministic, deduplicated weighted score — Implemented</w:t>
      </w:r>
    </w:p>
    <w:p w14:paraId="00100020" w14:textId="00100021">
      <w:pPr>
        <w:spacing w:after="60"/>
      </w:pPr>
      <w:r>
        <w:rPr>
          <w:sz w:val="22"/>
        </w:rPr>
        <w:t xml:space="preserve">6. Export reports as JSON and PDF — Implemented</w:t>
      </w:r>
    </w:p>
    <w:p w14:paraId="00100022" w14:textId="00100023">
      <w:pPr>
        <w:spacing w:after="60"/>
      </w:pPr>
      <w:r>
        <w:rPr>
          <w:sz w:val="22"/>
        </w:rPr>
        <w:t xml:space="preserve">7. Provide per-finding evidence, risk description and recommended fix — Implemented</w:t>
      </w:r>
    </w:p>
    <w:p w14:paraId="00100024" w14:textId="00100025">
      <w:pPr>
        <w:spacing w:after="60"/>
      </w:pPr>
      <w:r>
        <w:rPr>
          <w:sz w:val="22"/>
        </w:rPr>
        <w:t xml:space="preserve">8. Store history in SQLite without requiring external infrastructure — Implemented</w:t>
      </w:r>
    </w:p>
    <w:p w14:paraId="00100026" w14:textId="00100027">
      <w:pPr>
        <w:spacing w:after="60"/>
      </w:pPr>
      <w:r>
        <w:rPr>
          <w:sz w:val="22"/>
        </w:rPr>
        <w:t xml:space="preserve">9. Pass a full mocked test suite; no test depends on a live website — Implemented</w:t>
      </w:r>
    </w:p>
    <w:p w14:paraId="00100028" w14:textId="00100029">
      <w:pPr>
        <w:spacing w:after="200"/>
      </w:pPr>
      <w:r>
        <w:rPr>
          <w:sz w:val="22"/>
        </w:rPr>
        <w:t xml:space="preserve">10. Support Docker, Vercel and Python-host deployment — Documented</w:t>
      </w:r>
    </w:p>
    <w:p w14:paraId="0010002A" w14:textId="0010002B">
      <w:pPr>
        <w:pStyle w:val="Heading1"/>
        <w:spacing w:before="200" w:after="120"/>
      </w:pPr>
      <w:r>
        <w:rPr/>
        <w:t xml:space="preserve">3. System Design</w:t>
      </w:r>
    </w:p>
    <w:p w14:paraId="0010002C" w14:textId="0010002D">
      <w:pPr>
        <w:pStyle w:val="Heading2"/>
        <w:spacing w:after="80"/>
      </w:pPr>
      <w:r>
        <w:rPr/>
        <w:t xml:space="preserve">3.1 Overall Architecture</w:t>
      </w:r>
    </w:p>
    <w:p w14:paraId="0010002E" w14:textId="0010002F">
      <w:pPr>
        <w:spacing w:after="120"/>
      </w:pPr>
      <w:r>
        <w:rPr>
          <w:sz w:val="22"/>
        </w:rPr>
        <w:t xml:space="preserve">The React + TypeScript frontend communicates with the FastAPI backend over JSON. The Vite development server proxies /api and /health to FastAPI, eliminating CORS issues in development. In production the frontend is deployed as a static site on Vercel and the backend runs in a Python container on a cloud host.</w:t>
      </w:r>
    </w:p>
    <w:p w14:paraId="00100030" w14:textId="00100031">
      <w:pPr>
        <w:numPr>
          <w:ilvl w:val="0"/>
          <w:numId w:val="1"/>
        </w:numPr>
        <w:spacing w:after="40"/>
      </w:pPr>
      <w:r>
        <w:rPr>
          <w:sz w:val="20"/>
        </w:rPr>
        <w:t xml:space="preserve">config.py — URL normalisation, DNS resolution, SSRF guard</w:t>
      </w:r>
    </w:p>
    <w:p w14:paraId="00100032" w14:textId="00100033">
      <w:pPr>
        <w:numPr>
          <w:ilvl w:val="0"/>
          <w:numId w:val="1"/>
        </w:numPr>
        <w:spacing w:after="40"/>
      </w:pPr>
      <w:r>
        <w:rPr>
          <w:sz w:val="20"/>
        </w:rPr>
        <w:t xml:space="preserve">scanner.py — async httpx client, manual redirect loop, TLS probe</w:t>
      </w:r>
    </w:p>
    <w:p w14:paraId="00100034" w14:textId="00100035">
      <w:pPr>
        <w:numPr>
          <w:ilvl w:val="0"/>
          <w:numId w:val="1"/>
        </w:numPr>
        <w:spacing w:after="40"/>
      </w:pPr>
      <w:r>
        <w:rPr>
          <w:sz w:val="20"/>
        </w:rPr>
        <w:t xml:space="preserve">security_checks.py — header, cookie, signal and redirect analysis</w:t>
      </w:r>
    </w:p>
    <w:p w14:paraId="00100036" w14:textId="00100037">
      <w:pPr>
        <w:numPr>
          <w:ilvl w:val="0"/>
          <w:numId w:val="1"/>
        </w:numPr>
        <w:spacing w:after="40"/>
      </w:pPr>
      <w:r>
        <w:rPr>
          <w:sz w:val="20"/>
        </w:rPr>
        <w:t xml:space="preserve">explanations.py — local rule-based finding catalogue (13 finding types)</w:t>
      </w:r>
    </w:p>
    <w:p w14:paraId="00100038" w14:textId="00100039">
      <w:pPr>
        <w:numPr>
          <w:ilvl w:val="0"/>
          <w:numId w:val="1"/>
        </w:numPr>
        <w:spacing w:after="40"/>
      </w:pPr>
      <w:r>
        <w:rPr>
          <w:sz w:val="20"/>
        </w:rPr>
        <w:t xml:space="preserve">scoring.py — deduplicating weighted score (0–100)</w:t>
      </w:r>
    </w:p>
    <w:p w14:paraId="0010003A" w14:textId="0010003B">
      <w:pPr>
        <w:numPr>
          <w:ilvl w:val="0"/>
          <w:numId w:val="1"/>
        </w:numPr>
        <w:spacing w:after="40"/>
      </w:pPr>
      <w:r>
        <w:rPr>
          <w:sz w:val="20"/>
        </w:rPr>
        <w:t xml:space="preserve">storage.py — SQLite history (optional, volume-mountable)</w:t>
      </w:r>
    </w:p>
    <w:p w14:paraId="0010003C" w14:textId="0010003D">
      <w:pPr>
        <w:numPr>
          <w:ilvl w:val="0"/>
          <w:numId w:val="1"/>
        </w:numPr>
        <w:spacing w:after="160"/>
      </w:pPr>
      <w:r>
        <w:rPr>
          <w:sz w:val="20"/>
        </w:rPr>
        <w:t xml:space="preserve">main.py — FastAPI app, CORS, per-IP rate limit, PDF export</w:t>
      </w:r>
    </w:p>
    <w:p w14:paraId="0010003E" w14:textId="0010003F">
      <w:pPr>
        <w:pStyle w:val="Heading2"/>
        <w:spacing w:after="80"/>
      </w:pPr>
      <w:r>
        <w:rPr/>
        <w:t xml:space="preserve">3.2 Frontend Components</w:t>
      </w:r>
    </w:p>
    <w:p w14:paraId="00100040" w14:textId="00100041">
      <w:pPr>
        <w:numPr>
          <w:ilvl w:val="0"/>
          <w:numId w:val="2"/>
        </w:numPr>
        <w:spacing w:after="60"/>
      </w:pPr>
      <w:r>
        <w:rPr>
          <w:sz w:val="22"/>
        </w:rPr>
        <w:t xml:space="preserve">App.tsx — Single-page dashboard: navigation, scanner form, report composition, history panel</w:t>
      </w:r>
    </w:p>
    <w:p w14:paraId="00100042" w14:textId="00100043">
      <w:pPr>
        <w:numPr>
          <w:ilvl w:val="0"/>
          <w:numId w:val="2"/>
        </w:numPr>
        <w:spacing w:after="60"/>
      </w:pPr>
      <w:r>
        <w:rPr>
          <w:sz w:val="22"/>
        </w:rPr>
        <w:t xml:space="preserve">ScoreRing.tsx — Conic-gradient ring showing the numeric score with colour-coded tone</w:t>
      </w:r>
    </w:p>
    <w:p w14:paraId="00100044" w14:textId="00100045">
      <w:pPr>
        <w:numPr>
          <w:ilvl w:val="0"/>
          <w:numId w:val="2"/>
        </w:numPr>
        <w:spacing w:after="60"/>
      </w:pPr>
      <w:r>
        <w:rPr>
          <w:sz w:val="22"/>
        </w:rPr>
        <w:t xml:space="preserve">ScanCharts.tsx — Recharts donut chart (finding severity mix) and bar chart (header coverage)</w:t>
      </w:r>
    </w:p>
    <w:p w14:paraId="00100046" w14:textId="00100047">
      <w:pPr>
        <w:numPr>
          <w:ilvl w:val="0"/>
          <w:numId w:val="2"/>
        </w:numPr>
        <w:spacing w:after="160"/>
      </w:pPr>
      <w:r>
        <w:rPr>
          <w:sz w:val="22"/>
        </w:rPr>
        <w:t xml:space="preserve">FindingCard.tsx — Expandable card: severity badge, category, evidence code block, risk, recommendation</w:t>
      </w:r>
    </w:p>
    <w:p w14:paraId="00100048" w14:textId="00100049">
      <w:pPr>
        <w:pStyle w:val="Heading2"/>
        <w:spacing w:after="80"/>
      </w:pPr>
      <w:r>
        <w:rPr/>
        <w:t xml:space="preserve">3.3 Backend Module Responsibilities</w:t>
      </w:r>
    </w:p>
    <w:p w14:paraId="0010004A" w14:textId="0010004B">
      <w:pPr>
        <w:spacing w:after="60"/>
      </w:pPr>
      <w:r>
        <w:rPr>
          <w:sz w:val="22"/>
        </w:rPr>
        <w:t xml:space="preserve">config.py: URL normalisation; scheme/port/credential checks; DNS resolution; SSRF IP-block list</w:t>
      </w:r>
    </w:p>
    <w:p w14:paraId="0010004C" w14:textId="0010004D">
      <w:pPr>
        <w:spacing w:after="60"/>
      </w:pPr>
      <w:r>
        <w:rPr>
          <w:sz w:val="22"/>
        </w:rPr>
        <w:t xml:space="preserve">scanner.py: Async HTTP client with manual redirect loop; per-hop URL re-validation; TLS handshake probe; HTTP-HTTPS upgrade probe; robots.txt and sitemap.xml discovery</w:t>
      </w:r>
    </w:p>
    <w:p w14:paraId="0010004E" w14:textId="0010004F">
      <w:pPr>
        <w:spacing w:after="60"/>
      </w:pPr>
      <w:r>
        <w:rPr>
          <w:sz w:val="22"/>
        </w:rPr>
        <w:t xml:space="preserve">security_checks.py: Header inspection (6 headers, CSP directive analysis); cookie attribute checks; server/debug header detection; directory-listing pattern; mixed-content scanning</w:t>
      </w:r>
    </w:p>
    <w:p w14:paraId="00100050" w14:textId="00100051">
      <w:pPr>
        <w:spacing w:after="60"/>
      </w:pPr>
      <w:r>
        <w:rPr>
          <w:sz w:val="22"/>
        </w:rPr>
        <w:t xml:space="preserve">explanations.py: 13 local rules mapping finding codes to titles, categories, descriptions, risk statements, recommendations and score weights</w:t>
      </w:r>
    </w:p>
    <w:p w14:paraId="00100052" w14:textId="00100053">
      <w:pPr>
        <w:spacing w:after="60"/>
      </w:pPr>
      <w:r>
        <w:rPr>
          <w:sz w:val="22"/>
        </w:rPr>
        <w:t xml:space="preserve">scoring.py: Deduplicates findings by ID; applies severity weights; maps score to five labelled bands</w:t>
      </w:r>
    </w:p>
    <w:p w14:paraId="00100054" w14:textId="00100055">
      <w:pPr>
        <w:spacing w:after="60"/>
      </w:pPr>
      <w:r>
        <w:rPr>
          <w:sz w:val="22"/>
        </w:rPr>
        <w:t xml:space="preserve">storage.py: SQLite CRUD for scan history; gracefully handles missing volume paths</w:t>
      </w:r>
    </w:p>
    <w:p w14:paraId="00100056" w14:textId="00100057">
      <w:pPr>
        <w:spacing w:after="60"/>
      </w:pPr>
      <w:r>
        <w:rPr>
          <w:sz w:val="22"/>
        </w:rPr>
        <w:t xml:space="preserve">main.py: FastAPI app with lifespan DB init; CORS middleware; sliding-window per-IP rate limiter; PDF report generation via ReportLab</w:t>
      </w:r>
    </w:p>
    <w:p w14:paraId="00100058" w14:textId="00100059">
      <w:pPr>
        <w:spacing w:after="200"/>
      </w:pPr>
      <w:r>
        <w:rPr>
          <w:sz w:val="22"/>
        </w:rPr>
        <w:t xml:space="preserve">schemas.py: Pydantic models for all request/response shapes including ScanReport, Finding, TlsStatus, ScanSummary</w:t>
      </w:r>
    </w:p>
    <w:p w14:paraId="0010005A" w14:textId="0010005B">
      <w:pPr>
        <w:pStyle w:val="Heading1"/>
        <w:spacing w:before="200" w:after="120"/>
      </w:pPr>
      <w:r>
        <w:rPr/>
        <w:t xml:space="preserve">4. Security Design</w:t>
      </w:r>
    </w:p>
    <w:p w14:paraId="0010005C" w14:textId="0010005D">
      <w:pPr>
        <w:pStyle w:val="Heading2"/>
        <w:spacing w:after="80"/>
      </w:pPr>
      <w:r>
        <w:rPr/>
        <w:t xml:space="preserve">4.1 SSRF Protection</w:t>
      </w:r>
    </w:p>
    <w:p w14:paraId="0010005E" w14:textId="0010005F">
      <w:pPr>
        <w:spacing w:after="80"/>
      </w:pPr>
      <w:r>
        <w:rPr>
          <w:sz w:val="22"/>
        </w:rPr>
        <w:t xml:space="preserve">Server-Side Request Forgery (SSRF) is the primary risk for any scanner that fetches arbitrary user-supplied URLs. SecureScan AI applies a five-layer defence:</w:t>
      </w:r>
    </w:p>
    <w:p w14:paraId="00100060" w14:textId="00100061">
      <w:pPr>
        <w:numPr>
          <w:ilvl w:val="0"/>
          <w:numId w:val="3"/>
        </w:numPr>
        <w:spacing w:after="60"/>
      </w:pPr>
      <w:r>
        <w:rPr>
          <w:sz w:val="22"/>
        </w:rPr>
        <w:t xml:space="preserve">Scheme enforcement — only http:// and https:// are accepted.</w:t>
      </w:r>
    </w:p>
    <w:p w14:paraId="00100062" w14:textId="00100063">
      <w:pPr>
        <w:numPr>
          <w:ilvl w:val="0"/>
          <w:numId w:val="3"/>
        </w:numPr>
        <w:spacing w:after="60"/>
      </w:pPr>
      <w:r>
        <w:rPr>
          <w:sz w:val="22"/>
        </w:rPr>
        <w:t xml:space="preserve">URL normalisation — credentials, fragments, non-standard ports and overly long URLs are rejected before DNS resolution.</w:t>
      </w:r>
    </w:p>
    <w:p w14:paraId="00100064" w14:textId="00100065">
      <w:pPr>
        <w:numPr>
          <w:ilvl w:val="0"/>
          <w:numId w:val="3"/>
        </w:numPr>
        <w:spacing w:after="60"/>
      </w:pPr>
      <w:r>
        <w:rPr>
          <w:sz w:val="22"/>
        </w:rPr>
        <w:t xml:space="preserve">Hostname block-list — localhost, .local, .internal, metadata.google.internal and similar are rejected by name.</w:t>
      </w:r>
    </w:p>
    <w:p w14:paraId="00100066" w14:textId="00100067">
      <w:pPr>
        <w:numPr>
          <w:ilvl w:val="0"/>
          <w:numId w:val="3"/>
        </w:numPr>
        <w:spacing w:after="60"/>
      </w:pPr>
      <w:r>
        <w:rPr>
          <w:sz w:val="22"/>
        </w:rPr>
        <w:t xml:space="preserve">Per-hop DNS resolution — every redirect target is resolved. Private (RFC 1918), loopback, link-local, reserved, multicast, unspecified and cloud-metadata addresses are blocked.</w:t>
      </w:r>
    </w:p>
    <w:p w14:paraId="00100068" w14:textId="00100069">
      <w:pPr>
        <w:numPr>
          <w:ilvl w:val="0"/>
          <w:numId w:val="3"/>
        </w:numPr>
        <w:spacing w:after="120"/>
      </w:pPr>
      <w:r>
        <w:rPr>
          <w:sz w:val="22"/>
        </w:rPr>
        <w:t xml:space="preserve">Re-resolution — the scanner re-resolves on every redirect hop, reducing DNS rebinding risk.</w:t>
      </w:r>
    </w:p>
    <w:p w14:paraId="0010006A" w14:textId="0010006B">
      <w:pPr>
        <w:pStyle w:val="Heading2"/>
        <w:spacing w:after="80"/>
      </w:pPr>
      <w:r>
        <w:rPr/>
        <w:t xml:space="preserve">4.2 Request Budget</w:t>
      </w:r>
    </w:p>
    <w:p w14:paraId="0010006C" w14:textId="0010006D">
      <w:pPr>
        <w:spacing w:after="60"/>
      </w:pPr>
      <w:r>
        <w:rPr>
          <w:sz w:val="22"/>
        </w:rPr>
        <w:t xml:space="preserve">Timeout: 8 seconds per request (configurable via SCAN_TIMEOUT_SECONDS)</w:t>
      </w:r>
    </w:p>
    <w:p w14:paraId="0010006E" w14:textId="0010006F">
      <w:pPr>
        <w:spacing w:after="60"/>
      </w:pPr>
      <w:r>
        <w:rPr>
          <w:sz w:val="22"/>
        </w:rPr>
        <w:t xml:space="preserve">Response body limit: 256 KB per response (configurable via SCAN_MAX_RESPONSE_BYTES)</w:t>
      </w:r>
    </w:p>
    <w:p w14:paraId="00100070" w14:textId="00100071">
      <w:pPr>
        <w:spacing w:after="60"/>
      </w:pPr>
      <w:r>
        <w:rPr>
          <w:sz w:val="22"/>
        </w:rPr>
        <w:t xml:space="preserve">Redirect limit: 3 hops maximum, hard cap of 5 hops</w:t>
      </w:r>
    </w:p>
    <w:p w14:paraId="00100072" w14:textId="00100073">
      <w:pPr>
        <w:spacing w:after="60"/>
      </w:pPr>
      <w:r>
        <w:rPr>
          <w:sz w:val="22"/>
        </w:rPr>
        <w:t xml:space="preserve">Connection pool: maximum 4 connections, 2 keep-alive</w:t>
      </w:r>
    </w:p>
    <w:p w14:paraId="00100074" w14:textId="00100075">
      <w:pPr>
        <w:spacing w:after="120"/>
      </w:pPr>
      <w:r>
        <w:rPr>
          <w:sz w:val="22"/>
        </w:rPr>
        <w:t xml:space="preserve">Per-IP rate limit: 8 scans per 60 seconds, hard cap of 30 scans</w:t>
      </w:r>
    </w:p>
    <w:p w14:paraId="00100076" w14:textId="00100077">
      <w:pPr>
        <w:pStyle w:val="Heading2"/>
        <w:spacing w:after="80"/>
      </w:pPr>
      <w:r>
        <w:rPr/>
        <w:t xml:space="preserve">4.3 What the Scanner Never Does</w:t>
      </w:r>
    </w:p>
    <w:p w14:paraId="00100078" w14:textId="00100079">
      <w:pPr>
        <w:spacing w:after="200"/>
      </w:pPr>
      <w:r>
        <w:rPr>
          <w:sz w:val="22"/>
        </w:rPr>
        <w:t xml:space="preserve">The scanner never submits forms, logs in, reads authenticated content, brute-forces accounts, probes arbitrary ports, sends exploit payloads or generates denial-of-service traffic. These constraints are architectural, not just policy.</w:t>
      </w:r>
    </w:p>
    <w:p w14:paraId="0010007A" w14:textId="0010007B">
      <w:pPr>
        <w:pStyle w:val="Heading1"/>
        <w:spacing w:before="200" w:after="120"/>
      </w:pPr>
      <w:r>
        <w:rPr/>
        <w:t xml:space="preserve">5. Findings Catalogue</w:t>
      </w:r>
    </w:p>
    <w:p w14:paraId="0010007C" w14:textId="0010007D">
      <w:pPr>
        <w:spacing w:after="80"/>
      </w:pPr>
      <w:r>
        <w:rPr>
          <w:sz w:val="22"/>
        </w:rPr>
        <w:t xml:space="preserve">The following 13 finding types are defined in explanations.py, each with a severity, category, description, risk statement, recommendation and score weight:</w:t>
      </w:r>
    </w:p>
    <w:p w14:paraId="0010007E" w14:textId="0010007F">
      <w:pPr>
        <w:spacing w:after="60"/>
      </w:pPr>
      <w:r>
        <w:rPr>
          <w:sz w:val="22"/>
        </w:rPr>
        <w:t xml:space="preserve">missing-hsts (Medium) — Transport security: HSTS not present in response headers</w:t>
      </w:r>
    </w:p>
    <w:p w14:paraId="00100080" w14:textId="00100081">
      <w:pPr>
        <w:spacing w:after="60"/>
      </w:pPr>
      <w:r>
        <w:rPr>
          <w:sz w:val="22"/>
        </w:rPr>
        <w:t xml:space="preserve">missing-csp (Medium) — Browser hardening: Content-Security-Policy header absent</w:t>
      </w:r>
    </w:p>
    <w:p w14:paraId="00100082" w14:textId="00100083">
      <w:pPr>
        <w:spacing w:after="60"/>
      </w:pPr>
      <w:r>
        <w:rPr>
          <w:sz w:val="22"/>
        </w:rPr>
        <w:t xml:space="preserve">weak-csp (Medium) — Browser hardening: CSP present but contains unsafe-inline, unsafe-eval or wildcard</w:t>
      </w:r>
    </w:p>
    <w:p w14:paraId="00100084" w14:textId="00100085">
      <w:pPr>
        <w:spacing w:after="60"/>
      </w:pPr>
      <w:r>
        <w:rPr>
          <w:sz w:val="22"/>
        </w:rPr>
        <w:t xml:space="preserve">missing-content-type (Low) — Browser hardening: X-Content-Type-Options: nosniff absent</w:t>
      </w:r>
    </w:p>
    <w:p w14:paraId="00100086" w14:textId="00100087">
      <w:pPr>
        <w:spacing w:after="60"/>
      </w:pPr>
      <w:r>
        <w:rPr>
          <w:sz w:val="22"/>
        </w:rPr>
        <w:t xml:space="preserve">missing-framing-policy (Medium) — Browser hardening: No X-Frame-Options or CSP frame-ancestors</w:t>
      </w:r>
    </w:p>
    <w:p w14:paraId="00100088" w14:textId="00100089">
      <w:pPr>
        <w:spacing w:after="60"/>
      </w:pPr>
      <w:r>
        <w:rPr>
          <w:sz w:val="22"/>
        </w:rPr>
        <w:t xml:space="preserve">missing-referrer-policy (Low) — Privacy controls: Referrer-Policy header absent</w:t>
      </w:r>
    </w:p>
    <w:p w14:paraId="0010008A" w14:textId="0010008B">
      <w:pPr>
        <w:spacing w:after="60"/>
      </w:pPr>
      <w:r>
        <w:rPr>
          <w:sz w:val="22"/>
        </w:rPr>
        <w:t xml:space="preserve">missing-permissions-policy (Low) — Browser hardening: Permissions-Policy header absent</w:t>
      </w:r>
    </w:p>
    <w:p w14:paraId="0010008C" w14:textId="0010008D">
      <w:pPr>
        <w:spacing w:after="60"/>
      </w:pPr>
      <w:r>
        <w:rPr>
          <w:sz w:val="22"/>
        </w:rPr>
        <w:t xml:space="preserve">insecure-cookie (High) — Cookie security: Set-Cookie missing Secure, HttpOnly or SameSite</w:t>
      </w:r>
    </w:p>
    <w:p w14:paraId="0010008E" w14:textId="0010008F">
      <w:pPr>
        <w:spacing w:after="60"/>
      </w:pPr>
      <w:r>
        <w:rPr>
          <w:sz w:val="22"/>
        </w:rPr>
        <w:t xml:space="preserve">server-disclosure (Low) — Information exposure: Server or X-Powered-By header reveals technology</w:t>
      </w:r>
    </w:p>
    <w:p w14:paraId="00100090" w14:textId="00100091">
      <w:pPr>
        <w:spacing w:after="60"/>
      </w:pPr>
      <w:r>
        <w:rPr>
          <w:sz w:val="22"/>
        </w:rPr>
        <w:t xml:space="preserve">debug-header (Medium) — Information exposure: Debug or version header visible</w:t>
      </w:r>
    </w:p>
    <w:p w14:paraId="00100092" w14:textId="00100093">
      <w:pPr>
        <w:spacing w:after="60"/>
      </w:pPr>
      <w:r>
        <w:rPr>
          <w:sz w:val="22"/>
        </w:rPr>
        <w:t xml:space="preserve">mixed-content (High) — Transport security: HTTPS page contains absolute http:// resource references</w:t>
      </w:r>
    </w:p>
    <w:p w14:paraId="00100094" w14:textId="00100095">
      <w:pPr>
        <w:spacing w:after="60"/>
      </w:pPr>
      <w:r>
        <w:rPr>
          <w:sz w:val="22"/>
        </w:rPr>
        <w:t xml:space="preserve">http-not-upgraded (Medium) — Transport security: HTTP does not redirect to HTTPS</w:t>
      </w:r>
    </w:p>
    <w:p w14:paraId="00100096" w14:textId="00100097">
      <w:pPr>
        <w:spacing w:after="200"/>
      </w:pPr>
      <w:r>
        <w:rPr>
          <w:sz w:val="22"/>
        </w:rPr>
        <w:t xml:space="preserve">directory-listing (Medium) — Public exposure: Directory index pattern detected in public HTML</w:t>
      </w:r>
    </w:p>
    <w:p w14:paraId="00100098" w14:textId="00100099">
      <w:pPr>
        <w:pStyle w:val="Heading1"/>
        <w:spacing w:before="200" w:after="120"/>
      </w:pPr>
      <w:r>
        <w:rPr/>
        <w:t xml:space="preserve">6. Scoring Model</w:t>
      </w:r>
    </w:p>
    <w:p w14:paraId="0010009A" w14:textId="0010009B">
      <w:pPr>
        <w:spacing w:after="120"/>
      </w:pPr>
      <w:r>
        <w:rPr>
          <w:sz w:val="22"/>
        </w:rPr>
        <w:t xml:space="preserve">The score starts at 100 and subtracts a weight for each unique finding ID. Duplicate IDs are counted once so a single control family cannot compound the penalty:</w:t>
      </w:r>
    </w:p>
    <w:p w14:paraId="0010009C" w14:textId="0010009D">
      <w:pPr>
        <w:spacing w:after="160"/>
        <w:jc w:val="center"/>
      </w:pPr>
      <w:r>
        <w:rPr>
          <w:b/>
          <w:sz w:val="24"/>
        </w:rPr>
        <w:t xml:space="preserve">score = max(0,  100 minus sum of weight(f) for each unique finding f)</w:t>
      </w:r>
    </w:p>
    <w:p w14:paraId="0010009E" w14:textId="0010009F">
      <w:pPr>
        <w:spacing w:after="160"/>
      </w:pPr>
      <w:r>
        <w:rPr>
          <w:sz w:val="22"/>
        </w:rPr>
        <w:t xml:space="preserve">Severity weights: Critical = -30 pts | High = -15 pts | Medium = -8 pts | Low = -3 pts | Informational = 0 pts</w:t>
      </w:r>
    </w:p>
    <w:p w14:paraId="001000A0" w14:textId="001000A1">
      <w:pPr>
        <w:spacing w:after="120"/>
      </w:pPr>
      <w:r>
        <w:rPr>
          <w:sz w:val="22"/>
        </w:rPr>
        <w:t xml:space="preserve">Score bands: 90-100 = Good configuration | 75-89 = Low apparent risk | 50-74 = Moderate risk | 25-49 = High risk | 0-24 = Very high risk</w:t>
      </w:r>
    </w:p>
    <w:p w14:paraId="001000A2" w14:textId="001000A3">
      <w:pPr>
        <w:spacing w:after="200"/>
      </w:pPr>
      <w:r>
        <w:rPr>
          <w:sz w:val="22"/>
        </w:rPr>
        <w:t xml:space="preserve">When the target is unreachable or returns no useful response, the score shows Insufficient data rather than a misleading zero.</w:t>
      </w:r>
    </w:p>
    <w:p w14:paraId="001000A4" w14:textId="001000A5">
      <w:pPr>
        <w:pStyle w:val="Heading1"/>
        <w:spacing w:before="200" w:after="120"/>
      </w:pPr>
      <w:r>
        <w:rPr/>
        <w:t xml:space="preserve">7. Testing Strategy</w:t>
      </w:r>
    </w:p>
    <w:p w14:paraId="001000A6" w14:textId="001000A7">
      <w:pPr>
        <w:spacing w:after="80"/>
      </w:pPr>
      <w:r>
        <w:rPr>
          <w:sz w:val="22"/>
        </w:rPr>
        <w:t xml:space="preserve">All tests in backend/tests/ use mocked network I/O and do not depend on any live website:</w:t>
      </w:r>
    </w:p>
    <w:p w14:paraId="001000A8" w14:textId="001000A9">
      <w:pPr>
        <w:numPr>
          <w:ilvl w:val="0"/>
          <w:numId w:val="4"/>
        </w:numPr>
        <w:spacing w:after="60"/>
      </w:pPr>
      <w:r>
        <w:rPr>
          <w:sz w:val="22"/>
        </w:rPr>
        <w:t xml:space="preserve">test_config.py — URL normalisation, private-address rejection, redirect-target re-validation</w:t>
      </w:r>
    </w:p>
    <w:p w14:paraId="001000AA" w14:textId="001000AB">
      <w:pPr>
        <w:numPr>
          <w:ilvl w:val="0"/>
          <w:numId w:val="4"/>
        </w:numPr>
        <w:spacing w:after="60"/>
      </w:pPr>
      <w:r>
        <w:rPr>
          <w:sz w:val="22"/>
        </w:rPr>
        <w:t xml:space="preserve">test_checks.py — Security header detection, cookie attribute parsing, score deduplication</w:t>
      </w:r>
    </w:p>
    <w:p w14:paraId="001000AC" w14:textId="001000AD">
      <w:pPr>
        <w:numPr>
          <w:ilvl w:val="0"/>
          <w:numId w:val="4"/>
        </w:numPr>
        <w:spacing w:after="60"/>
      </w:pPr>
      <w:r>
        <w:rPr>
          <w:sz w:val="22"/>
        </w:rPr>
        <w:t xml:space="preserve">test_api.py — /health, /api/scan, /api/scans, /api/scan/{id}/report endpoints</w:t>
      </w:r>
    </w:p>
    <w:p w14:paraId="001000AE" w14:textId="001000AF">
      <w:pPr>
        <w:numPr>
          <w:ilvl w:val="0"/>
          <w:numId w:val="4"/>
        </w:numPr>
        <w:spacing w:after="60"/>
      </w:pPr>
      <w:r>
        <w:rPr>
          <w:sz w:val="22"/>
        </w:rPr>
        <w:t xml:space="preserve">test_redirects.py — Redirect chain handling, loop detection, blocked redirect targets</w:t>
      </w:r>
    </w:p>
    <w:p w14:paraId="001000B0" w14:textId="001000B1">
      <w:pPr>
        <w:numPr>
          <w:ilvl w:val="0"/>
          <w:numId w:val="4"/>
        </w:numPr>
        <w:spacing w:after="120"/>
      </w:pPr>
      <w:r>
        <w:rPr>
          <w:sz w:val="22"/>
        </w:rPr>
        <w:t xml:space="preserve">test_upgrade.py — HTTP to HTTPS upgrade probe behaviour</w:t>
      </w:r>
    </w:p>
    <w:p w14:paraId="001000B2" w14:textId="001000B3">
      <w:pPr>
        <w:spacing w:after="200"/>
      </w:pPr>
      <w:r>
        <w:rPr>
          <w:sz w:val="22"/>
        </w:rPr>
        <w:t xml:space="preserve">Frontend validation uses the TypeScript compiler (tsc --noEmit) and a Vite production build to catch type errors and bundle issues.</w:t>
      </w:r>
    </w:p>
    <w:p w14:paraId="001000B4" w14:textId="001000B5">
      <w:pPr>
        <w:pStyle w:val="Heading1"/>
        <w:spacing w:before="200" w:after="120"/>
      </w:pPr>
      <w:r>
        <w:rPr/>
        <w:t xml:space="preserve">8. Deployment</w:t>
      </w:r>
    </w:p>
    <w:p w14:paraId="001000B6" w14:textId="001000B7">
      <w:pPr>
        <w:pStyle w:val="Heading2"/>
        <w:spacing w:after="80"/>
      </w:pPr>
      <w:r>
        <w:rPr/>
        <w:t xml:space="preserve">8.1 Local Development</w:t>
      </w:r>
    </w:p>
    <w:p w14:paraId="001000B8" w14:textId="001000B9">
      <w:pPr>
        <w:spacing w:after="120"/>
      </w:pPr>
      <w:r>
        <w:rPr>
          <w:sz w:val="22"/>
        </w:rPr>
        <w:t xml:space="preserve">Run docker compose up --build for a one-command full-stack environment. For iterative development, run FastAPI with uvicorn --reload and the Vite dev server concurrently; Vite's proxy configuration eliminates CORS issues in development.</w:t>
      </w:r>
    </w:p>
    <w:p w14:paraId="001000BA" w14:textId="001000BB">
      <w:pPr>
        <w:pStyle w:val="Heading2"/>
        <w:spacing w:after="80"/>
      </w:pPr>
      <w:r>
        <w:rPr/>
        <w:t xml:space="preserve">8.2 Production Deployment</w:t>
      </w:r>
    </w:p>
    <w:p w14:paraId="001000BC" w14:textId="001000BD">
      <w:pPr>
        <w:spacing w:after="60"/>
      </w:pPr>
      <w:r>
        <w:rPr>
          <w:sz w:val="22"/>
        </w:rPr>
        <w:t xml:space="preserve">Frontend on Vercel: set VITE_API_BASE_URL to the backend HTTPS URL; the vercel.json handles SPA routing.</w:t>
      </w:r>
    </w:p>
    <w:p w14:paraId="001000BE" w14:textId="001000BF">
      <w:pPr>
        <w:spacing w:after="60"/>
      </w:pPr>
      <w:r>
        <w:rPr>
          <w:sz w:val="22"/>
        </w:rPr>
        <w:t xml:space="preserve">Backend on Render/Railway/Fly.io: set FRONTEND_ORIGIN to the Vercel URL; mount a persistent volume for SQLite.</w:t>
      </w:r>
    </w:p>
    <w:p w14:paraId="001000C0" w14:textId="001000C1">
      <w:pPr>
        <w:spacing w:after="200"/>
      </w:pPr>
      <w:r>
        <w:rPr>
          <w:sz w:val="22"/>
        </w:rPr>
        <w:t xml:space="preserve">Database: SQLite is adequate for portfolio/demo; replace with managed PostgreSQL for multi-instance production use.</w:t>
      </w:r>
    </w:p>
    <w:p w14:paraId="001000C2" w14:textId="001000C3">
      <w:pPr>
        <w:pStyle w:val="Heading1"/>
        <w:spacing w:before="200" w:after="120"/>
      </w:pPr>
      <w:r>
        <w:rPr/>
        <w:t xml:space="preserve">9. Limitations</w:t>
      </w:r>
    </w:p>
    <w:p w14:paraId="001000C4" w14:textId="001000C5">
      <w:pPr>
        <w:numPr>
          <w:ilvl w:val="0"/>
          <w:numId w:val="5"/>
        </w:numPr>
        <w:spacing w:after="60"/>
      </w:pPr>
      <w:r>
        <w:rPr>
          <w:sz w:val="22"/>
        </w:rPr>
        <w:t xml:space="preserve">Only unauthenticated public pages are examined — the scanner never logs in or submits credentials.</w:t>
      </w:r>
    </w:p>
    <w:p w14:paraId="001000C6" w14:textId="001000C7">
      <w:pPr>
        <w:numPr>
          <w:ilvl w:val="0"/>
          <w:numId w:val="5"/>
        </w:numPr>
        <w:spacing w:after="60"/>
      </w:pPr>
      <w:r>
        <w:rPr>
          <w:sz w:val="22"/>
        </w:rPr>
        <w:t xml:space="preserve">Application logic, source code and internal network controls are invisible — passive external observation only.</w:t>
      </w:r>
    </w:p>
    <w:p w14:paraId="001000C8" w14:textId="001000C9">
      <w:pPr>
        <w:numPr>
          <w:ilvl w:val="0"/>
          <w:numId w:val="5"/>
        </w:numPr>
        <w:spacing w:after="60"/>
      </w:pPr>
      <w:r>
        <w:rPr>
          <w:sz w:val="22"/>
        </w:rPr>
        <w:t xml:space="preserve">A high score does not mean the site has no vulnerabilities — many vulnerability classes are not observable from outside.</w:t>
      </w:r>
    </w:p>
    <w:p w14:paraId="001000CA" w14:textId="001000CB">
      <w:pPr>
        <w:numPr>
          <w:ilvl w:val="0"/>
          <w:numId w:val="5"/>
        </w:numPr>
        <w:spacing w:after="60"/>
      </w:pPr>
      <w:r>
        <w:rPr>
          <w:sz w:val="22"/>
        </w:rPr>
        <w:t xml:space="preserve">Header absence may be intentional — some security policies are delivered by CDN layers or conditionally.</w:t>
      </w:r>
    </w:p>
    <w:p w14:paraId="001000CC" w14:textId="001000CD">
      <w:pPr>
        <w:numPr>
          <w:ilvl w:val="0"/>
          <w:numId w:val="5"/>
        </w:numPr>
        <w:spacing w:after="200"/>
      </w:pPr>
      <w:r>
        <w:rPr>
          <w:sz w:val="22"/>
        </w:rPr>
        <w:t xml:space="preserve">TLS expiry check requires a successful port-443 handshake — some environments or IP ranges block direct TLS connections.</w:t>
      </w:r>
    </w:p>
    <w:p w14:paraId="001000CE" w14:textId="001000CF">
      <w:pPr>
        <w:pStyle w:val="Heading1"/>
        <w:spacing w:before="200" w:after="120"/>
      </w:pPr>
      <w:r>
        <w:rPr/>
        <w:t xml:space="preserve">10. Conclusion</w:t>
      </w:r>
    </w:p>
    <w:p w14:paraId="001000D0" w14:textId="001000D1">
      <w:pPr>
        <w:spacing w:after="160"/>
      </w:pPr>
      <w:r>
        <w:rPr>
          <w:sz w:val="22"/>
        </w:rPr>
        <w:t xml:space="preserve">SecureScan AI demonstrates that a well-scoped, responsibly designed security tool can be both educational and practically useful. Its most important lesson is restraint: the scanner makes clear what evidence it gathered, what checks it completed, and what it cannot see. Rather than over-claiming, it uses a transparent score model and mandatory scope notes to help users make informed decisions.</w:t>
      </w:r>
    </w:p>
    <w:p w14:paraId="001000D2" w14:textId="001000D3">
      <w:pPr>
        <w:spacing w:after="240"/>
      </w:pPr>
      <w:r>
        <w:rPr>
          <w:sz w:val="22"/>
        </w:rPr>
        <w:t xml:space="preserve">The codebase is modular, fully tested with mocked dependencies, documented for deployment, and built without any paid AI dependency — making it a strong final-year BCA portfolio project and a reusable reference for secure full-stack application design.</w:t>
      </w:r>
    </w:p>
    <w:p w14:paraId="001000D4" w14:textId="001000D5">
      <w:pPr>
        <w:pStyle w:val="Heading1"/>
        <w:spacing w:before="200" w:after="120"/>
      </w:pPr>
      <w:r>
        <w:rPr/>
        <w:t xml:space="preserve">Appendix: Key Technologies Used</w:t>
      </w:r>
    </w:p>
    <w:p w14:paraId="001000D6" w14:textId="001000D7">
      <w:pPr>
        <w:spacing w:after="60"/>
      </w:pPr>
      <w:r>
        <w:rPr>
          <w:sz w:val="22"/>
        </w:rPr>
        <w:t xml:space="preserve">FastAPI — Async Python web framework; automatic OpenAPI docs; Pydantic request validation</w:t>
      </w:r>
    </w:p>
    <w:p w14:paraId="001000D8" w14:textId="001000D9">
      <w:pPr>
        <w:spacing w:after="60"/>
      </w:pPr>
      <w:r>
        <w:rPr>
          <w:sz w:val="22"/>
        </w:rPr>
        <w:t xml:space="preserve">httpx — Async HTTP client with streaming, timeout and connection-limit controls</w:t>
      </w:r>
    </w:p>
    <w:p w14:paraId="001000DA" w14:textId="001000DB">
      <w:pPr>
        <w:spacing w:after="60"/>
      </w:pPr>
      <w:r>
        <w:rPr>
          <w:sz w:val="22"/>
        </w:rPr>
        <w:t xml:space="preserve">ReportLab — Server-side PDF generation for downloadable scan reports</w:t>
      </w:r>
    </w:p>
    <w:p w14:paraId="001000DC" w14:textId="001000DD">
      <w:pPr>
        <w:spacing w:after="60"/>
      </w:pPr>
      <w:r>
        <w:rPr>
          <w:sz w:val="22"/>
        </w:rPr>
        <w:t xml:space="preserve">React 18 + TypeScript — Type-safe component-based frontend dashboard</w:t>
      </w:r>
    </w:p>
    <w:p w14:paraId="001000DE" w14:textId="001000DF">
      <w:pPr>
        <w:spacing w:after="60"/>
      </w:pPr>
      <w:r>
        <w:rPr>
          <w:sz w:val="22"/>
        </w:rPr>
        <w:t xml:space="preserve">Vite — Fast dev server with HMR; production bundler; dev-time API proxy</w:t>
      </w:r>
    </w:p>
    <w:p w14:paraId="001000E0" w14:textId="001000E1">
      <w:pPr>
        <w:spacing w:after="60"/>
      </w:pPr>
      <w:r>
        <w:rPr>
          <w:sz w:val="22"/>
        </w:rPr>
        <w:t xml:space="preserve">Tailwind CSS — Utility-first styling for the entire UI</w:t>
      </w:r>
    </w:p>
    <w:p w14:paraId="001000E2" w14:textId="001000E3">
      <w:pPr>
        <w:spacing w:after="60"/>
      </w:pPr>
      <w:r>
        <w:rPr>
          <w:sz w:val="22"/>
        </w:rPr>
        <w:t xml:space="preserve">Recharts — Donut and horizontal bar chart visualisations in the report dashboard</w:t>
      </w:r>
    </w:p>
    <w:p w14:paraId="001000E4" w14:textId="001000E5">
      <w:pPr>
        <w:spacing w:after="60"/>
      </w:pPr>
      <w:r>
        <w:rPr>
          <w:sz w:val="22"/>
        </w:rPr>
        <w:t xml:space="preserve">SQLite (stdlib) — Zero-dependency local scan history storage</w:t>
      </w:r>
    </w:p>
    <w:p w14:paraId="001000E6" w14:textId="001000E7">
      <w:pPr>
        <w:spacing w:after="60"/>
      </w:pPr>
      <w:r>
        <w:rPr>
          <w:sz w:val="22"/>
        </w:rPr>
        <w:t xml:space="preserve">Docker + Compose — Reproducible multi-service local and production environment</w:t>
      </w:r>
    </w:p>
    <w:p w14:paraId="001000E8" w14:textId="001000E9">
      <w:pPr>
        <w:spacing w:after="200"/>
      </w:pPr>
      <w:r>
        <w:rPr>
          <w:sz w:val="22"/>
        </w:rPr>
        <w:t xml:space="preserve">pytest — Backend unit and API test runner with fully mocked dependencies</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Subtitle">
    <w:name w:val="Subtitle"/>
    <w:basedOn w:val="Normal"/>
    <w:next w:val="Normal"/>
    <w:uiPriority w:val="10"/>
    <w:qFormat/>
    <w:pPr>
      <w:spacing w:after="0" w:line="240" w:lineRule="auto"/>
      <w:contextualSpacing/>
    </w:pPr>
    <w:rPr>
      <w:rFonts w:asciiTheme="majorHAnsi" w:hAnsiTheme="majorHAnsi" w:eastAsiaTheme="majorEastAsia" w:cstheme="majorBidi"/>
      <w:color w:val="5A5A5A"/>
      <w:sz w:val="22"/>
      <w:szCs w:val="22"/>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e257f7e291c24c62" /><Relationship Type="http://schemas.openxmlformats.org/officeDocument/2006/relationships/styles" Target="/word/styles.xml" Id="R545f9ad9d3504cb2" /><Relationship Type="http://schemas.openxmlformats.org/officeDocument/2006/relationships/theme" Target="/word/theme/theme1.xml" Id="Re1fa5316080e4d57" /><Relationship Type="http://schemas.openxmlformats.org/officeDocument/2006/relationships/numbering" Target="/word/numbering.xml" Id="R62b07f8598c047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OfficeCLI/1.0.158</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2026-10-26T01:19:12Z</dcterms:created>
  <cp:lastModifiedBy>OfficeCLI</cp:lastModifiedBy>
  <dcterms:modified xsi:type="dcterms:W3CDTF">2026-10-26T01:19:12Z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1.0.158</vt:lpwstr>
  </op:property>
  <op:property fmtid="{D5CDD505-2E9C-101B-9397-08002B2CF9AE}" pid="3" name="OfficeCLI.LastModified">
    <vt:lpwstr xmlns:vt="http://schemas.openxmlformats.org/officeDocument/2006/docPropsVTypes">2026-10-26T01:20:09Z</vt:lpwstr>
  </op:property>
</op:Properties>
</file>