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sz w:val="48"/>
          <w:szCs w:val="48"/>
        </w:rPr>
        <w:t xml:space="preserve">zkLeash: Stateful, Proof-Gated Risk Enforcement for LLM Trading Agents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jc w:val="center"/>
            </w:pPr>
            <w:r>
              <w:rPr>
                <w:rFonts w:ascii="Times New Roman" w:cs="Times New Roman" w:eastAsia="Times New Roman" w:hAnsi="Times New Roman"/>
                <w:b w:val="false"/>
                <w:bCs w:val="false"/>
                <w:i w:val="false"/>
                <w:iCs w:val="false"/>
                <w:smallCaps w:val="false"/>
                <w:sz w:val="20"/>
                <w:szCs w:val="20"/>
              </w:rPr>
              <w:t xml:space="preserve">Pallavi Kulkarni</w:t>
            </w:r>
          </w:p>
          <w:p>
            <w:pPr>
              <w:spacing w:after="0"/>
              <w:jc w:val="center"/>
            </w:pPr>
            <w:r>
              <w:rPr>
                <w:rFonts w:ascii="Times New Roman" w:cs="Times New Roman" w:eastAsia="Times New Roman" w:hAnsi="Times New Roman"/>
                <w:b w:val="false"/>
                <w:bCs w:val="false"/>
                <w:i/>
                <w:iCs/>
                <w:smallCaps w:val="false"/>
                <w:sz w:val="18"/>
                <w:szCs w:val="18"/>
              </w:rPr>
              <w:t xml:space="preserve">Department of Computer Engineering</w:t>
            </w:r>
          </w:p>
          <w:p>
            <w:pPr>
              <w:spacing w:after="0"/>
              <w:jc w:val="center"/>
            </w:pPr>
            <w:r>
              <w:rPr>
                <w:rFonts w:ascii="Times New Roman" w:cs="Times New Roman" w:eastAsia="Times New Roman" w:hAnsi="Times New Roman"/>
                <w:b w:val="false"/>
                <w:bCs w:val="false"/>
                <w:i/>
                <w:iCs/>
                <w:smallCaps w:val="false"/>
                <w:sz w:val="18"/>
                <w:szCs w:val="18"/>
              </w:rPr>
              <w:t xml:space="preserve">Pimpri Chinchwad College of Engineering and Research</w:t>
            </w:r>
          </w:p>
          <w:p>
            <w:pPr>
              <w:spacing w:after="0"/>
              <w:jc w:val="center"/>
            </w:pPr>
            <w:r>
              <w:rPr>
                <w:rFonts w:ascii="Times New Roman" w:cs="Times New Roman" w:eastAsia="Times New Roman" w:hAnsi="Times New Roman"/>
                <w:b w:val="false"/>
                <w:bCs w:val="false"/>
                <w:i/>
                <w:iCs/>
                <w:smallCaps w:val="false"/>
                <w:sz w:val="18"/>
                <w:szCs w:val="18"/>
              </w:rPr>
              <w:t xml:space="preserve">Pune, India</w:t>
            </w:r>
          </w:p>
          <w:p>
            <w:pPr>
              <w:spacing w:after="120"/>
              <w:jc w:val="center"/>
            </w:pPr>
            <w:r>
              <w:rPr>
                <w:rFonts w:ascii="Times New Roman" w:cs="Times New Roman" w:eastAsia="Times New Roman" w:hAnsi="Times New Roman"/>
                <w:b w:val="false"/>
                <w:bCs w:val="false"/>
                <w:i w:val="false"/>
                <w:iCs w:val="false"/>
                <w:smallCaps w:val="false"/>
                <w:sz w:val="18"/>
                <w:szCs w:val="18"/>
                <w:shd w:fill="FFFF00" w:color="auto" w:val="clear"/>
              </w:rPr>
              <w:t xml:space="preserve">[TODO: e-mail]</w:t>
            </w:r>
          </w:p>
        </w:tc>
        <w:tc>
          <w:tcPr>
            <w:tcW w:type="dxa" w:w="348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jc w:val="center"/>
            </w:pPr>
            <w:r>
              <w:rPr>
                <w:rFonts w:ascii="Times New Roman" w:cs="Times New Roman" w:eastAsia="Times New Roman" w:hAnsi="Times New Roman"/>
                <w:b w:val="false"/>
                <w:bCs w:val="false"/>
                <w:i w:val="false"/>
                <w:iCs w:val="false"/>
                <w:smallCaps w:val="false"/>
                <w:sz w:val="20"/>
                <w:szCs w:val="20"/>
              </w:rPr>
              <w:t xml:space="preserve">Shreya Kharade</w:t>
            </w:r>
          </w:p>
          <w:p>
            <w:pPr>
              <w:spacing w:after="0"/>
              <w:jc w:val="center"/>
            </w:pPr>
            <w:r>
              <w:rPr>
                <w:rFonts w:ascii="Times New Roman" w:cs="Times New Roman" w:eastAsia="Times New Roman" w:hAnsi="Times New Roman"/>
                <w:b w:val="false"/>
                <w:bCs w:val="false"/>
                <w:i/>
                <w:iCs/>
                <w:smallCaps w:val="false"/>
                <w:sz w:val="18"/>
                <w:szCs w:val="18"/>
              </w:rPr>
              <w:t xml:space="preserve">Department of Computer Engineering</w:t>
            </w:r>
          </w:p>
          <w:p>
            <w:pPr>
              <w:spacing w:after="0"/>
              <w:jc w:val="center"/>
            </w:pPr>
            <w:r>
              <w:rPr>
                <w:rFonts w:ascii="Times New Roman" w:cs="Times New Roman" w:eastAsia="Times New Roman" w:hAnsi="Times New Roman"/>
                <w:b w:val="false"/>
                <w:bCs w:val="false"/>
                <w:i/>
                <w:iCs/>
                <w:smallCaps w:val="false"/>
                <w:sz w:val="18"/>
                <w:szCs w:val="18"/>
              </w:rPr>
              <w:t xml:space="preserve">Pimpri Chinchwad College of Engineering and Research</w:t>
            </w:r>
          </w:p>
          <w:p>
            <w:pPr>
              <w:spacing w:after="0"/>
              <w:jc w:val="center"/>
            </w:pPr>
            <w:r>
              <w:rPr>
                <w:rFonts w:ascii="Times New Roman" w:cs="Times New Roman" w:eastAsia="Times New Roman" w:hAnsi="Times New Roman"/>
                <w:b w:val="false"/>
                <w:bCs w:val="false"/>
                <w:i/>
                <w:iCs/>
                <w:smallCaps w:val="false"/>
                <w:sz w:val="18"/>
                <w:szCs w:val="18"/>
              </w:rPr>
              <w:t xml:space="preserve">Pune, India</w:t>
            </w:r>
          </w:p>
          <w:p>
            <w:pPr>
              <w:spacing w:after="120"/>
              <w:jc w:val="center"/>
            </w:pPr>
            <w:r>
              <w:rPr>
                <w:rFonts w:ascii="Times New Roman" w:cs="Times New Roman" w:eastAsia="Times New Roman" w:hAnsi="Times New Roman"/>
                <w:b w:val="false"/>
                <w:bCs w:val="false"/>
                <w:i w:val="false"/>
                <w:iCs w:val="false"/>
                <w:smallCaps w:val="false"/>
                <w:sz w:val="18"/>
                <w:szCs w:val="18"/>
                <w:shd w:fill="FFFF00" w:color="auto" w:val="clear"/>
              </w:rPr>
              <w:t xml:space="preserve">[TODO: e-mail]</w:t>
            </w:r>
          </w:p>
        </w:tc>
        <w:tc>
          <w:tcPr>
            <w:tcW w:type="dxa" w:w="348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jc w:val="center"/>
            </w:pPr>
            <w:r>
              <w:rPr>
                <w:rFonts w:ascii="Times New Roman" w:cs="Times New Roman" w:eastAsia="Times New Roman" w:hAnsi="Times New Roman"/>
                <w:b w:val="false"/>
                <w:bCs w:val="false"/>
                <w:i w:val="false"/>
                <w:iCs w:val="false"/>
                <w:smallCaps w:val="false"/>
                <w:sz w:val="20"/>
                <w:szCs w:val="20"/>
              </w:rPr>
              <w:t xml:space="preserve">Prajyot Tayde</w:t>
            </w:r>
          </w:p>
          <w:p>
            <w:pPr>
              <w:spacing w:after="0"/>
              <w:jc w:val="center"/>
            </w:pPr>
            <w:r>
              <w:rPr>
                <w:rFonts w:ascii="Times New Roman" w:cs="Times New Roman" w:eastAsia="Times New Roman" w:hAnsi="Times New Roman"/>
                <w:b w:val="false"/>
                <w:bCs w:val="false"/>
                <w:i/>
                <w:iCs/>
                <w:smallCaps w:val="false"/>
                <w:sz w:val="18"/>
                <w:szCs w:val="18"/>
              </w:rPr>
              <w:t xml:space="preserve">Department of Computer Engineering</w:t>
            </w:r>
          </w:p>
          <w:p>
            <w:pPr>
              <w:spacing w:after="0"/>
              <w:jc w:val="center"/>
            </w:pPr>
            <w:r>
              <w:rPr>
                <w:rFonts w:ascii="Times New Roman" w:cs="Times New Roman" w:eastAsia="Times New Roman" w:hAnsi="Times New Roman"/>
                <w:b w:val="false"/>
                <w:bCs w:val="false"/>
                <w:i/>
                <w:iCs/>
                <w:smallCaps w:val="false"/>
                <w:sz w:val="18"/>
                <w:szCs w:val="18"/>
              </w:rPr>
              <w:t xml:space="preserve">Pimpri Chinchwad College of Engineering and Research</w:t>
            </w:r>
          </w:p>
          <w:p>
            <w:pPr>
              <w:spacing w:after="0"/>
              <w:jc w:val="center"/>
            </w:pPr>
            <w:r>
              <w:rPr>
                <w:rFonts w:ascii="Times New Roman" w:cs="Times New Roman" w:eastAsia="Times New Roman" w:hAnsi="Times New Roman"/>
                <w:b w:val="false"/>
                <w:bCs w:val="false"/>
                <w:i/>
                <w:iCs/>
                <w:smallCaps w:val="false"/>
                <w:sz w:val="18"/>
                <w:szCs w:val="18"/>
              </w:rPr>
              <w:t xml:space="preserve">Pune, India</w:t>
            </w:r>
          </w:p>
          <w:p>
            <w:pPr>
              <w:spacing w:after="120"/>
              <w:jc w:val="center"/>
            </w:pPr>
            <w:r>
              <w:rPr>
                <w:rFonts w:ascii="Times New Roman" w:cs="Times New Roman" w:eastAsia="Times New Roman" w:hAnsi="Times New Roman"/>
                <w:b w:val="false"/>
                <w:bCs w:val="false"/>
                <w:i w:val="false"/>
                <w:iCs w:val="false"/>
                <w:smallCaps w:val="false"/>
                <w:sz w:val="18"/>
                <w:szCs w:val="18"/>
                <w:shd w:fill="FFFF00" w:color="auto" w:val="clear"/>
              </w:rPr>
              <w:t xml:space="preserve">[TODO: e-mail]</w:t>
            </w:r>
          </w:p>
        </w:tc>
      </w:tr>
      <w:tr>
        <w:tc>
          <w:tcPr>
            <w:tcW w:type="dxa" w:w="348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jc w:val="center"/>
            </w:pPr>
            <w:r>
              <w:rPr>
                <w:rFonts w:ascii="Times New Roman" w:cs="Times New Roman" w:eastAsia="Times New Roman" w:hAnsi="Times New Roman"/>
                <w:b w:val="false"/>
                <w:bCs w:val="false"/>
                <w:i w:val="false"/>
                <w:iCs w:val="false"/>
                <w:smallCaps w:val="false"/>
                <w:sz w:val="20"/>
                <w:szCs w:val="20"/>
              </w:rPr>
              <w:t xml:space="preserve">Samruddhi Achari</w:t>
            </w:r>
          </w:p>
          <w:p>
            <w:pPr>
              <w:spacing w:after="0"/>
              <w:jc w:val="center"/>
            </w:pPr>
            <w:r>
              <w:rPr>
                <w:rFonts w:ascii="Times New Roman" w:cs="Times New Roman" w:eastAsia="Times New Roman" w:hAnsi="Times New Roman"/>
                <w:b w:val="false"/>
                <w:bCs w:val="false"/>
                <w:i/>
                <w:iCs/>
                <w:smallCaps w:val="false"/>
                <w:sz w:val="18"/>
                <w:szCs w:val="18"/>
              </w:rPr>
              <w:t xml:space="preserve">Department of Computer Engineering</w:t>
            </w:r>
          </w:p>
          <w:p>
            <w:pPr>
              <w:spacing w:after="0"/>
              <w:jc w:val="center"/>
            </w:pPr>
            <w:r>
              <w:rPr>
                <w:rFonts w:ascii="Times New Roman" w:cs="Times New Roman" w:eastAsia="Times New Roman" w:hAnsi="Times New Roman"/>
                <w:b w:val="false"/>
                <w:bCs w:val="false"/>
                <w:i/>
                <w:iCs/>
                <w:smallCaps w:val="false"/>
                <w:sz w:val="18"/>
                <w:szCs w:val="18"/>
              </w:rPr>
              <w:t xml:space="preserve">Pimpri Chinchwad College of Engineering and Research</w:t>
            </w:r>
          </w:p>
          <w:p>
            <w:pPr>
              <w:spacing w:after="0"/>
              <w:jc w:val="center"/>
            </w:pPr>
            <w:r>
              <w:rPr>
                <w:rFonts w:ascii="Times New Roman" w:cs="Times New Roman" w:eastAsia="Times New Roman" w:hAnsi="Times New Roman"/>
                <w:b w:val="false"/>
                <w:bCs w:val="false"/>
                <w:i/>
                <w:iCs/>
                <w:smallCaps w:val="false"/>
                <w:sz w:val="18"/>
                <w:szCs w:val="18"/>
              </w:rPr>
              <w:t xml:space="preserve">Pune, India</w:t>
            </w:r>
          </w:p>
          <w:p>
            <w:pPr>
              <w:spacing w:after="120"/>
              <w:jc w:val="center"/>
            </w:pPr>
            <w:r>
              <w:rPr>
                <w:rFonts w:ascii="Times New Roman" w:cs="Times New Roman" w:eastAsia="Times New Roman" w:hAnsi="Times New Roman"/>
                <w:b w:val="false"/>
                <w:bCs w:val="false"/>
                <w:i w:val="false"/>
                <w:iCs w:val="false"/>
                <w:smallCaps w:val="false"/>
                <w:sz w:val="18"/>
                <w:szCs w:val="18"/>
                <w:shd w:fill="FFFF00" w:color="auto" w:val="clear"/>
              </w:rPr>
              <w:t xml:space="preserve">[TODO: e-mail]</w:t>
            </w:r>
          </w:p>
        </w:tc>
        <w:tc>
          <w:tcPr>
            <w:tcW w:type="dxa" w:w="348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0"/>
              <w:jc w:val="center"/>
            </w:pPr>
            <w:r>
              <w:rPr>
                <w:rFonts w:ascii="Times New Roman" w:cs="Times New Roman" w:eastAsia="Times New Roman" w:hAnsi="Times New Roman"/>
                <w:b w:val="false"/>
                <w:bCs w:val="false"/>
                <w:i w:val="false"/>
                <w:iCs w:val="false"/>
                <w:smallCaps w:val="false"/>
                <w:sz w:val="20"/>
                <w:szCs w:val="20"/>
              </w:rPr>
              <w:t xml:space="preserve">Avadhoot Pingale</w:t>
            </w:r>
          </w:p>
          <w:p>
            <w:pPr>
              <w:spacing w:after="0"/>
              <w:jc w:val="center"/>
            </w:pPr>
            <w:r>
              <w:rPr>
                <w:rFonts w:ascii="Times New Roman" w:cs="Times New Roman" w:eastAsia="Times New Roman" w:hAnsi="Times New Roman"/>
                <w:b w:val="false"/>
                <w:bCs w:val="false"/>
                <w:i/>
                <w:iCs/>
                <w:smallCaps w:val="false"/>
                <w:sz w:val="18"/>
                <w:szCs w:val="18"/>
              </w:rPr>
              <w:t xml:space="preserve">Department of Computer Engineering</w:t>
            </w:r>
          </w:p>
          <w:p>
            <w:pPr>
              <w:spacing w:after="0"/>
              <w:jc w:val="center"/>
            </w:pPr>
            <w:r>
              <w:rPr>
                <w:rFonts w:ascii="Times New Roman" w:cs="Times New Roman" w:eastAsia="Times New Roman" w:hAnsi="Times New Roman"/>
                <w:b w:val="false"/>
                <w:bCs w:val="false"/>
                <w:i/>
                <w:iCs/>
                <w:smallCaps w:val="false"/>
                <w:sz w:val="18"/>
                <w:szCs w:val="18"/>
              </w:rPr>
              <w:t xml:space="preserve">Pimpri Chinchwad College of Engineering and Research</w:t>
            </w:r>
          </w:p>
          <w:p>
            <w:pPr>
              <w:spacing w:after="0"/>
              <w:jc w:val="center"/>
            </w:pPr>
            <w:r>
              <w:rPr>
                <w:rFonts w:ascii="Times New Roman" w:cs="Times New Roman" w:eastAsia="Times New Roman" w:hAnsi="Times New Roman"/>
                <w:b w:val="false"/>
                <w:bCs w:val="false"/>
                <w:i/>
                <w:iCs/>
                <w:smallCaps w:val="false"/>
                <w:sz w:val="18"/>
                <w:szCs w:val="18"/>
              </w:rPr>
              <w:t xml:space="preserve">Pune, India</w:t>
            </w:r>
          </w:p>
          <w:p>
            <w:pPr>
              <w:spacing w:after="120"/>
              <w:jc w:val="center"/>
            </w:pPr>
            <w:r>
              <w:rPr>
                <w:rFonts w:ascii="Times New Roman" w:cs="Times New Roman" w:eastAsia="Times New Roman" w:hAnsi="Times New Roman"/>
                <w:b w:val="false"/>
                <w:bCs w:val="false"/>
                <w:i w:val="false"/>
                <w:iCs w:val="false"/>
                <w:smallCaps w:val="false"/>
                <w:sz w:val="18"/>
                <w:szCs w:val="18"/>
                <w:shd w:fill="FFFF00" w:color="auto" w:val="clear"/>
              </w:rPr>
              <w:t xml:space="preserve">[TODO: e-mail]</w:t>
            </w:r>
          </w:p>
        </w:tc>
        <w:tc>
          <w:tcPr>
            <w:tcW w:type="dxa" w:w="3480"/>
            <w:tcBorders>
              <w:top w:val="none" w:color="FFFFFF" w:sz="0"/>
              <w:left w:val="none" w:color="FFFFFF" w:sz="0"/>
              <w:bottom w:val="none" w:color="FFFFFF" w:sz="0"/>
              <w:right w:val="none" w:color="FFFFFF" w:sz="0"/>
            </w:tcBorders>
            <w:tcMar>
              <w:top w:type="dxa" w:w="0"/>
              <w:left w:type="dxa" w:w="80"/>
              <w:bottom w:type="dxa" w:w="0"/>
              <w:right w:type="dxa" w:w="80"/>
            </w:tcMar>
          </w:tcPr>
          <w:p/>
        </w:tc>
      </w:tr>
    </w:tbl>
    <w:p>
      <w:pPr>
        <w:spacing w:after="120"/>
      </w:pPr>
    </w:p>
    <w:p>
      <w:pPr>
        <w:sectPr>
          <w:pgSz w:w="12240" w:h="15840" w:orient="portrait"/>
          <w:pgMar w:top="1080" w:right="900" w:bottom="1440" w:left="900" w:header="708" w:footer="708" w:gutter="0"/>
          <w:pgNumType/>
          <w:docGrid w:linePitch="360"/>
        </w:sectPr>
      </w:pPr>
    </w:p>
    <w:p>
      <w:pPr>
        <w:spacing w:after="120"/>
        <w:ind w:firstLine="288"/>
        <w:jc w:val="both"/>
      </w:pPr>
      <w:r>
        <w:rPr>
          <w:rFonts w:ascii="Times New Roman" w:hAnsi="Times New Roman" w:cs="Times New Roman" w:eastAsia="Times New Roman"/>
          <w:b/>
          <w:bCs/>
          <w:i/>
          <w:iCs/>
          <w:smallCaps w:val="false"/>
          <w:sz w:val="18"/>
          <w:szCs w:val="18"/>
        </w:rPr>
        <w:t xml:space="preserve">Abstract</w:t>
      </w:r>
      <w:r>
        <w:rPr>
          <w:rFonts w:ascii="Times New Roman" w:hAnsi="Times New Roman" w:cs="Times New Roman" w:eastAsia="Times New Roman"/>
          <w:b/>
          <w:bCs/>
          <w:i w:val="false"/>
          <w:iCs w:val="false"/>
          <w:smallCaps w:val="false"/>
          <w:sz w:val="18"/>
          <w:szCs w:val="18"/>
        </w:rPr>
        <w:t xml:space="preserve">—LLM agents that can move cryptocurrency can lose funds irreversibly to a prompt injection or a bad numerical judgment. Guards that check one transaction and trust a signing key or a flat budget miss a drain of many allowed trades. zkLeash lets the agent’s session key call one executor function, which swaps only if an SP1 guest, run on a hash-chained Pyth price log, approved the action and an on-chain execution-loss ledger still has room. The contract re-checks the inexpensive limits, including a $30,000 per-trade notional cap. Of 250 trials, 75 harmful cases are structural and stay out of the measured rate: a raw transfer has no session-key path, an unlisted router fails the allowlist, and zkLeash has no attestation key to steal. On the other 75, zkLeash and a stateless proof plus an $8,000 daily notional cap each admitted none (95% Clopper–Pearson upper bound 4.8%). The cap false-blocked 35 of 100 benign trials. zkLeash false-blocked 7 of 100 (95% interval [2.9%, 13.9%]), each stopped by a 20-trade cap. Without a cumulative limit the same proof lost up to $1,419, against a $400 cap. Stored-price EWMA costs 36k to 429k gas for 8 to 128 prices and exceeds a cited 280k Groth16 verification near 82 prices. The 250 decisions are native guest runs. A separate calm scenario was executed in SP1 and not proved. The attacker is scripted, the only real path is one August 2024 ETH-USDT window, and no live model was scored.</w:t>
      </w:r>
    </w:p>
    <w:p>
      <w:pPr>
        <w:spacing w:after="120"/>
        <w:ind w:firstLine="288"/>
        <w:jc w:val="both"/>
      </w:pPr>
      <w:r>
        <w:rPr>
          <w:rFonts w:ascii="Times New Roman" w:hAnsi="Times New Roman" w:cs="Times New Roman" w:eastAsia="Times New Roman"/>
          <w:b/>
          <w:bCs/>
          <w:i/>
          <w:iCs/>
          <w:smallCaps w:val="false"/>
          <w:sz w:val="18"/>
          <w:szCs w:val="18"/>
        </w:rPr>
        <w:t xml:space="preserve">Index Terms</w:t>
      </w:r>
      <w:r>
        <w:rPr>
          <w:rFonts w:ascii="Times New Roman" w:hAnsi="Times New Roman" w:cs="Times New Roman" w:eastAsia="Times New Roman"/>
          <w:b/>
          <w:bCs/>
          <w:i w:val="false"/>
          <w:iCs w:val="false"/>
          <w:smallCaps w:val="false"/>
          <w:sz w:val="18"/>
          <w:szCs w:val="18"/>
        </w:rPr>
        <w:t xml:space="preserve">—Decentralized finance, ERC-4337, LLM agents, prompt injection, risk management, smart accounts, zero-knowledge proofs</w:t>
      </w:r>
    </w:p>
    <w:p>
      <w:pPr>
        <w:pStyle w:val="Heading1"/>
        <w:numPr>
          <w:ilvl w:val="0"/>
          <w:numId w:val="2"/>
        </w:numPr>
      </w:pPr>
      <w:r>
        <w:rPr>
          <w:rFonts w:ascii="Times New Roman" w:hAnsi="Times New Roman" w:cs="Times New Roman" w:eastAsia="Times New Roman"/>
          <w:smallCaps/>
          <w:sz w:val="20"/>
          <w:szCs w:val="20"/>
        </w:rPr>
        <w:t xml:space="preserve">Introduction</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Developers now routinely give LLM agents access to cryptocurrency wallets so that the agent can swap, lend, and rebalance holdings on the user’s behalf. The practice carries two distinct risks. The first is that an agent can be steered by whatever text it reads: a message from the user, a news item, a token’s metadata, or the output of a tool may embed an instruction such as “send all funds to this address,” and the model may comply [1], [2]. Attacks on Web3 agents that work by tampering with their context have already been demonstrated [3]. The second risk is that the model’s own view of whether a trade is safe is an opinion rather than a verified calculation, and a blockchain transaction cannot be undone.</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An obvious remedy is to put a deterministic guard between the agent and the wallet, and the nearest prior systems do exactly that. PACE signs a policy decision that is tied to the precise bytes of the transaction [4]. Proof-Gated Signing uses a solver to test a policy over a band of oracle uncertainty and enforces post-conditions on-chain [5]. Two gaps remain. Each system evaluates a transaction in isolation, so a drain made of many small trades, each acceptable by itself, slips past the per-trade rule. In PACE’s adaptive study, a five-leg drain whose legs each stay under the cap is one of eight policy-valid cases that PACE and every baseline admit [4], and Proof-Gated Signing bounds an in-policy drain only through a per-session budget [5]. In addition, PACE depends on the signing key of an off-chain verifier.</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This paper presents zkLeash, which targets both gaps. Our contributions are as follows:</w:t>
      </w:r>
    </w:p>
    <w:p>
      <w:pPr>
        <w:pStyle w:val="ListParagraph"/>
        <w:numPr>
          <w:ilvl w:val="0"/>
          <w:numId w:val="3"/>
        </w:numPr>
        <w:spacing w:after="60"/>
        <w:jc w:val="both"/>
      </w:pPr>
      <w:r>
        <w:rPr>
          <w:rFonts w:ascii="Times New Roman" w:hAnsi="Times New Roman" w:cs="Times New Roman" w:eastAsia="Times New Roman"/>
          <w:b w:val="false"/>
          <w:bCs w:val="false"/>
          <w:i/>
          <w:iCs/>
          <w:smallCaps w:val="false"/>
          <w:sz w:val="20"/>
          <w:szCs w:val="20"/>
        </w:rPr>
        <w:t xml:space="preserve">A stateful, keyless guard.</w:t>
      </w:r>
      <w:r>
        <w:rPr>
          <w:rFonts w:ascii="Times New Roman" w:hAnsi="Times New Roman" w:cs="Times New Roman" w:eastAsia="Times New Roman"/>
          <w:b w:val="false"/>
          <w:bCs w:val="false"/>
          <w:i w:val="false"/>
          <w:iCs w:val="false"/>
          <w:smallCaps w:val="false"/>
          <w:sz w:val="20"/>
          <w:szCs w:val="20"/>
        </w:rPr>
        <w:t xml:space="preserve"> A zero-knowledge proof of a deterministic risk computation replaces the signature, and an on-chain ledger of execution loss, committed into every proof, carries state from one trade to the next.</w:t>
      </w:r>
    </w:p>
    <w:p>
      <w:pPr>
        <w:pStyle w:val="ListParagraph"/>
        <w:numPr>
          <w:ilvl w:val="0"/>
          <w:numId w:val="3"/>
        </w:numPr>
        <w:spacing w:after="60"/>
        <w:jc w:val="both"/>
      </w:pPr>
      <w:r>
        <w:rPr>
          <w:rFonts w:ascii="Times New Roman" w:hAnsi="Times New Roman" w:cs="Times New Roman" w:eastAsia="Times New Roman"/>
          <w:b w:val="false"/>
          <w:bCs w:val="false"/>
          <w:i/>
          <w:iCs/>
          <w:smallCaps w:val="false"/>
          <w:sz w:val="20"/>
          <w:szCs w:val="20"/>
        </w:rPr>
        <w:t xml:space="preserve">Binding the proof to an action, a policy, and chain state.</w:t>
      </w:r>
      <w:r>
        <w:rPr>
          <w:rFonts w:ascii="Times New Roman" w:hAnsi="Times New Roman" w:cs="Times New Roman" w:eastAsia="Times New Roman"/>
          <w:b w:val="false"/>
          <w:bCs w:val="false"/>
          <w:i w:val="false"/>
          <w:iCs w:val="false"/>
          <w:smallCaps w:val="false"/>
          <w:sz w:val="20"/>
          <w:szCs w:val="20"/>
        </w:rPr>
        <w:t xml:space="preserve"> An action hash, a policy commitment, price-log heads, and the ledger state tie every proof to one swap under one set of limits, and the contract re-derives each limit that is cheap to compute.</w:t>
      </w:r>
    </w:p>
    <w:p>
      <w:pPr>
        <w:pStyle w:val="ListParagraph"/>
        <w:numPr>
          <w:ilvl w:val="0"/>
          <w:numId w:val="3"/>
        </w:numPr>
        <w:spacing w:after="60"/>
        <w:jc w:val="both"/>
      </w:pPr>
      <w:r>
        <w:rPr>
          <w:rFonts w:ascii="Times New Roman" w:hAnsi="Times New Roman" w:cs="Times New Roman" w:eastAsia="Times New Roman"/>
          <w:b w:val="false"/>
          <w:bCs w:val="false"/>
          <w:i/>
          <w:iCs/>
          <w:smallCaps w:val="false"/>
          <w:sz w:val="20"/>
          <w:szCs w:val="20"/>
        </w:rPr>
        <w:t xml:space="preserve">An evaluation that isolates each mechanism.</w:t>
      </w:r>
      <w:r>
        <w:rPr>
          <w:rFonts w:ascii="Times New Roman" w:hAnsi="Times New Roman" w:cs="Times New Roman" w:eastAsia="Times New Roman"/>
          <w:b w:val="false"/>
          <w:bCs w:val="false"/>
          <w:i w:val="false"/>
          <w:iCs w:val="false"/>
          <w:smallCaps w:val="false"/>
          <w:sz w:val="20"/>
          <w:szCs w:val="20"/>
        </w:rPr>
        <w:t xml:space="preserve"> On 250 seeded trials we separate structural cases, each backed by a Foundry test, from attacks the guest decides. A stateless proof admits multi-trade drains that the ledger bounds. A daily notional cap bounds them too, and we measure the benign turnover it refuses. The proved volatility statistic is what stops buys during volatility spikes, including one replayed from the August 2024 ETH unwind.</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Section II surveys related work and Section III states the threat model. Section IV presents the design, Section V the algorithms, Section VI a security analysis, and Section VII the implementation. Section VIII reports the evaluation, and Sections IX and X discuss limitations and conclude. Section IX also states what the evidence does not establish.</w:t>
      </w:r>
    </w:p>
    <w:p>
      <w:pPr>
        <w:pStyle w:val="Heading1"/>
        <w:numPr>
          <w:ilvl w:val="0"/>
          <w:numId w:val="2"/>
        </w:numPr>
      </w:pPr>
      <w:r>
        <w:rPr>
          <w:rFonts w:ascii="Times New Roman" w:hAnsi="Times New Roman" w:cs="Times New Roman" w:eastAsia="Times New Roman"/>
          <w:smallCaps/>
          <w:sz w:val="20"/>
          <w:szCs w:val="20"/>
        </w:rPr>
        <w:t xml:space="preserve">Background and Related Work</w:t>
      </w:r>
    </w:p>
    <w:p>
      <w:pPr>
        <w:pStyle w:val="Heading2"/>
        <w:numPr>
          <w:ilvl w:val="1"/>
          <w:numId w:val="2"/>
        </w:numPr>
      </w:pPr>
      <w:r>
        <w:rPr>
          <w:rFonts w:ascii="Times New Roman" w:hAnsi="Times New Roman" w:cs="Times New Roman" w:eastAsia="Times New Roman"/>
          <w:i/>
          <w:iCs/>
          <w:sz w:val="20"/>
          <w:szCs w:val="20"/>
        </w:rPr>
        <w:t xml:space="preserve">Prompt Injection and Web3 Agents</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Prompt injection redirects a model away from its intended goal by means of attacker-supplied text [1]. In the indirect variant, that text arrives inside data the application fetches [2]. Benchmarks such as InjecAgent [6] and AgentDojo [7] show that tool-using agents remain vulnerable across models and defenses. In the wallet setting, Patlan et al. show that corrupting an agent’s prompt or stored memory leads to unauthorized transfers, and they release the CrAIBench benchmark [3]. CaMeL argues for defenses that hold by construction rather than by model behavior [8]. zkLeash applies the same principle at the wallet: its guarantees do not depend on the model resisting the attack.</w:t>
      </w:r>
    </w:p>
    <w:p>
      <w:pPr>
        <w:pStyle w:val="Heading2"/>
        <w:numPr>
          <w:ilvl w:val="1"/>
          <w:numId w:val="2"/>
        </w:numPr>
      </w:pPr>
      <w:r>
        <w:rPr>
          <w:rFonts w:ascii="Times New Roman" w:hAnsi="Times New Roman" w:cs="Times New Roman" w:eastAsia="Times New Roman"/>
          <w:i/>
          <w:iCs/>
          <w:sz w:val="20"/>
          <w:szCs w:val="20"/>
        </w:rPr>
        <w:t xml:space="preserve">Transaction-Level Guards</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PACE is an authorization framework that works on individual transactions [4]. An agent’s request is expressed as a typed intent, a deterministic verifier evaluates it against a policy, and the outcome is recorded in a signed decision record that ties the approved intent, the policy, and the simulation report to the exact bytes that will be executed, with replay and expiry protection. A Solidity smart account validates the signatures on-chain. In the adaptive study, PACE and every baseline admit all 8 of 8 policy-valid but harmful cases (Table 4, seed 0). Those cases include a swap at the slippage bound, a transfer at the value cap, an approval to an allowlisted spender, and a five-leg drain whose legs each stay under the cap. The authors leave multi-step loops that compose policy-valid legs, and integration with ERC-4337 validateUserOp, as future work.</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Proof-Gated Signing takes a different route [5]. It simulates the transaction, asks a solver whether a value-and-permission policy holds at every price inside an oracle-uncertainty band, and turns the assumptions behind that result into post-conditions that the wallet checks atomically at execution time, so that the guarantee survives changes in chain state between the check and the execution. The one family it does not prevent is an in-policy drain that stays within the per-session budget.</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Zero-knowledge proofs have also been attached to agent guardrails. NiyamAI commits permitted tools and constraints to an intent contract and proves that each authorized tool call was evaluated correctly under it [9], and ERC-8354 standardizes a pre-execution allow-or-deny verdict for an agent action, proven in zero knowledge against an undisclosed policy [10]. Both decide one action at a time. Wallet permission standards such as ERC-7715 grant an application scoped permissions, for example a token allowance with an expiry [11]; these are fixed budgets rather than limits that depend on market risk.</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zkLeash differs from these systems in two respects. It keeps state across trades, through an execution-loss ledger and an exposure limit scaled by volatility, and it substitutes a proof over authenticated market data for a signature. Its treatment of state drift is weaker than that of Proof-Gated Signing: we rely on a live-price band and a minimum output, and we do not simulate the transaction.</w:t>
      </w:r>
    </w:p>
    <w:p>
      <w:pPr>
        <w:pStyle w:val="Heading2"/>
        <w:numPr>
          <w:ilvl w:val="1"/>
          <w:numId w:val="2"/>
        </w:numPr>
      </w:pPr>
      <w:r>
        <w:rPr>
          <w:rFonts w:ascii="Times New Roman" w:hAnsi="Times New Roman" w:cs="Times New Roman" w:eastAsia="Times New Roman"/>
          <w:i/>
          <w:iCs/>
          <w:sz w:val="20"/>
          <w:szCs w:val="20"/>
        </w:rPr>
        <w:t xml:space="preserve">Account Abstraction and Zero-Knowledge Virtual Machines</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ERC-4337 specifies smart accounts that validate user operations without any change to the protocol [12]. ERC-7579 adds modular validators and executors for such accounts [13], and ERC-7562 limits which state validation code may read, which lets bundlers simulate it safely [14]. The price oracle, the price log, and the verifier all sit outside the storage an account may touch during validation. For this reason zkLeash verifies the proof at execution time, in an ERC-7579 executor, and the validator only checks who signed and which function is called. SP1 compiles standard Rust to RISC-V and proves its execution, and a Groth16 wrapper lets an EVM contract verify the resulting proof [15].</w:t>
      </w:r>
    </w:p>
    <w:p>
      <w:pPr>
        <w:pStyle w:val="Heading2"/>
        <w:numPr>
          <w:ilvl w:val="1"/>
          <w:numId w:val="2"/>
        </w:numPr>
      </w:pPr>
      <w:r>
        <w:rPr>
          <w:rFonts w:ascii="Times New Roman" w:hAnsi="Times New Roman" w:cs="Times New Roman" w:eastAsia="Times New Roman"/>
          <w:i/>
          <w:iCs/>
          <w:sz w:val="20"/>
          <w:szCs w:val="20"/>
        </w:rPr>
        <w:t xml:space="preserve">Risk Measures and Oracles</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We measure volatility with an exponentially weighted moving average (EWMA) of squared returns and a decay factor of λ = 0.94, the RiskMetrics choice [16]. It needs no parameter fitting and is deterministic in integer arithmetic. Prices come from Pyth, a pull-based oracle in which the transaction carries a signed price update that the chain verifies [17].</w:t>
      </w:r>
    </w:p>
    <w:p>
      <w:pPr>
        <w:pStyle w:val="Heading1"/>
        <w:numPr>
          <w:ilvl w:val="0"/>
          <w:numId w:val="2"/>
        </w:numPr>
      </w:pPr>
      <w:r>
        <w:rPr>
          <w:rFonts w:ascii="Times New Roman" w:hAnsi="Times New Roman" w:cs="Times New Roman" w:eastAsia="Times New Roman"/>
          <w:smallCaps/>
          <w:sz w:val="20"/>
          <w:szCs w:val="20"/>
        </w:rPr>
        <w:t xml:space="preserve">Threat Model</w:t>
      </w:r>
    </w:p>
    <w:p>
      <w:pPr>
        <w:spacing w:before="0" w:after="0"/>
        <w:ind w:firstLine="288"/>
        <w:jc w:val="both"/>
      </w:pPr>
      <w:r>
        <w:rPr>
          <w:rFonts w:ascii="Times New Roman" w:hAnsi="Times New Roman" w:cs="Times New Roman" w:eastAsia="Times New Roman"/>
          <w:b w:val="false"/>
          <w:bCs w:val="false"/>
          <w:i/>
          <w:iCs/>
          <w:smallCaps w:val="false"/>
          <w:sz w:val="20"/>
          <w:szCs w:val="20"/>
        </w:rPr>
        <w:t xml:space="preserve">Adversary.</w:t>
      </w:r>
      <w:r>
        <w:rPr>
          <w:rFonts w:ascii="Times New Roman" w:hAnsi="Times New Roman" w:cs="Times New Roman" w:eastAsia="Times New Roman"/>
          <w:b w:val="false"/>
          <w:bCs w:val="false"/>
          <w:i w:val="false"/>
          <w:iCs w:val="false"/>
          <w:smallCaps w:val="false"/>
          <w:sz w:val="20"/>
          <w:szCs w:val="20"/>
        </w:rPr>
        <w:t xml:space="preserve"> The adversary controls all content the agent reads and can therefore make the agent propose any action. It may control the machine that runs the prover, may hold the agent’s session key, may append prices to the permissionless price log, and may reorder or sandwich a swap within its minimum output.</w:t>
      </w:r>
    </w:p>
    <w:p>
      <w:pPr>
        <w:spacing w:before="0" w:after="0"/>
        <w:ind w:firstLine="288"/>
        <w:jc w:val="both"/>
      </w:pPr>
      <w:r>
        <w:rPr>
          <w:rFonts w:ascii="Times New Roman" w:hAnsi="Times New Roman" w:cs="Times New Roman" w:eastAsia="Times New Roman"/>
          <w:b w:val="false"/>
          <w:bCs w:val="false"/>
          <w:i/>
          <w:iCs/>
          <w:smallCaps w:val="false"/>
          <w:sz w:val="20"/>
          <w:szCs w:val="20"/>
        </w:rPr>
        <w:t xml:space="preserve">Trusted.</w:t>
      </w:r>
      <w:r>
        <w:rPr>
          <w:rFonts w:ascii="Times New Roman" w:hAnsi="Times New Roman" w:cs="Times New Roman" w:eastAsia="Times New Roman"/>
          <w:b w:val="false"/>
          <w:bCs w:val="false"/>
          <w:i w:val="false"/>
          <w:iCs w:val="false"/>
          <w:smallCaps w:val="false"/>
          <w:sz w:val="20"/>
          <w:szCs w:val="20"/>
        </w:rPr>
        <w:t xml:space="preserve"> We assume that SP1 and the on-chain verifier are sound, that Pyth prices are correct within the stated deviation band, that the deployed bytecode and the owner key are honest, and that allowlisted routers behave as their interface specifies.</w:t>
      </w:r>
    </w:p>
    <w:p>
      <w:pPr>
        <w:spacing w:before="0" w:after="0"/>
        <w:ind w:firstLine="288"/>
        <w:jc w:val="both"/>
      </w:pPr>
      <w:r>
        <w:rPr>
          <w:rFonts w:ascii="Times New Roman" w:hAnsi="Times New Roman" w:cs="Times New Roman" w:eastAsia="Times New Roman"/>
          <w:b w:val="false"/>
          <w:bCs w:val="false"/>
          <w:i/>
          <w:iCs/>
          <w:smallCaps w:val="false"/>
          <w:sz w:val="20"/>
          <w:szCs w:val="20"/>
        </w:rPr>
        <w:t xml:space="preserve">Goals.</w:t>
      </w:r>
      <w:r>
        <w:rPr>
          <w:rFonts w:ascii="Times New Roman" w:hAnsi="Times New Roman" w:cs="Times New Roman" w:eastAsia="Times New Roman"/>
          <w:b w:val="false"/>
          <w:bCs w:val="false"/>
          <w:i w:val="false"/>
          <w:iCs w:val="false"/>
          <w:smallCaps w:val="false"/>
          <w:sz w:val="20"/>
          <w:szCs w:val="20"/>
        </w:rPr>
        <w:t xml:space="preserve"> (G1) No operation signed by the session key moves tokens to any address other than the account. (G2) No swap executes unless the risk function approved that exact action under the deployed policy, the current price log, and the current ledger. (G3) Within a window, cumulative execution loss, valued at proven prices, never exceeds a fixed cap.</w:t>
      </w:r>
    </w:p>
    <w:p>
      <w:pPr>
        <w:spacing w:before="0" w:after="0"/>
        <w:ind w:firstLine="288"/>
        <w:jc w:val="both"/>
      </w:pPr>
      <w:r>
        <w:rPr>
          <w:rFonts w:ascii="Times New Roman" w:hAnsi="Times New Roman" w:cs="Times New Roman" w:eastAsia="Times New Roman"/>
          <w:b w:val="false"/>
          <w:bCs w:val="false"/>
          <w:i/>
          <w:iCs/>
          <w:smallCaps w:val="false"/>
          <w:sz w:val="20"/>
          <w:szCs w:val="20"/>
        </w:rPr>
        <w:t xml:space="preserve">Out of scope.</w:t>
      </w:r>
      <w:r>
        <w:rPr>
          <w:rFonts w:ascii="Times New Roman" w:hAnsi="Times New Roman" w:cs="Times New Roman" w:eastAsia="Times New Roman"/>
          <w:b w:val="false"/>
          <w:bCs w:val="false"/>
          <w:i w:val="false"/>
          <w:iCs w:val="false"/>
          <w:smallCaps w:val="false"/>
          <w:sz w:val="20"/>
          <w:szCs w:val="20"/>
        </w:rPr>
        <w:t xml:space="preserve"> Compromise of the owner key, which can call the account directly; oracle manipulation within the permitted band; market moves between trades, which G3 does not count and the drawdown limit addresses only in part; and bugs in the router.</w:t>
      </w:r>
    </w:p>
    <w:p>
      <w:pPr>
        <w:pStyle w:val="Heading1"/>
        <w:numPr>
          <w:ilvl w:val="0"/>
          <w:numId w:val="2"/>
        </w:numPr>
      </w:pPr>
      <w:r>
        <w:rPr>
          <w:rFonts w:ascii="Times New Roman" w:hAnsi="Times New Roman" w:cs="Times New Roman" w:eastAsia="Times New Roman"/>
          <w:smallCaps/>
          <w:sz w:val="20"/>
          <w:szCs w:val="20"/>
        </w:rPr>
        <w:t xml:space="preserve">System Design</w:t>
      </w:r>
    </w:p>
    <w:p>
      <w:pPr>
        <w:pStyle w:val="Heading2"/>
        <w:numPr>
          <w:ilvl w:val="1"/>
          <w:numId w:val="2"/>
        </w:numPr>
      </w:pPr>
      <w:r>
        <w:rPr>
          <w:rFonts w:ascii="Times New Roman" w:hAnsi="Times New Roman" w:cs="Times New Roman" w:eastAsia="Times New Roman"/>
          <w:i/>
          <w:iCs/>
          <w:sz w:val="20"/>
          <w:szCs w:val="20"/>
        </w:rPr>
        <w:t xml:space="preserve">Overview</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Fig. 1 shows the components and the trust boundary. The agent observes a market and produces one typed intent: swap, transfer, or hold. The transaction builder maps a swap to an action and has no encoding for a transfer; this is a convenience rather than a security boundary, since the adversary may control that machine. The risk function, written in Rust and compiled for the SP1 zkVM, reads the action, the portfolio, the price log, and the ledger state, and emits an allow-or-deny decision with a public-values record of 52 words. The session key can call only executeGuarded on the executor, which verifies the proof, re-checks every limit that is cheap to check, swaps with the account as recipient, and updates the ledger.</w:t>
      </w:r>
    </w:p>
    <w:p>
      <w:pPr>
        <w:keepNext/>
        <w:spacing w:before="60" w:after="60"/>
        <w:jc w:val="center"/>
      </w:pPr>
      <w:r>
        <w:drawing>
          <wp:inline xmlns:a="http://schemas.openxmlformats.org/drawingml/2006/main" xmlns:pic="http://schemas.openxmlformats.org/drawingml/2006/picture">
            <wp:extent cx="3017520" cy="1986077"/>
            <wp:docPr id="13" name="Fig1" descr="zkLeash components in off-chain and on-chain lanes"/>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017520" cy="1986077"/>
                    </a:xfrm>
                    <a:prstGeom prst="rect"/>
                  </pic:spPr>
                </pic:pic>
              </a:graphicData>
            </a:graphic>
          </wp:inline>
        </w:drawing>
      </w:r>
    </w:p>
    <w:p>
      <w:pPr>
        <w:spacing w:after="120"/>
        <w:jc w:val="both"/>
      </w:pPr>
      <w:r>
        <w:rPr>
          <w:rFonts w:ascii="Times New Roman" w:hAnsi="Times New Roman" w:cs="Times New Roman" w:eastAsia="Times New Roman"/>
          <w:b w:val="false"/>
          <w:bCs w:val="false"/>
          <w:i w:val="false"/>
          <w:iCs w:val="false"/>
          <w:smallCaps w:val="false"/>
          <w:sz w:val="16"/>
          <w:szCs w:val="16"/>
        </w:rPr>
        <w:t xml:space="preserve">Fig. 1. zkLeash components. Everything off-chain, including the prover host, is untrusted. The guest reads the price-log heads and the ledger state, and the executor compares both with chain state before it swaps.</w:t>
      </w:r>
    </w:p>
    <w:p>
      <w:pPr>
        <w:pStyle w:val="Heading2"/>
        <w:numPr>
          <w:ilvl w:val="1"/>
          <w:numId w:val="2"/>
        </w:numPr>
      </w:pPr>
      <w:r>
        <w:rPr>
          <w:rFonts w:ascii="Times New Roman" w:hAnsi="Times New Roman" w:cs="Times New Roman" w:eastAsia="Times New Roman"/>
          <w:i/>
          <w:iCs/>
          <w:sz w:val="20"/>
          <w:szCs w:val="20"/>
        </w:rPr>
        <w:t xml:space="preserve">Components</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Table I lists the on-chain and off-chain components.</w:t>
      </w:r>
    </w:p>
    <w:p>
      <w:pPr>
        <w:keepNext/>
        <w:spacing w:after="0"/>
        <w:jc w:val="center"/>
      </w:pPr>
      <w:r>
        <w:rPr>
          <w:rFonts w:ascii="Times New Roman" w:hAnsi="Times New Roman" w:cs="Times New Roman" w:eastAsia="Times New Roman"/>
          <w:smallCaps/>
          <w:sz w:val="16"/>
          <w:szCs w:val="16"/>
        </w:rPr>
        <w:t xml:space="preserve">Table I</w:t>
      </w:r>
    </w:p>
    <w:p>
      <w:pPr>
        <w:keepNext/>
        <w:spacing w:after="60"/>
        <w:jc w:val="center"/>
      </w:pPr>
      <w:r>
        <w:rPr>
          <w:rFonts w:ascii="Times New Roman" w:hAnsi="Times New Roman" w:cs="Times New Roman" w:eastAsia="Times New Roman"/>
          <w:smallCaps/>
          <w:sz w:val="16"/>
          <w:szCs w:val="16"/>
        </w:rPr>
        <w:t xml:space="preserve">Components of zkLeash</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540"/>
      </w:tblGrid>
      <w:tr>
        <w:trPr>
          <w:cantSplit/>
          <w:tblHeader/>
        </w:trPr>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sz w:val="16"/>
                <w:szCs w:val="16"/>
              </w:rPr>
              <w:t xml:space="preserve">Component</w:t>
            </w:r>
          </w:p>
        </w:tc>
        <w:tc>
          <w:tcPr>
            <w:tcW w:type="dxa" w:w="35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sz w:val="16"/>
                <w:szCs w:val="16"/>
              </w:rPr>
              <w:t xml:space="preserve">Role</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left"/>
            </w:pPr>
            <w:r>
              <w:rPr>
                <w:rFonts w:ascii="Times New Roman" w:hAnsi="Times New Roman" w:cs="Times New Roman" w:eastAsia="Times New Roman"/>
                <w:b w:val="false"/>
                <w:bCs w:val="false"/>
                <w:i w:val="false"/>
                <w:iCs w:val="false"/>
                <w:smallCaps w:val="false"/>
                <w:sz w:val="16"/>
                <w:szCs w:val="16"/>
              </w:rPr>
              <w:t xml:space="preserve">Agent</w:t>
            </w:r>
          </w:p>
        </w:tc>
        <w:tc>
          <w:tcPr>
            <w:tcW w:type="dxa" w:w="35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Proposes one typed intent; never signs</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left"/>
            </w:pPr>
            <w:r>
              <w:rPr>
                <w:rFonts w:ascii="Times New Roman" w:hAnsi="Times New Roman" w:cs="Times New Roman" w:eastAsia="Times New Roman"/>
                <w:b w:val="false"/>
                <w:bCs w:val="false"/>
                <w:i w:val="false"/>
                <w:iCs w:val="false"/>
                <w:smallCaps w:val="false"/>
                <w:sz w:val="16"/>
                <w:szCs w:val="16"/>
              </w:rPr>
              <w:t xml:space="preserve">Transaction builder</w:t>
            </w:r>
          </w:p>
        </w:tc>
        <w:tc>
          <w:tcPr>
            <w:tcW w:type="dxa" w:w="35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Maps a swap to an action; not a security boundary</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left"/>
            </w:pPr>
            <w:r>
              <w:rPr>
                <w:rFonts w:ascii="Times New Roman" w:hAnsi="Times New Roman" w:cs="Times New Roman" w:eastAsia="Times New Roman"/>
                <w:b w:val="false"/>
                <w:bCs w:val="false"/>
                <w:i w:val="false"/>
                <w:iCs w:val="false"/>
                <w:smallCaps w:val="false"/>
                <w:sz w:val="16"/>
                <w:szCs w:val="16"/>
              </w:rPr>
              <w:t xml:space="preserve">Risk function (guest)</w:t>
            </w:r>
          </w:p>
        </w:tc>
        <w:tc>
          <w:tcPr>
            <w:tcW w:type="dxa" w:w="35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EWMA volatility, exposure, and limits; commits the decision</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left"/>
            </w:pPr>
            <w:r>
              <w:rPr>
                <w:rFonts w:ascii="Times New Roman" w:hAnsi="Times New Roman" w:cs="Times New Roman" w:eastAsia="Times New Roman"/>
                <w:b w:val="false"/>
                <w:bCs w:val="false"/>
                <w:i w:val="false"/>
                <w:iCs w:val="false"/>
                <w:smallCaps w:val="false"/>
                <w:sz w:val="16"/>
                <w:szCs w:val="16"/>
              </w:rPr>
              <w:t xml:space="preserve">Session-key validator</w:t>
            </w:r>
          </w:p>
        </w:tc>
        <w:tc>
          <w:tcPr>
            <w:tcW w:type="dxa" w:w="35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Admits only calls to executeGuarded</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left"/>
            </w:pPr>
            <w:r>
              <w:rPr>
                <w:rFonts w:ascii="Times New Roman" w:hAnsi="Times New Roman" w:cs="Times New Roman" w:eastAsia="Times New Roman"/>
                <w:b w:val="false"/>
                <w:bCs w:val="false"/>
                <w:i w:val="false"/>
                <w:iCs w:val="false"/>
                <w:smallCaps w:val="false"/>
                <w:sz w:val="16"/>
                <w:szCs w:val="16"/>
              </w:rPr>
              <w:t xml:space="preserve">Executor</w:t>
            </w:r>
          </w:p>
        </w:tc>
        <w:tc>
          <w:tcPr>
            <w:tcW w:type="dxa" w:w="35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Verifies the proof, re-checks limits, swaps to the account</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left"/>
            </w:pPr>
            <w:r>
              <w:rPr>
                <w:rFonts w:ascii="Times New Roman" w:hAnsi="Times New Roman" w:cs="Times New Roman" w:eastAsia="Times New Roman"/>
                <w:b w:val="false"/>
                <w:bCs w:val="false"/>
                <w:i w:val="false"/>
                <w:iCs w:val="false"/>
                <w:smallCaps w:val="false"/>
                <w:sz w:val="16"/>
                <w:szCs w:val="16"/>
              </w:rPr>
              <w:t xml:space="preserve">Account</w:t>
            </w:r>
          </w:p>
        </w:tc>
        <w:tc>
          <w:tcPr>
            <w:tcW w:type="dxa" w:w="35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Minimal ERC-4337 and ERC-7579 account</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left"/>
            </w:pPr>
            <w:r>
              <w:rPr>
                <w:rFonts w:ascii="Times New Roman" w:hAnsi="Times New Roman" w:cs="Times New Roman" w:eastAsia="Times New Roman"/>
                <w:b w:val="false"/>
                <w:bCs w:val="false"/>
                <w:i w:val="false"/>
                <w:iCs w:val="false"/>
                <w:smallCaps w:val="false"/>
                <w:sz w:val="16"/>
                <w:szCs w:val="16"/>
              </w:rPr>
              <w:t xml:space="preserve">Price log</w:t>
            </w:r>
          </w:p>
        </w:tc>
        <w:tc>
          <w:tcPr>
            <w:tcW w:type="dxa" w:w="35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Hash chain of Pyth prices with increasing publish times</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left"/>
            </w:pPr>
            <w:r>
              <w:rPr>
                <w:rFonts w:ascii="Times New Roman" w:hAnsi="Times New Roman" w:cs="Times New Roman" w:eastAsia="Times New Roman"/>
                <w:b w:val="false"/>
                <w:bCs w:val="false"/>
                <w:i w:val="false"/>
                <w:iCs w:val="false"/>
                <w:smallCaps w:val="false"/>
                <w:sz w:val="16"/>
                <w:szCs w:val="16"/>
              </w:rPr>
              <w:t xml:space="preserve">Risk ledger</w:t>
            </w:r>
          </w:p>
        </w:tc>
        <w:tc>
          <w:tcPr>
            <w:tcW w:type="dxa" w:w="35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Window execution loss, peak equity, trade count</w:t>
            </w:r>
          </w:p>
        </w:tc>
      </w:tr>
    </w:tbl>
    <w:p>
      <w:pPr>
        <w:pStyle w:val="Heading2"/>
        <w:numPr>
          <w:ilvl w:val="1"/>
          <w:numId w:val="2"/>
        </w:numPr>
      </w:pPr>
      <w:r>
        <w:rPr>
          <w:rFonts w:ascii="Times New Roman" w:hAnsi="Times New Roman" w:cs="Times New Roman" w:eastAsia="Times New Roman"/>
          <w:i/>
          <w:iCs/>
          <w:sz w:val="20"/>
          <w:szCs w:val="20"/>
        </w:rPr>
        <w:t xml:space="preserve">Binding the Proof</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Four commitments restrict a proof to one use. The action hash covers the chain identifier, the account, the router, both tokens, the fee, the input amount, the deadline, and the account nonce. The policy commitment covers every limit: volatility-scaled exposure, concentration, drawdown, notional, slippage, window loss, window length, trade count, minimum history, price deviation, price age, and the quote token. The first and last price-log heads of each asset pin the history the guest read, and the committed ledger fields (cumulative profit and loss, peak equity, window loss, window start, and trade count) pin the outcome of earlier trades. The executor recomputes the action hash, compares the rest with its own storage, and rejects any mismatch. The nonce is incremented only once the action hash matches, so a replayed proof reverts.</w:t>
      </w:r>
    </w:p>
    <w:p>
      <w:pPr>
        <w:pStyle w:val="Heading2"/>
        <w:numPr>
          <w:ilvl w:val="1"/>
          <w:numId w:val="2"/>
        </w:numPr>
      </w:pPr>
      <w:r>
        <w:rPr>
          <w:rFonts w:ascii="Times New Roman" w:hAnsi="Times New Roman" w:cs="Times New Roman" w:eastAsia="Times New Roman"/>
          <w:i/>
          <w:iCs/>
          <w:sz w:val="20"/>
          <w:szCs w:val="20"/>
        </w:rPr>
        <w:t xml:space="preserve">Execution Checks</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The executor carries out the following steps in order.</w:t>
      </w:r>
    </w:p>
    <w:p>
      <w:pPr>
        <w:pStyle w:val="ListParagraph"/>
        <w:numPr>
          <w:ilvl w:val="0"/>
          <w:numId w:val="4"/>
        </w:numPr>
        <w:spacing w:after="60"/>
        <w:jc w:val="both"/>
      </w:pPr>
      <w:r>
        <w:rPr>
          <w:rFonts w:ascii="Times New Roman" w:hAnsi="Times New Roman" w:cs="Times New Roman" w:eastAsia="Times New Roman"/>
          <w:b w:val="false"/>
          <w:bCs w:val="false"/>
          <w:i w:val="false"/>
          <w:iCs w:val="false"/>
          <w:smallCaps w:val="false"/>
          <w:sz w:val="20"/>
          <w:szCs w:val="20"/>
        </w:rPr>
        <w:t xml:space="preserve">Accept any attached Pyth update blobs and pay the update fee.</w:t>
      </w:r>
    </w:p>
    <w:p>
      <w:pPr>
        <w:pStyle w:val="ListParagraph"/>
        <w:numPr>
          <w:ilvl w:val="0"/>
          <w:numId w:val="4"/>
        </w:numPr>
        <w:spacing w:after="60"/>
        <w:jc w:val="both"/>
      </w:pPr>
      <w:r>
        <w:rPr>
          <w:rFonts w:ascii="Times New Roman" w:hAnsi="Times New Roman" w:cs="Times New Roman" w:eastAsia="Times New Roman"/>
          <w:b w:val="false"/>
          <w:bCs w:val="false"/>
          <w:i w:val="false"/>
          <w:iCs w:val="false"/>
          <w:smallCaps w:val="false"/>
          <w:sz w:val="20"/>
          <w:szCs w:val="20"/>
        </w:rPr>
        <w:t xml:space="preserve">Verify the proof against the program’s verification key.</w:t>
      </w:r>
    </w:p>
    <w:p>
      <w:pPr>
        <w:pStyle w:val="ListParagraph"/>
        <w:numPr>
          <w:ilvl w:val="0"/>
          <w:numId w:val="4"/>
        </w:numPr>
        <w:spacing w:after="60"/>
        <w:jc w:val="both"/>
      </w:pPr>
      <w:r>
        <w:rPr>
          <w:rFonts w:ascii="Times New Roman" w:hAnsi="Times New Roman" w:cs="Times New Roman" w:eastAsia="Times New Roman"/>
          <w:b w:val="false"/>
          <w:bCs w:val="false"/>
          <w:i w:val="false"/>
          <w:iCs w:val="false"/>
          <w:smallCaps w:val="false"/>
          <w:sz w:val="20"/>
          <w:szCs w:val="20"/>
        </w:rPr>
        <w:t xml:space="preserve">Decode the public values and require an allow decision, unexpired timestamps, a matching policy commitment, the expected number of assets, and an allowlisted router.</w:t>
      </w:r>
    </w:p>
    <w:p>
      <w:pPr>
        <w:pStyle w:val="ListParagraph"/>
        <w:numPr>
          <w:ilvl w:val="0"/>
          <w:numId w:val="4"/>
        </w:numPr>
        <w:spacing w:after="60"/>
        <w:jc w:val="both"/>
      </w:pPr>
      <w:r>
        <w:rPr>
          <w:rFonts w:ascii="Times New Roman" w:hAnsi="Times New Roman" w:cs="Times New Roman" w:eastAsia="Times New Roman"/>
          <w:b w:val="false"/>
          <w:bCs w:val="false"/>
          <w:i w:val="false"/>
          <w:iCs w:val="false"/>
          <w:smallCaps w:val="false"/>
          <w:sz w:val="20"/>
          <w:szCs w:val="20"/>
        </w:rPr>
        <w:t xml:space="preserve">Recompute the action hash with the current nonce, then increment the nonce.</w:t>
      </w:r>
    </w:p>
    <w:p>
      <w:pPr>
        <w:pStyle w:val="ListParagraph"/>
        <w:numPr>
          <w:ilvl w:val="0"/>
          <w:numId w:val="4"/>
        </w:numPr>
        <w:spacing w:after="60"/>
        <w:jc w:val="both"/>
      </w:pPr>
      <w:r>
        <w:rPr>
          <w:rFonts w:ascii="Times New Roman" w:hAnsi="Times New Roman" w:cs="Times New Roman" w:eastAsia="Times New Roman"/>
          <w:b w:val="false"/>
          <w:bCs w:val="false"/>
          <w:i w:val="false"/>
          <w:iCs w:val="false"/>
          <w:smallCaps w:val="false"/>
          <w:sz w:val="20"/>
          <w:szCs w:val="20"/>
        </w:rPr>
        <w:t xml:space="preserve">Resolve the token indexes, rejecting unknown tokens and any swap of a token for itself.</w:t>
      </w:r>
    </w:p>
    <w:p>
      <w:pPr>
        <w:pStyle w:val="ListParagraph"/>
        <w:numPr>
          <w:ilvl w:val="0"/>
          <w:numId w:val="4"/>
        </w:numPr>
        <w:spacing w:after="60"/>
        <w:jc w:val="both"/>
      </w:pPr>
      <w:r>
        <w:rPr>
          <w:rFonts w:ascii="Times New Roman" w:hAnsi="Times New Roman" w:cs="Times New Roman" w:eastAsia="Times New Roman"/>
          <w:b w:val="false"/>
          <w:bCs w:val="false"/>
          <w:i w:val="false"/>
          <w:iCs w:val="false"/>
          <w:smallCaps w:val="false"/>
          <w:sz w:val="20"/>
          <w:szCs w:val="20"/>
        </w:rPr>
        <w:t xml:space="preserve">For each asset, read the live Pyth price and require that it is fresh, has the expected exponent, and lies within 0.5% of the proven price; require the minimum history and that the first and last log heads match the proof.</w:t>
      </w:r>
    </w:p>
    <w:p>
      <w:pPr>
        <w:pStyle w:val="ListParagraph"/>
        <w:numPr>
          <w:ilvl w:val="0"/>
          <w:numId w:val="4"/>
        </w:numPr>
        <w:spacing w:after="60"/>
        <w:jc w:val="both"/>
      </w:pPr>
      <w:r>
        <w:rPr>
          <w:rFonts w:ascii="Times New Roman" w:hAnsi="Times New Roman" w:cs="Times New Roman" w:eastAsia="Times New Roman"/>
          <w:b w:val="false"/>
          <w:bCs w:val="false"/>
          <w:i w:val="false"/>
          <w:iCs w:val="false"/>
          <w:smallCaps w:val="false"/>
          <w:sz w:val="20"/>
          <w:szCs w:val="20"/>
        </w:rPr>
        <w:t xml:space="preserve">Check balances against the committed pre- and post-trade balances, recompute the volatility-scaled exposure from the committed volatilities, require that the ledger state matches the proof, and enforce the exposure, notional, concentration, drawdown, and trade-count limits.</w:t>
      </w:r>
    </w:p>
    <w:p>
      <w:pPr>
        <w:pStyle w:val="ListParagraph"/>
        <w:numPr>
          <w:ilvl w:val="0"/>
          <w:numId w:val="4"/>
        </w:numPr>
        <w:spacing w:after="60"/>
        <w:jc w:val="both"/>
      </w:pPr>
      <w:r>
        <w:rPr>
          <w:rFonts w:ascii="Times New Roman" w:hAnsi="Times New Roman" w:cs="Times New Roman" w:eastAsia="Times New Roman"/>
          <w:b w:val="false"/>
          <w:bCs w:val="false"/>
          <w:i w:val="false"/>
          <w:iCs w:val="false"/>
          <w:smallCaps w:val="false"/>
          <w:sz w:val="20"/>
          <w:szCs w:val="20"/>
        </w:rPr>
        <w:t xml:space="preserve">Swap with the account as recipient and an oracle-derived minimum output, then update the ledger. If the loss cap would be crossed, the whole call reverts.</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A trade that sells into the quote asset without raising the exposure is exempt from the exposure, concentration, and drawdown limits, so a user can always reduce risk; the notional limit, the minimum output, and the ledger still apply.</w:t>
      </w:r>
    </w:p>
    <w:p>
      <w:pPr>
        <w:pStyle w:val="Heading1"/>
        <w:numPr>
          <w:ilvl w:val="0"/>
          <w:numId w:val="2"/>
        </w:numPr>
      </w:pPr>
      <w:r>
        <w:rPr>
          <w:rFonts w:ascii="Times New Roman" w:hAnsi="Times New Roman" w:cs="Times New Roman" w:eastAsia="Times New Roman"/>
          <w:smallCaps/>
          <w:sz w:val="20"/>
          <w:szCs w:val="20"/>
        </w:rPr>
        <w:t xml:space="preserve">Algorithms</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All arithmetic uses integers scaled by 10</w:t>
      </w:r>
      <w:r>
        <w:rPr>
          <w:rFonts w:ascii="Times New Roman" w:hAnsi="Times New Roman" w:cs="Times New Roman" w:eastAsia="Times New Roman"/>
          <w:b w:val="false"/>
          <w:bCs w:val="false"/>
          <w:i w:val="false"/>
          <w:iCs w:val="false"/>
          <w:smallCaps w:val="false"/>
          <w:sz w:val="20"/>
          <w:szCs w:val="20"/>
          <w:vertAlign w:val="superscript"/>
        </w:rPr>
        <w:t xml:space="preserve">18</w:t>
      </w:r>
      <w:r>
        <w:rPr>
          <w:rFonts w:ascii="Times New Roman" w:hAnsi="Times New Roman" w:cs="Times New Roman" w:eastAsia="Times New Roman"/>
          <w:b w:val="false"/>
          <w:bCs w:val="false"/>
          <w:i w:val="false"/>
          <w:iCs w:val="false"/>
          <w:smallCaps w:val="false"/>
          <w:sz w:val="20"/>
          <w:szCs w:val="20"/>
        </w:rPr>
        <w:t xml:space="preserve">; no floating point is used. A Pyth price </w:t>
      </w:r>
      <w:r>
        <w:rPr>
          <w:rFonts w:ascii="Times New Roman" w:hAnsi="Times New Roman" w:cs="Times New Roman" w:eastAsia="Times New Roman"/>
          <w:b w:val="false"/>
          <w:bCs w:val="false"/>
          <w:i/>
          <w:iCs/>
          <w:smallCaps w:val="false"/>
          <w:sz w:val="20"/>
          <w:szCs w:val="20"/>
        </w:rPr>
        <w:t xml:space="preserve">p</w:t>
      </w:r>
      <w:r>
        <w:rPr>
          <w:rFonts w:ascii="Times New Roman" w:hAnsi="Times New Roman" w:cs="Times New Roman" w:eastAsia="Times New Roman"/>
          <w:b w:val="false"/>
          <w:bCs w:val="false"/>
          <w:i w:val="false"/>
          <w:iCs w:val="false"/>
          <w:smallCaps w:val="false"/>
          <w:sz w:val="20"/>
          <w:szCs w:val="20"/>
        </w:rPr>
        <w:t xml:space="preserve"> with exponent </w:t>
      </w:r>
      <w:r>
        <w:rPr>
          <w:rFonts w:ascii="Times New Roman" w:hAnsi="Times New Roman" w:cs="Times New Roman" w:eastAsia="Times New Roman"/>
          <w:b w:val="false"/>
          <w:bCs w:val="false"/>
          <w:i/>
          <w:iCs/>
          <w:smallCaps w:val="false"/>
          <w:sz w:val="20"/>
          <w:szCs w:val="20"/>
        </w:rPr>
        <w:t xml:space="preserve">e</w:t>
      </w:r>
      <w:r>
        <w:rPr>
          <w:rFonts w:ascii="Times New Roman" w:hAnsi="Times New Roman" w:cs="Times New Roman" w:eastAsia="Times New Roman"/>
          <w:b w:val="false"/>
          <w:bCs w:val="false"/>
          <w:i w:val="false"/>
          <w:iCs w:val="false"/>
          <w:smallCaps w:val="false"/>
          <w:sz w:val="20"/>
          <w:szCs w:val="20"/>
        </w:rPr>
        <w:t xml:space="preserve"> becomes </w:t>
      </w:r>
      <w:r>
        <w:rPr>
          <w:rFonts w:ascii="Times New Roman" w:hAnsi="Times New Roman" w:cs="Times New Roman" w:eastAsia="Times New Roman"/>
          <w:b w:val="false"/>
          <w:bCs w:val="false"/>
          <w:i/>
          <w:iCs/>
          <w:smallCaps w:val="false"/>
          <w:sz w:val="20"/>
          <w:szCs w:val="20"/>
        </w:rPr>
        <w:t xml:space="preserve">P</w:t>
      </w:r>
      <w:r>
        <w:rPr>
          <w:rFonts w:ascii="Times New Roman" w:hAnsi="Times New Roman" w:cs="Times New Roman" w:eastAsia="Times New Roman"/>
          <w:b w:val="false"/>
          <w:bCs w:val="false"/>
          <w:i w:val="false"/>
          <w:iCs w:val="false"/>
          <w:smallCaps w:val="false"/>
          <w:sz w:val="20"/>
          <w:szCs w:val="20"/>
        </w:rPr>
        <w:t xml:space="preserve"> = </w:t>
      </w:r>
      <w:r>
        <w:rPr>
          <w:rFonts w:ascii="Times New Roman" w:hAnsi="Times New Roman" w:cs="Times New Roman" w:eastAsia="Times New Roman"/>
          <w:b w:val="false"/>
          <w:bCs w:val="false"/>
          <w:i/>
          <w:iCs/>
          <w:smallCaps w:val="false"/>
          <w:sz w:val="20"/>
          <w:szCs w:val="20"/>
        </w:rPr>
        <w:t xml:space="preserve">p</w:t>
      </w:r>
      <w:r>
        <w:rPr>
          <w:rFonts w:ascii="Times New Roman" w:hAnsi="Times New Roman" w:cs="Times New Roman" w:eastAsia="Times New Roman"/>
          <w:b w:val="false"/>
          <w:bCs w:val="false"/>
          <w:i w:val="false"/>
          <w:iCs w:val="false"/>
          <w:smallCaps w:val="false"/>
          <w:sz w:val="20"/>
          <w:szCs w:val="20"/>
        </w:rPr>
        <w:t xml:space="preserve"> · 10</w:t>
      </w:r>
      <w:r>
        <w:rPr>
          <w:rFonts w:ascii="Times New Roman" w:hAnsi="Times New Roman" w:cs="Times New Roman" w:eastAsia="Times New Roman"/>
          <w:b w:val="false"/>
          <w:bCs w:val="false"/>
          <w:i w:val="false"/>
          <w:iCs w:val="false"/>
          <w:smallCaps w:val="false"/>
          <w:sz w:val="20"/>
          <w:szCs w:val="20"/>
          <w:vertAlign w:val="superscript"/>
        </w:rPr>
        <w:t xml:space="preserve">18+</w:t>
      </w:r>
      <w:r>
        <w:rPr>
          <w:rFonts w:ascii="Times New Roman" w:hAnsi="Times New Roman" w:cs="Times New Roman" w:eastAsia="Times New Roman"/>
          <w:b w:val="false"/>
          <w:bCs w:val="false"/>
          <w:i/>
          <w:iCs/>
          <w:smallCaps w:val="false"/>
          <w:sz w:val="20"/>
          <w:szCs w:val="20"/>
          <w:vertAlign w:val="superscript"/>
        </w:rPr>
        <w:t xml:space="preserve">e</w:t>
      </w:r>
      <w:r>
        <w:rPr>
          <w:rFonts w:ascii="Times New Roman" w:hAnsi="Times New Roman" w:cs="Times New Roman" w:eastAsia="Times New Roman"/>
          <w:b w:val="false"/>
          <w:bCs w:val="false"/>
          <w:i w:val="false"/>
          <w:iCs w:val="false"/>
          <w:smallCaps w:val="false"/>
          <w:sz w:val="20"/>
          <w:szCs w:val="20"/>
        </w:rPr>
        <w:t xml:space="preserve">.</w:t>
      </w:r>
    </w:p>
    <w:p>
      <w:pPr>
        <w:pStyle w:val="Heading2"/>
        <w:numPr>
          <w:ilvl w:val="1"/>
          <w:numId w:val="2"/>
        </w:numPr>
      </w:pPr>
      <w:r>
        <w:rPr>
          <w:rFonts w:ascii="Times New Roman" w:hAnsi="Times New Roman" w:cs="Times New Roman" w:eastAsia="Times New Roman"/>
          <w:i/>
          <w:iCs/>
          <w:sz w:val="20"/>
          <w:szCs w:val="20"/>
        </w:rPr>
        <w:t xml:space="preserve">EWMA Volatility</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For consecutive log entries with prices </w:t>
      </w:r>
      <w:r>
        <w:rPr>
          <w:rFonts w:ascii="Times New Roman" w:hAnsi="Times New Roman" w:cs="Times New Roman" w:eastAsia="Times New Roman"/>
          <w:b w:val="false"/>
          <w:bCs w:val="false"/>
          <w:i/>
          <w:iCs/>
          <w:smallCaps w:val="false"/>
          <w:sz w:val="20"/>
          <w:szCs w:val="20"/>
        </w:rPr>
        <w:t xml:space="preserve">p</w:t>
      </w:r>
      <w:r>
        <w:rPr>
          <w:rFonts w:ascii="Times New Roman" w:hAnsi="Times New Roman" w:cs="Times New Roman" w:eastAsia="Times New Roman"/>
          <w:b w:val="false"/>
          <w:bCs w:val="false"/>
          <w:i/>
          <w:iCs/>
          <w:smallCaps w:val="false"/>
          <w:sz w:val="20"/>
          <w:szCs w:val="20"/>
          <w:vertAlign w:val="subscript"/>
        </w:rPr>
        <w:t xml:space="preserve">t</w:t>
      </w:r>
      <w:r>
        <w:rPr>
          <w:rFonts w:ascii="Times New Roman" w:hAnsi="Times New Roman" w:cs="Times New Roman" w:eastAsia="Times New Roman"/>
          <w:b w:val="false"/>
          <w:bCs w:val="false"/>
          <w:i w:val="false"/>
          <w:iCs w:val="false"/>
          <w:smallCaps w:val="false"/>
          <w:sz w:val="20"/>
          <w:szCs w:val="20"/>
          <w:vertAlign w:val="subscript"/>
        </w:rPr>
        <w:t xml:space="preserve">−1</w:t>
      </w:r>
      <w:r>
        <w:rPr>
          <w:rFonts w:ascii="Times New Roman" w:hAnsi="Times New Roman" w:cs="Times New Roman" w:eastAsia="Times New Roman"/>
          <w:b w:val="false"/>
          <w:bCs w:val="false"/>
          <w:i w:val="false"/>
          <w:iCs w:val="false"/>
          <w:smallCaps w:val="false"/>
          <w:sz w:val="20"/>
          <w:szCs w:val="20"/>
        </w:rPr>
        <w:t xml:space="preserve"> and </w:t>
      </w:r>
      <w:r>
        <w:rPr>
          <w:rFonts w:ascii="Times New Roman" w:hAnsi="Times New Roman" w:cs="Times New Roman" w:eastAsia="Times New Roman"/>
          <w:b w:val="false"/>
          <w:bCs w:val="false"/>
          <w:i/>
          <w:iCs/>
          <w:smallCaps w:val="false"/>
          <w:sz w:val="20"/>
          <w:szCs w:val="20"/>
        </w:rPr>
        <w:t xml:space="preserve">p</w:t>
      </w:r>
      <w:r>
        <w:rPr>
          <w:rFonts w:ascii="Times New Roman" w:hAnsi="Times New Roman" w:cs="Times New Roman" w:eastAsia="Times New Roman"/>
          <w:b w:val="false"/>
          <w:bCs w:val="false"/>
          <w:i/>
          <w:iCs/>
          <w:smallCaps w:val="false"/>
          <w:sz w:val="20"/>
          <w:szCs w:val="20"/>
          <w:vertAlign w:val="subscript"/>
        </w:rPr>
        <w:t xml:space="preserve">t</w:t>
      </w:r>
      <w:r>
        <w:rPr>
          <w:rFonts w:ascii="Times New Roman" w:hAnsi="Times New Roman" w:cs="Times New Roman" w:eastAsia="Times New Roman"/>
          <w:b w:val="false"/>
          <w:bCs w:val="false"/>
          <w:i w:val="false"/>
          <w:iCs w:val="false"/>
          <w:smallCaps w:val="false"/>
          <w:sz w:val="20"/>
          <w:szCs w:val="20"/>
        </w:rPr>
        <w:t xml:space="preserve">, the return is</w:t>
      </w:r>
    </w:p>
    <w:p>
      <w:pPr>
        <w:tabs>
          <w:tab w:val="center" w:pos="2520"/>
          <w:tab w:val="right" w:pos="5040"/>
        </w:tabs>
        <w:spacing w:before="60" w:after="120"/>
      </w:pPr>
      <w:r>
        <w:rPr>
          <w:rFonts w:ascii="Times New Roman" w:hAnsi="Times New Roman" w:cs="Times New Roman" w:eastAsia="Times New Roman"/>
          <w:sz w:val="20"/>
          <w:szCs w:val="20"/>
        </w:rPr>
        <w:tab/>
      </w:r>
      <m:oMath>
        <m:sSub>
          <m:e>
            <m:r>
              <m:t xml:space="preserve">r</m:t>
            </m:r>
          </m:e>
          <m:sub>
            <m:r>
              <m:t xml:space="preserve">t</m:t>
            </m:r>
          </m:sub>
        </m:sSub>
        <m:r>
          <m:t xml:space="preserve">=</m:t>
        </m:r>
        <m:f>
          <m:num>
            <m:sSub>
              <m:e>
                <m:r>
                  <m:t xml:space="preserve">p</m:t>
                </m:r>
              </m:e>
              <m:sub>
                <m:r>
                  <m:t xml:space="preserve">t</m:t>
                </m:r>
              </m:sub>
            </m:sSub>
            <m:r>
              <m:t xml:space="preserve">−</m:t>
            </m:r>
            <m:sSub>
              <m:e>
                <m:r>
                  <m:t xml:space="preserve">p</m:t>
                </m:r>
              </m:e>
              <m:sub>
                <m:r>
                  <m:t xml:space="preserve">t−1</m:t>
                </m:r>
              </m:sub>
            </m:sSub>
          </m:num>
          <m:den>
            <m:sSub>
              <m:e>
                <m:r>
                  <m:t xml:space="preserve">p</m:t>
                </m:r>
              </m:e>
              <m:sub>
                <m:r>
                  <m:t xml:space="preserve">t−1</m:t>
                </m:r>
              </m:sub>
            </m:sSub>
          </m:den>
        </m:f>
      </m:oMath>
      <w:r>
        <w:rPr>
          <w:rFonts w:ascii="Times New Roman" w:hAnsi="Times New Roman" w:cs="Times New Roman" w:eastAsia="Times New Roman"/>
          <w:sz w:val="20"/>
          <w:szCs w:val="20"/>
        </w:rPr>
        <w:tab/>
      </w:r>
      <w:r>
        <w:rPr>
          <w:rFonts w:ascii="Times New Roman" w:hAnsi="Times New Roman" w:cs="Times New Roman" w:eastAsia="Times New Roman"/>
          <w:b w:val="false"/>
          <w:bCs w:val="false"/>
          <w:i w:val="false"/>
          <w:iCs w:val="false"/>
          <w:smallCaps w:val="false"/>
          <w:sz w:val="20"/>
          <w:szCs w:val="20"/>
        </w:rPr>
        <w:t xml:space="preserve">(1)</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The variance starts at zero and is updated once per pair:</w:t>
      </w:r>
    </w:p>
    <w:p>
      <w:pPr>
        <w:tabs>
          <w:tab w:val="center" w:pos="2520"/>
          <w:tab w:val="right" w:pos="5040"/>
        </w:tabs>
        <w:spacing w:before="60" w:after="120"/>
      </w:pPr>
      <w:r>
        <w:rPr>
          <w:rFonts w:ascii="Times New Roman" w:hAnsi="Times New Roman" w:cs="Times New Roman" w:eastAsia="Times New Roman"/>
          <w:sz w:val="20"/>
          <w:szCs w:val="20"/>
        </w:rPr>
        <w:tab/>
      </w:r>
      <m:oMath>
        <m:sSub>
          <m:e>
            <m:r>
              <m:t xml:space="preserve">v</m:t>
            </m:r>
          </m:e>
          <m:sub>
            <m:r>
              <m:t xml:space="preserve">t</m:t>
            </m:r>
          </m:sub>
        </m:sSub>
        <m:r>
          <m:t xml:space="preserve">=</m:t>
        </m:r>
        <m:r>
          <m:t xml:space="preserve">λ</m:t>
        </m:r>
        <m:sSub>
          <m:e>
            <m:r>
              <m:t xml:space="preserve">v</m:t>
            </m:r>
          </m:e>
          <m:sub>
            <m:r>
              <m:t xml:space="preserve">t−1</m:t>
            </m:r>
          </m:sub>
        </m:sSub>
        <m:r>
          <m:t xml:space="preserve">+(1−λ)</m:t>
        </m:r>
        <m:sSubSup>
          <m:e>
            <m:r>
              <m:t xml:space="preserve">r</m:t>
            </m:r>
          </m:e>
          <m:sub>
            <m:r>
              <m:t xml:space="preserve">t</m:t>
            </m:r>
          </m:sub>
          <m:sup>
            <m:r>
              <m:t xml:space="preserve">2</m:t>
            </m:r>
          </m:sup>
        </m:sSubSup>
        <m:r>
          <m:t xml:space="preserve">,  λ=0.94</m:t>
        </m:r>
      </m:oMath>
      <w:r>
        <w:rPr>
          <w:rFonts w:ascii="Times New Roman" w:hAnsi="Times New Roman" w:cs="Times New Roman" w:eastAsia="Times New Roman"/>
          <w:sz w:val="20"/>
          <w:szCs w:val="20"/>
        </w:rPr>
        <w:tab/>
      </w:r>
      <w:r>
        <w:rPr>
          <w:rFonts w:ascii="Times New Roman" w:hAnsi="Times New Roman" w:cs="Times New Roman" w:eastAsia="Times New Roman"/>
          <w:b w:val="false"/>
          <w:bCs w:val="false"/>
          <w:i w:val="false"/>
          <w:iCs w:val="false"/>
          <w:smallCaps w:val="false"/>
          <w:sz w:val="20"/>
          <w:szCs w:val="20"/>
        </w:rPr>
        <w:t xml:space="preserve">(2)</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and σ = ⌊√</w:t>
      </w:r>
      <w:r>
        <w:rPr>
          <w:rFonts w:ascii="Times New Roman" w:hAnsi="Times New Roman" w:cs="Times New Roman" w:eastAsia="Times New Roman"/>
          <w:b w:val="false"/>
          <w:bCs w:val="false"/>
          <w:i/>
          <w:iCs/>
          <w:smallCaps w:val="false"/>
          <w:sz w:val="20"/>
          <w:szCs w:val="20"/>
        </w:rPr>
        <w:t xml:space="preserve">v</w:t>
      </w:r>
      <w:r>
        <w:rPr>
          <w:rFonts w:ascii="Times New Roman" w:hAnsi="Times New Roman" w:cs="Times New Roman" w:eastAsia="Times New Roman"/>
          <w:b w:val="false"/>
          <w:bCs w:val="false"/>
          <w:i/>
          <w:iCs/>
          <w:smallCaps w:val="false"/>
          <w:sz w:val="20"/>
          <w:szCs w:val="20"/>
          <w:vertAlign w:val="subscript"/>
        </w:rPr>
        <w:t xml:space="preserve">T</w:t>
      </w:r>
      <w:r>
        <w:rPr>
          <w:rFonts w:ascii="Times New Roman" w:hAnsi="Times New Roman" w:cs="Times New Roman" w:eastAsia="Times New Roman"/>
          <w:b w:val="false"/>
          <w:bCs w:val="false"/>
          <w:i w:val="false"/>
          <w:iCs w:val="false"/>
          <w:smallCaps w:val="false"/>
          <w:sz w:val="20"/>
          <w:szCs w:val="20"/>
        </w:rPr>
        <w:t xml:space="preserve">⌋ with an integer square root. A non-positive price, or a publish time that does not increase, causes a deny. On the worked example [1000, 1100, 1210] the Rust function and its Solidity port both return 34117444218463961. Two properties matter when setting a policy. First, σ is per observation: returns are taken between consecutive log entries, so the limit is calibrated to the posting cadence (one minute in our evaluation). Second, starting from zero biases σ low by a factor √(1 − λ</w:t>
      </w:r>
      <w:r>
        <w:rPr>
          <w:rFonts w:ascii="Times New Roman" w:hAnsi="Times New Roman" w:cs="Times New Roman" w:eastAsia="Times New Roman"/>
          <w:b w:val="false"/>
          <w:bCs w:val="false"/>
          <w:i/>
          <w:iCs/>
          <w:smallCaps w:val="false"/>
          <w:sz w:val="20"/>
          <w:szCs w:val="20"/>
          <w:vertAlign w:val="superscript"/>
        </w:rPr>
        <w:t xml:space="preserve">m</w:t>
      </w:r>
      <w:r>
        <w:rPr>
          <w:rFonts w:ascii="Times New Roman" w:hAnsi="Times New Roman" w:cs="Times New Roman" w:eastAsia="Times New Roman"/>
          <w:b w:val="false"/>
          <w:bCs w:val="false"/>
          <w:i w:val="false"/>
          <w:iCs w:val="false"/>
          <w:smallCaps w:val="false"/>
          <w:sz w:val="20"/>
          <w:szCs w:val="20"/>
        </w:rPr>
        <w:t xml:space="preserve">) after </w:t>
      </w:r>
      <w:r>
        <w:rPr>
          <w:rFonts w:ascii="Times New Roman" w:hAnsi="Times New Roman" w:cs="Times New Roman" w:eastAsia="Times New Roman"/>
          <w:b w:val="false"/>
          <w:bCs w:val="false"/>
          <w:i/>
          <w:iCs/>
          <w:smallCaps w:val="false"/>
          <w:sz w:val="20"/>
          <w:szCs w:val="20"/>
        </w:rPr>
        <w:t xml:space="preserve">m</w:t>
      </w:r>
      <w:r>
        <w:rPr>
          <w:rFonts w:ascii="Times New Roman" w:hAnsi="Times New Roman" w:cs="Times New Roman" w:eastAsia="Times New Roman"/>
          <w:b w:val="false"/>
          <w:bCs w:val="false"/>
          <w:i w:val="false"/>
          <w:iCs w:val="false"/>
          <w:smallCaps w:val="false"/>
          <w:sz w:val="20"/>
          <w:szCs w:val="20"/>
        </w:rPr>
        <w:t xml:space="preserve"> returns, about 0.59 at the minimum history of eight prices. On the guest families that record it, the per-family median ratio of estimated σ to the random-walk σ runs from 0.876 to 0.980. Those medians are not one shared history length.</w:t>
      </w:r>
    </w:p>
    <w:p>
      <w:pPr>
        <w:pStyle w:val="Heading2"/>
        <w:numPr>
          <w:ilvl w:val="1"/>
          <w:numId w:val="2"/>
        </w:numPr>
      </w:pPr>
      <w:r>
        <w:rPr>
          <w:rFonts w:ascii="Times New Roman" w:hAnsi="Times New Roman" w:cs="Times New Roman" w:eastAsia="Times New Roman"/>
          <w:i/>
          <w:iCs/>
          <w:sz w:val="20"/>
          <w:szCs w:val="20"/>
        </w:rPr>
        <w:t xml:space="preserve">Volatility-Scaled Exposure</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For assets </w:t>
      </w:r>
      <w:r>
        <w:rPr>
          <w:rFonts w:ascii="Times New Roman" w:hAnsi="Times New Roman" w:cs="Times New Roman" w:eastAsia="Times New Roman"/>
          <w:b w:val="false"/>
          <w:bCs w:val="false"/>
          <w:i/>
          <w:iCs/>
          <w:smallCaps w:val="false"/>
          <w:sz w:val="20"/>
          <w:szCs w:val="20"/>
        </w:rPr>
        <w:t xml:space="preserve">i</w:t>
      </w:r>
      <w:r>
        <w:rPr>
          <w:rFonts w:ascii="Times New Roman" w:hAnsi="Times New Roman" w:cs="Times New Roman" w:eastAsia="Times New Roman"/>
          <w:b w:val="false"/>
          <w:bCs w:val="false"/>
          <w:i w:val="false"/>
          <w:iCs w:val="false"/>
          <w:smallCaps w:val="false"/>
          <w:sz w:val="20"/>
          <w:szCs w:val="20"/>
        </w:rPr>
        <w:t xml:space="preserve"> = 1, …, </w:t>
      </w:r>
      <w:r>
        <w:rPr>
          <w:rFonts w:ascii="Times New Roman" w:hAnsi="Times New Roman" w:cs="Times New Roman" w:eastAsia="Times New Roman"/>
          <w:b w:val="false"/>
          <w:bCs w:val="false"/>
          <w:i/>
          <w:iCs/>
          <w:smallCaps w:val="false"/>
          <w:sz w:val="20"/>
          <w:szCs w:val="20"/>
        </w:rPr>
        <w:t xml:space="preserve">n</w:t>
      </w:r>
      <w:r>
        <w:rPr>
          <w:rFonts w:ascii="Times New Roman" w:hAnsi="Times New Roman" w:cs="Times New Roman" w:eastAsia="Times New Roman"/>
          <w:b w:val="false"/>
          <w:bCs w:val="false"/>
          <w:i w:val="false"/>
          <w:iCs w:val="false"/>
          <w:smallCaps w:val="false"/>
          <w:sz w:val="20"/>
          <w:szCs w:val="20"/>
        </w:rPr>
        <w:t xml:space="preserve"> with exposure </w:t>
      </w:r>
      <w:r>
        <w:rPr>
          <w:rFonts w:ascii="Times New Roman" w:hAnsi="Times New Roman" w:cs="Times New Roman" w:eastAsia="Times New Roman"/>
          <w:b w:val="false"/>
          <w:bCs w:val="false"/>
          <w:i/>
          <w:iCs/>
          <w:smallCaps w:val="false"/>
          <w:sz w:val="20"/>
          <w:szCs w:val="20"/>
        </w:rPr>
        <w:t xml:space="preserve">E</w:t>
      </w:r>
      <w:r>
        <w:rPr>
          <w:rFonts w:ascii="Times New Roman" w:hAnsi="Times New Roman" w:cs="Times New Roman" w:eastAsia="Times New Roman"/>
          <w:b w:val="false"/>
          <w:bCs w:val="false"/>
          <w:i/>
          <w:iCs/>
          <w:smallCaps w:val="false"/>
          <w:sz w:val="20"/>
          <w:szCs w:val="20"/>
          <w:vertAlign w:val="subscript"/>
        </w:rPr>
        <w:t xml:space="preserve">i</w:t>
      </w:r>
      <w:r>
        <w:rPr>
          <w:rFonts w:ascii="Times New Roman" w:hAnsi="Times New Roman" w:cs="Times New Roman" w:eastAsia="Times New Roman"/>
          <w:b w:val="false"/>
          <w:bCs w:val="false"/>
          <w:i w:val="false"/>
          <w:iCs w:val="false"/>
          <w:smallCaps w:val="false"/>
          <w:sz w:val="20"/>
          <w:szCs w:val="20"/>
        </w:rPr>
        <w:t xml:space="preserve"> and volatility σ</w:t>
      </w:r>
      <w:r>
        <w:rPr>
          <w:rFonts w:ascii="Times New Roman" w:hAnsi="Times New Roman" w:cs="Times New Roman" w:eastAsia="Times New Roman"/>
          <w:b w:val="false"/>
          <w:bCs w:val="false"/>
          <w:i/>
          <w:iCs/>
          <w:smallCaps w:val="false"/>
          <w:sz w:val="20"/>
          <w:szCs w:val="20"/>
          <w:vertAlign w:val="subscript"/>
        </w:rPr>
        <w:t xml:space="preserve">i</w:t>
      </w:r>
      <w:r>
        <w:rPr>
          <w:rFonts w:ascii="Times New Roman" w:hAnsi="Times New Roman" w:cs="Times New Roman" w:eastAsia="Times New Roman"/>
          <w:b w:val="false"/>
          <w:bCs w:val="false"/>
          <w:i w:val="false"/>
          <w:iCs w:val="false"/>
          <w:smallCaps w:val="false"/>
          <w:sz w:val="20"/>
          <w:szCs w:val="20"/>
        </w:rPr>
        <w:t xml:space="preserve">,</w:t>
      </w:r>
    </w:p>
    <w:p>
      <w:pPr>
        <w:tabs>
          <w:tab w:val="center" w:pos="2520"/>
          <w:tab w:val="right" w:pos="5040"/>
        </w:tabs>
        <w:spacing w:before="60" w:after="120"/>
      </w:pPr>
      <w:r>
        <w:rPr>
          <w:rFonts w:ascii="Times New Roman" w:hAnsi="Times New Roman" w:cs="Times New Roman" w:eastAsia="Times New Roman"/>
          <w:sz w:val="20"/>
          <w:szCs w:val="20"/>
        </w:rPr>
        <w:tab/>
      </w:r>
      <m:oMath>
        <m:r>
          <m:t xml:space="preserve">V=</m:t>
        </m:r>
        <m:nary>
          <m:naryPr>
            <m:chr m:val="∑"/>
            <m:limLoc m:val="undOvr"/>
          </m:naryPr>
          <m:sub>
            <m:r>
              <m:t xml:space="preserve">i=1</m:t>
            </m:r>
          </m:sub>
          <m:sup>
            <m:r>
              <m:t xml:space="preserve">n</m:t>
            </m:r>
          </m:sup>
          <m:e>
            <m:sSub>
              <m:e>
                <m:r>
                  <m:t xml:space="preserve">E</m:t>
                </m:r>
              </m:e>
              <m:sub>
                <m:r>
                  <m:t xml:space="preserve">i</m:t>
                </m:r>
              </m:sub>
            </m:sSub>
            <m:sSub>
              <m:e>
                <m:r>
                  <m:t xml:space="preserve">σ</m:t>
                </m:r>
              </m:e>
              <m:sub>
                <m:r>
                  <m:t xml:space="preserve">i</m:t>
                </m:r>
              </m:sub>
            </m:sSub>
          </m:e>
        </m:nary>
      </m:oMath>
      <w:r>
        <w:rPr>
          <w:rFonts w:ascii="Times New Roman" w:hAnsi="Times New Roman" w:cs="Times New Roman" w:eastAsia="Times New Roman"/>
          <w:sz w:val="20"/>
          <w:szCs w:val="20"/>
        </w:rPr>
        <w:tab/>
      </w:r>
      <w:r>
        <w:rPr>
          <w:rFonts w:ascii="Times New Roman" w:hAnsi="Times New Roman" w:cs="Times New Roman" w:eastAsia="Times New Roman"/>
          <w:b w:val="false"/>
          <w:bCs w:val="false"/>
          <w:i w:val="false"/>
          <w:iCs w:val="false"/>
          <w:smallCaps w:val="false"/>
          <w:sz w:val="20"/>
          <w:szCs w:val="20"/>
        </w:rPr>
        <w:t xml:space="preserve">(3)</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The policy threshold applies to </w:t>
      </w:r>
      <w:r>
        <w:rPr>
          <w:rFonts w:ascii="Times New Roman" w:hAnsi="Times New Roman" w:cs="Times New Roman" w:eastAsia="Times New Roman"/>
          <w:b w:val="false"/>
          <w:bCs w:val="false"/>
          <w:i/>
          <w:iCs/>
          <w:smallCaps w:val="false"/>
          <w:sz w:val="20"/>
          <w:szCs w:val="20"/>
        </w:rPr>
        <w:t xml:space="preserve">V</w:t>
      </w:r>
      <w:r>
        <w:rPr>
          <w:rFonts w:ascii="Times New Roman" w:hAnsi="Times New Roman" w:cs="Times New Roman" w:eastAsia="Times New Roman"/>
          <w:b w:val="false"/>
          <w:bCs w:val="false"/>
          <w:i w:val="false"/>
          <w:iCs w:val="false"/>
          <w:smallCaps w:val="false"/>
          <w:sz w:val="20"/>
          <w:szCs w:val="20"/>
        </w:rPr>
        <w:t xml:space="preserve">. Because standard deviation is subadditive, </w:t>
      </w:r>
      <w:r>
        <w:rPr>
          <w:rFonts w:ascii="Times New Roman" w:hAnsi="Times New Roman" w:cs="Times New Roman" w:eastAsia="Times New Roman"/>
          <w:b w:val="false"/>
          <w:bCs w:val="false"/>
          <w:i/>
          <w:iCs/>
          <w:smallCaps w:val="false"/>
          <w:sz w:val="20"/>
          <w:szCs w:val="20"/>
        </w:rPr>
        <w:t xml:space="preserve">V</w:t>
      </w:r>
      <w:r>
        <w:rPr>
          <w:rFonts w:ascii="Times New Roman" w:hAnsi="Times New Roman" w:cs="Times New Roman" w:eastAsia="Times New Roman"/>
          <w:b w:val="false"/>
          <w:bCs w:val="false"/>
          <w:i w:val="false"/>
          <w:iCs w:val="false"/>
          <w:smallCaps w:val="false"/>
          <w:sz w:val="20"/>
          <w:szCs w:val="20"/>
        </w:rPr>
        <w:t xml:space="preserve"> bounds the one-step standard deviation of portfolio value for any correlation among the assets, so 2.33</w:t>
      </w:r>
      <w:r>
        <w:rPr>
          <w:rFonts w:ascii="Times New Roman" w:hAnsi="Times New Roman" w:cs="Times New Roman" w:eastAsia="Times New Roman"/>
          <w:b w:val="false"/>
          <w:bCs w:val="false"/>
          <w:i/>
          <w:iCs/>
          <w:smallCaps w:val="false"/>
          <w:sz w:val="20"/>
          <w:szCs w:val="20"/>
        </w:rPr>
        <w:t xml:space="preserve">V</w:t>
      </w:r>
      <w:r>
        <w:rPr>
          <w:rFonts w:ascii="Times New Roman" w:hAnsi="Times New Roman" w:cs="Times New Roman" w:eastAsia="Times New Roman"/>
          <w:b w:val="false"/>
          <w:bCs w:val="false"/>
          <w:i w:val="false"/>
          <w:iCs w:val="false"/>
          <w:smallCaps w:val="false"/>
          <w:sz w:val="20"/>
          <w:szCs w:val="20"/>
        </w:rPr>
        <w:t xml:space="preserve"> bounds the parametric 99% value at risk under normal returns. The guest reports 2.33</w:t>
      </w:r>
      <w:r>
        <w:rPr>
          <w:rFonts w:ascii="Times New Roman" w:hAnsi="Times New Roman" w:cs="Times New Roman" w:eastAsia="Times New Roman"/>
          <w:b w:val="false"/>
          <w:bCs w:val="false"/>
          <w:i/>
          <w:iCs/>
          <w:smallCaps w:val="false"/>
          <w:sz w:val="20"/>
          <w:szCs w:val="20"/>
        </w:rPr>
        <w:t xml:space="preserve">V</w:t>
      </w:r>
      <w:r>
        <w:rPr>
          <w:rFonts w:ascii="Times New Roman" w:hAnsi="Times New Roman" w:cs="Times New Roman" w:eastAsia="Times New Roman"/>
          <w:b w:val="false"/>
          <w:bCs w:val="false"/>
          <w:i w:val="false"/>
          <w:iCs w:val="false"/>
          <w:smallCaps w:val="false"/>
          <w:sz w:val="20"/>
          <w:szCs w:val="20"/>
        </w:rPr>
        <w:t xml:space="preserve"> as VaR99. No covariance is estimated, so the bound gives no diversification credit.</w:t>
      </w:r>
    </w:p>
    <w:p>
      <w:pPr>
        <w:pStyle w:val="Heading2"/>
        <w:numPr>
          <w:ilvl w:val="1"/>
          <w:numId w:val="2"/>
        </w:numPr>
      </w:pPr>
      <w:r>
        <w:rPr>
          <w:rFonts w:ascii="Times New Roman" w:hAnsi="Times New Roman" w:cs="Times New Roman" w:eastAsia="Times New Roman"/>
          <w:i/>
          <w:iCs/>
          <w:sz w:val="20"/>
          <w:szCs w:val="20"/>
        </w:rPr>
        <w:t xml:space="preserve">Fair Output and Minimum Output</w:t>
      </w:r>
    </w:p>
    <w:p>
      <w:pPr>
        <w:tabs>
          <w:tab w:val="center" w:pos="2520"/>
          <w:tab w:val="right" w:pos="5040"/>
        </w:tabs>
        <w:spacing w:before="60" w:after="120"/>
      </w:pPr>
      <w:r>
        <w:rPr>
          <w:rFonts w:ascii="Times New Roman" w:hAnsi="Times New Roman" w:cs="Times New Roman" w:eastAsia="Times New Roman"/>
          <w:sz w:val="20"/>
          <w:szCs w:val="20"/>
        </w:rPr>
        <w:tab/>
      </w:r>
      <m:oMath>
        <m:r>
          <m:rPr>
            <m:sty m:val="p"/>
          </m:rPr>
          <m:t xml:space="preserve">fairOut</m:t>
        </m:r>
        <m:r>
          <m:t xml:space="preserve">=</m:t>
        </m:r>
        <m:f>
          <m:num>
            <m:sSub>
              <m:e>
                <m:r>
                  <m:t xml:space="preserve">a</m:t>
                </m:r>
              </m:e>
              <m:sub>
                <m:r>
                  <m:rPr>
                    <m:sty m:val="p"/>
                  </m:rPr>
                  <m:t xml:space="preserve">in</m:t>
                </m:r>
              </m:sub>
            </m:sSub>
            <m:sSub>
              <m:e>
                <m:r>
                  <m:t xml:space="preserve">P</m:t>
                </m:r>
              </m:e>
              <m:sub>
                <m:r>
                  <m:rPr>
                    <m:sty m:val="p"/>
                  </m:rPr>
                  <m:t xml:space="preserve">in</m:t>
                </m:r>
              </m:sub>
            </m:sSub>
            <m:sSup>
              <m:e>
                <m:r>
                  <m:t xml:space="preserve">10</m:t>
                </m:r>
              </m:e>
              <m:sup>
                <m:sSub>
                  <m:e>
                    <m:r>
                      <m:t xml:space="preserve">d</m:t>
                    </m:r>
                  </m:e>
                  <m:sub>
                    <m:r>
                      <m:rPr>
                        <m:sty m:val="p"/>
                      </m:rPr>
                      <m:t xml:space="preserve">out</m:t>
                    </m:r>
                  </m:sub>
                </m:sSub>
              </m:sup>
            </m:sSup>
          </m:num>
          <m:den>
            <m:sSub>
              <m:e>
                <m:r>
                  <m:t xml:space="preserve">P</m:t>
                </m:r>
              </m:e>
              <m:sub>
                <m:r>
                  <m:rPr>
                    <m:sty m:val="p"/>
                  </m:rPr>
                  <m:t xml:space="preserve">out</m:t>
                </m:r>
              </m:sub>
            </m:sSub>
            <m:sSup>
              <m:e>
                <m:r>
                  <m:t xml:space="preserve">10</m:t>
                </m:r>
              </m:e>
              <m:sup>
                <m:sSub>
                  <m:e>
                    <m:r>
                      <m:t xml:space="preserve">d</m:t>
                    </m:r>
                  </m:e>
                  <m:sub>
                    <m:r>
                      <m:rPr>
                        <m:sty m:val="p"/>
                      </m:rPr>
                      <m:t xml:space="preserve">in</m:t>
                    </m:r>
                  </m:sub>
                </m:sSub>
              </m:sup>
            </m:sSup>
          </m:den>
        </m:f>
      </m:oMath>
      <w:r>
        <w:rPr>
          <w:rFonts w:ascii="Times New Roman" w:hAnsi="Times New Roman" w:cs="Times New Roman" w:eastAsia="Times New Roman"/>
          <w:sz w:val="20"/>
          <w:szCs w:val="20"/>
        </w:rPr>
        <w:tab/>
      </w:r>
      <w:r>
        <w:rPr>
          <w:rFonts w:ascii="Times New Roman" w:hAnsi="Times New Roman" w:cs="Times New Roman" w:eastAsia="Times New Roman"/>
          <w:b w:val="false"/>
          <w:bCs w:val="false"/>
          <w:i w:val="false"/>
          <w:iCs w:val="false"/>
          <w:smallCaps w:val="false"/>
          <w:sz w:val="20"/>
          <w:szCs w:val="20"/>
        </w:rPr>
        <w:t xml:space="preserve">(4)</w:t>
      </w:r>
    </w:p>
    <w:p>
      <w:pPr>
        <w:tabs>
          <w:tab w:val="center" w:pos="2520"/>
          <w:tab w:val="right" w:pos="5040"/>
        </w:tabs>
        <w:spacing w:before="60" w:after="120"/>
      </w:pPr>
      <w:r>
        <w:rPr>
          <w:rFonts w:ascii="Times New Roman" w:hAnsi="Times New Roman" w:cs="Times New Roman" w:eastAsia="Times New Roman"/>
          <w:sz w:val="20"/>
          <w:szCs w:val="20"/>
        </w:rPr>
        <w:tab/>
      </w:r>
      <m:oMath>
        <m:r>
          <m:rPr>
            <m:sty m:val="p"/>
          </m:rPr>
          <m:t xml:space="preserve">minOut</m:t>
        </m:r>
        <m:r>
          <m:t xml:space="preserve">=</m:t>
        </m:r>
        <m:r>
          <m:rPr>
            <m:sty m:val="p"/>
          </m:rPr>
          <m:t xml:space="preserve">fairOut</m:t>
        </m:r>
        <m:r>
          <m:t xml:space="preserve">·</m:t>
        </m:r>
        <m:f>
          <m:num>
            <m:r>
              <m:t xml:space="preserve">10000−s</m:t>
            </m:r>
          </m:num>
          <m:den>
            <m:r>
              <m:t xml:space="preserve">10000</m:t>
            </m:r>
          </m:den>
        </m:f>
      </m:oMath>
      <w:r>
        <w:rPr>
          <w:rFonts w:ascii="Times New Roman" w:hAnsi="Times New Roman" w:cs="Times New Roman" w:eastAsia="Times New Roman"/>
          <w:sz w:val="20"/>
          <w:szCs w:val="20"/>
        </w:rPr>
        <w:tab/>
      </w:r>
      <w:r>
        <w:rPr>
          <w:rFonts w:ascii="Times New Roman" w:hAnsi="Times New Roman" w:cs="Times New Roman" w:eastAsia="Times New Roman"/>
          <w:b w:val="false"/>
          <w:bCs w:val="false"/>
          <w:i w:val="false"/>
          <w:iCs w:val="false"/>
          <w:smallCaps w:val="false"/>
          <w:sz w:val="20"/>
          <w:szCs w:val="20"/>
        </w:rPr>
        <w:t xml:space="preserve">(5)</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where </w:t>
      </w:r>
      <w:r>
        <w:rPr>
          <w:rFonts w:ascii="Times New Roman" w:hAnsi="Times New Roman" w:cs="Times New Roman" w:eastAsia="Times New Roman"/>
          <w:b w:val="false"/>
          <w:bCs w:val="false"/>
          <w:i/>
          <w:iCs/>
          <w:smallCaps w:val="false"/>
          <w:sz w:val="20"/>
          <w:szCs w:val="20"/>
        </w:rPr>
        <w:t xml:space="preserve">d</w:t>
      </w:r>
      <w:r>
        <w:rPr>
          <w:rFonts w:ascii="Times New Roman" w:hAnsi="Times New Roman" w:cs="Times New Roman" w:eastAsia="Times New Roman"/>
          <w:b w:val="false"/>
          <w:bCs w:val="false"/>
          <w:i w:val="false"/>
          <w:iCs w:val="false"/>
          <w:smallCaps w:val="false"/>
          <w:sz w:val="20"/>
          <w:szCs w:val="20"/>
          <w:vertAlign w:val="subscript"/>
        </w:rPr>
        <w:t xml:space="preserve">in</w:t>
      </w:r>
      <w:r>
        <w:rPr>
          <w:rFonts w:ascii="Times New Roman" w:hAnsi="Times New Roman" w:cs="Times New Roman" w:eastAsia="Times New Roman"/>
          <w:b w:val="false"/>
          <w:bCs w:val="false"/>
          <w:i w:val="false"/>
          <w:iCs w:val="false"/>
          <w:smallCaps w:val="false"/>
          <w:sz w:val="20"/>
          <w:szCs w:val="20"/>
        </w:rPr>
        <w:t xml:space="preserve"> and </w:t>
      </w:r>
      <w:r>
        <w:rPr>
          <w:rFonts w:ascii="Times New Roman" w:hAnsi="Times New Roman" w:cs="Times New Roman" w:eastAsia="Times New Roman"/>
          <w:b w:val="false"/>
          <w:bCs w:val="false"/>
          <w:i/>
          <w:iCs/>
          <w:smallCaps w:val="false"/>
          <w:sz w:val="20"/>
          <w:szCs w:val="20"/>
        </w:rPr>
        <w:t xml:space="preserve">d</w:t>
      </w:r>
      <w:r>
        <w:rPr>
          <w:rFonts w:ascii="Times New Roman" w:hAnsi="Times New Roman" w:cs="Times New Roman" w:eastAsia="Times New Roman"/>
          <w:b w:val="false"/>
          <w:bCs w:val="false"/>
          <w:i w:val="false"/>
          <w:iCs w:val="false"/>
          <w:smallCaps w:val="false"/>
          <w:sz w:val="20"/>
          <w:szCs w:val="20"/>
          <w:vertAlign w:val="subscript"/>
        </w:rPr>
        <w:t xml:space="preserve">out</w:t>
      </w:r>
      <w:r>
        <w:rPr>
          <w:rFonts w:ascii="Times New Roman" w:hAnsi="Times New Roman" w:cs="Times New Roman" w:eastAsia="Times New Roman"/>
          <w:b w:val="false"/>
          <w:bCs w:val="false"/>
          <w:i w:val="false"/>
          <w:iCs w:val="false"/>
          <w:smallCaps w:val="false"/>
          <w:sz w:val="20"/>
          <w:szCs w:val="20"/>
        </w:rPr>
        <w:t xml:space="preserve"> are the token decimals and </w:t>
      </w:r>
      <w:r>
        <w:rPr>
          <w:rFonts w:ascii="Times New Roman" w:hAnsi="Times New Roman" w:cs="Times New Roman" w:eastAsia="Times New Roman"/>
          <w:b w:val="false"/>
          <w:bCs w:val="false"/>
          <w:i/>
          <w:iCs/>
          <w:smallCaps w:val="false"/>
          <w:sz w:val="20"/>
          <w:szCs w:val="20"/>
        </w:rPr>
        <w:t xml:space="preserve">s</w:t>
      </w:r>
      <w:r>
        <w:rPr>
          <w:rFonts w:ascii="Times New Roman" w:hAnsi="Times New Roman" w:cs="Times New Roman" w:eastAsia="Times New Roman"/>
          <w:b w:val="false"/>
          <w:bCs w:val="false"/>
          <w:i w:val="false"/>
          <w:iCs w:val="false"/>
          <w:smallCaps w:val="false"/>
          <w:sz w:val="20"/>
          <w:szCs w:val="20"/>
        </w:rPr>
        <w:t xml:space="preserve"> is the slippage limit in basis points. Risk is computed on fairOut, so a pessimistic minimum cannot hide a risky purchase, while minOut is enforced on the tokens actually received.</w:t>
      </w:r>
    </w:p>
    <w:p>
      <w:pPr>
        <w:pStyle w:val="Heading2"/>
        <w:numPr>
          <w:ilvl w:val="1"/>
          <w:numId w:val="2"/>
        </w:numPr>
      </w:pPr>
      <w:r>
        <w:rPr>
          <w:rFonts w:ascii="Times New Roman" w:hAnsi="Times New Roman" w:cs="Times New Roman" w:eastAsia="Times New Roman"/>
          <w:i/>
          <w:iCs/>
          <w:sz w:val="20"/>
          <w:szCs w:val="20"/>
        </w:rPr>
        <w:t xml:space="preserve">Hash-Chained Price History</w:t>
      </w:r>
    </w:p>
    <w:p>
      <w:pPr>
        <w:tabs>
          <w:tab w:val="center" w:pos="2520"/>
          <w:tab w:val="right" w:pos="5040"/>
        </w:tabs>
        <w:spacing w:before="60" w:after="120"/>
      </w:pPr>
      <w:r>
        <w:rPr>
          <w:rFonts w:ascii="Times New Roman" w:hAnsi="Times New Roman" w:cs="Times New Roman" w:eastAsia="Times New Roman"/>
          <w:sz w:val="20"/>
          <w:szCs w:val="20"/>
        </w:rPr>
        <w:tab/>
      </w:r>
      <m:oMath>
        <m:sSub>
          <m:e>
            <m:r>
              <m:t xml:space="preserve">h</m:t>
            </m:r>
          </m:e>
          <m:sub>
            <m:r>
              <m:t xml:space="preserve">k</m:t>
            </m:r>
          </m:sub>
        </m:sSub>
        <m:r>
          <m:t xml:space="preserve">=</m:t>
        </m:r>
        <m:r>
          <m:rPr>
            <m:sty m:val="p"/>
          </m:rPr>
          <m:t xml:space="preserve">keccak256</m:t>
        </m:r>
        <m:r>
          <m:t xml:space="preserve">(</m:t>
        </m:r>
        <m:sSub>
          <m:e>
            <m:r>
              <m:t xml:space="preserve">h</m:t>
            </m:r>
          </m:e>
          <m:sub>
            <m:r>
              <m:t xml:space="preserve">k−1</m:t>
            </m:r>
          </m:sub>
        </m:sSub>
        <m:r>
          <m:t xml:space="preserve">∥</m:t>
        </m:r>
        <m:sSub>
          <m:e>
            <m:r>
              <m:t xml:space="preserve">p</m:t>
            </m:r>
          </m:e>
          <m:sub>
            <m:r>
              <m:t xml:space="preserve">k</m:t>
            </m:r>
          </m:sub>
        </m:sSub>
        <m:r>
          <m:t xml:space="preserve">∥</m:t>
        </m:r>
        <m:sSub>
          <m:e>
            <m:r>
              <m:t xml:space="preserve">c</m:t>
            </m:r>
          </m:e>
          <m:sub>
            <m:r>
              <m:t xml:space="preserve">k</m:t>
            </m:r>
          </m:sub>
        </m:sSub>
        <m:r>
          <m:t xml:space="preserve">∥</m:t>
        </m:r>
        <m:sSub>
          <m:e>
            <m:r>
              <m:t xml:space="preserve">e</m:t>
            </m:r>
          </m:e>
          <m:sub>
            <m:r>
              <m:t xml:space="preserve">k</m:t>
            </m:r>
          </m:sub>
        </m:sSub>
        <m:r>
          <m:t xml:space="preserve">∥</m:t>
        </m:r>
        <m:sSub>
          <m:e>
            <m:r>
              <m:t xml:space="preserve">τ</m:t>
            </m:r>
          </m:e>
          <m:sub>
            <m:r>
              <m:t xml:space="preserve">k</m:t>
            </m:r>
          </m:sub>
        </m:sSub>
        <m:r>
          <m:t xml:space="preserve">)</m:t>
        </m:r>
      </m:oMath>
      <w:r>
        <w:rPr>
          <w:rFonts w:ascii="Times New Roman" w:hAnsi="Times New Roman" w:cs="Times New Roman" w:eastAsia="Times New Roman"/>
          <w:sz w:val="20"/>
          <w:szCs w:val="20"/>
        </w:rPr>
        <w:tab/>
      </w:r>
      <w:r>
        <w:rPr>
          <w:rFonts w:ascii="Times New Roman" w:hAnsi="Times New Roman" w:cs="Times New Roman" w:eastAsia="Times New Roman"/>
          <w:b w:val="false"/>
          <w:bCs w:val="false"/>
          <w:i w:val="false"/>
          <w:iCs w:val="false"/>
          <w:smallCaps w:val="false"/>
          <w:sz w:val="20"/>
          <w:szCs w:val="20"/>
        </w:rPr>
        <w:t xml:space="preserve">(6)</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where </w:t>
      </w:r>
      <w:r>
        <w:rPr>
          <w:rFonts w:ascii="Times New Roman" w:hAnsi="Times New Roman" w:cs="Times New Roman" w:eastAsia="Times New Roman"/>
          <w:b w:val="false"/>
          <w:bCs w:val="false"/>
          <w:i/>
          <w:iCs/>
          <w:smallCaps w:val="false"/>
          <w:sz w:val="20"/>
          <w:szCs w:val="20"/>
        </w:rPr>
        <w:t xml:space="preserve">p</w:t>
      </w:r>
      <w:r>
        <w:rPr>
          <w:rFonts w:ascii="Times New Roman" w:hAnsi="Times New Roman" w:cs="Times New Roman" w:eastAsia="Times New Roman"/>
          <w:b w:val="false"/>
          <w:bCs w:val="false"/>
          <w:i/>
          <w:iCs/>
          <w:smallCaps w:val="false"/>
          <w:sz w:val="20"/>
          <w:szCs w:val="20"/>
          <w:vertAlign w:val="subscript"/>
        </w:rPr>
        <w:t xml:space="preserve">k</w:t>
      </w:r>
      <w:r>
        <w:rPr>
          <w:rFonts w:ascii="Times New Roman" w:hAnsi="Times New Roman" w:cs="Times New Roman" w:eastAsia="Times New Roman"/>
          <w:b w:val="false"/>
          <w:bCs w:val="false"/>
          <w:i w:val="false"/>
          <w:iCs w:val="false"/>
          <w:smallCaps w:val="false"/>
          <w:sz w:val="20"/>
          <w:szCs w:val="20"/>
        </w:rPr>
        <w:t xml:space="preserve"> is the price, </w:t>
      </w:r>
      <w:r>
        <w:rPr>
          <w:rFonts w:ascii="Times New Roman" w:hAnsi="Times New Roman" w:cs="Times New Roman" w:eastAsia="Times New Roman"/>
          <w:b w:val="false"/>
          <w:bCs w:val="false"/>
          <w:i/>
          <w:iCs/>
          <w:smallCaps w:val="false"/>
          <w:sz w:val="20"/>
          <w:szCs w:val="20"/>
        </w:rPr>
        <w:t xml:space="preserve">c</w:t>
      </w:r>
      <w:r>
        <w:rPr>
          <w:rFonts w:ascii="Times New Roman" w:hAnsi="Times New Roman" w:cs="Times New Roman" w:eastAsia="Times New Roman"/>
          <w:b w:val="false"/>
          <w:bCs w:val="false"/>
          <w:i/>
          <w:iCs/>
          <w:smallCaps w:val="false"/>
          <w:sz w:val="20"/>
          <w:szCs w:val="20"/>
          <w:vertAlign w:val="subscript"/>
        </w:rPr>
        <w:t xml:space="preserve">k</w:t>
      </w:r>
      <w:r>
        <w:rPr>
          <w:rFonts w:ascii="Times New Roman" w:hAnsi="Times New Roman" w:cs="Times New Roman" w:eastAsia="Times New Roman"/>
          <w:b w:val="false"/>
          <w:bCs w:val="false"/>
          <w:i w:val="false"/>
          <w:iCs w:val="false"/>
          <w:smallCaps w:val="false"/>
          <w:sz w:val="20"/>
          <w:szCs w:val="20"/>
        </w:rPr>
        <w:t xml:space="preserve"> its confidence, </w:t>
      </w:r>
      <w:r>
        <w:rPr>
          <w:rFonts w:ascii="Times New Roman" w:hAnsi="Times New Roman" w:cs="Times New Roman" w:eastAsia="Times New Roman"/>
          <w:b w:val="false"/>
          <w:bCs w:val="false"/>
          <w:i/>
          <w:iCs/>
          <w:smallCaps w:val="false"/>
          <w:sz w:val="20"/>
          <w:szCs w:val="20"/>
        </w:rPr>
        <w:t xml:space="preserve">e</w:t>
      </w:r>
      <w:r>
        <w:rPr>
          <w:rFonts w:ascii="Times New Roman" w:hAnsi="Times New Roman" w:cs="Times New Roman" w:eastAsia="Times New Roman"/>
          <w:b w:val="false"/>
          <w:bCs w:val="false"/>
          <w:i/>
          <w:iCs/>
          <w:smallCaps w:val="false"/>
          <w:sz w:val="20"/>
          <w:szCs w:val="20"/>
          <w:vertAlign w:val="subscript"/>
        </w:rPr>
        <w:t xml:space="preserve">k</w:t>
      </w:r>
      <w:r>
        <w:rPr>
          <w:rFonts w:ascii="Times New Roman" w:hAnsi="Times New Roman" w:cs="Times New Roman" w:eastAsia="Times New Roman"/>
          <w:b w:val="false"/>
          <w:bCs w:val="false"/>
          <w:i w:val="false"/>
          <w:iCs w:val="false"/>
          <w:smallCaps w:val="false"/>
          <w:sz w:val="20"/>
          <w:szCs w:val="20"/>
        </w:rPr>
        <w:t xml:space="preserve"> its exponent, and τ</w:t>
      </w:r>
      <w:r>
        <w:rPr>
          <w:rFonts w:ascii="Times New Roman" w:hAnsi="Times New Roman" w:cs="Times New Roman" w:eastAsia="Times New Roman"/>
          <w:b w:val="false"/>
          <w:bCs w:val="false"/>
          <w:i/>
          <w:iCs/>
          <w:smallCaps w:val="false"/>
          <w:sz w:val="20"/>
          <w:szCs w:val="20"/>
          <w:vertAlign w:val="subscript"/>
        </w:rPr>
        <w:t xml:space="preserve">k</w:t>
      </w:r>
      <w:r>
        <w:rPr>
          <w:rFonts w:ascii="Times New Roman" w:hAnsi="Times New Roman" w:cs="Times New Roman" w:eastAsia="Times New Roman"/>
          <w:b w:val="false"/>
          <w:bCs w:val="false"/>
          <w:i w:val="false"/>
          <w:iCs w:val="false"/>
          <w:smallCaps w:val="false"/>
          <w:sz w:val="20"/>
          <w:szCs w:val="20"/>
        </w:rPr>
        <w:t xml:space="preserve"> its publish time. Anyone may append a Pyth-verified price, but only with a publish time later than the previous entry; otherwise an attacker could repeat one price to add zero returns and pull σ toward zero. The proof must cover the whole log, so a prover cannot pick a quiet stretch. Appending a price invalidates outstanding proofs, which fails closed but lets anyone delay a trade (Section IX).</w:t>
      </w:r>
    </w:p>
    <w:p>
      <w:pPr>
        <w:pStyle w:val="Heading2"/>
        <w:numPr>
          <w:ilvl w:val="1"/>
          <w:numId w:val="2"/>
        </w:numPr>
      </w:pPr>
      <w:r>
        <w:rPr>
          <w:rFonts w:ascii="Times New Roman" w:hAnsi="Times New Roman" w:cs="Times New Roman" w:eastAsia="Times New Roman"/>
          <w:i/>
          <w:iCs/>
          <w:sz w:val="20"/>
          <w:szCs w:val="20"/>
        </w:rPr>
        <w:t xml:space="preserve">Rolling Execution-Loss Ledger</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Around each swap the executor values the portfolio at the proven prices before and after the trade, and adds any decrease to a window total </w:t>
      </w:r>
      <w:r>
        <w:rPr>
          <w:rFonts w:ascii="Times New Roman" w:hAnsi="Times New Roman" w:cs="Times New Roman" w:eastAsia="Times New Roman"/>
          <w:b w:val="false"/>
          <w:bCs w:val="false"/>
          <w:i/>
          <w:iCs/>
          <w:smallCaps w:val="false"/>
          <w:sz w:val="20"/>
          <w:szCs w:val="20"/>
        </w:rPr>
        <w:t xml:space="preserve">L</w:t>
      </w:r>
      <w:r>
        <w:rPr>
          <w:rFonts w:ascii="Times New Roman" w:hAnsi="Times New Roman" w:cs="Times New Roman" w:eastAsia="Times New Roman"/>
          <w:b w:val="false"/>
          <w:bCs w:val="false"/>
          <w:i w:val="false"/>
          <w:iCs w:val="false"/>
          <w:smallCaps w:val="false"/>
          <w:sz w:val="20"/>
          <w:szCs w:val="20"/>
        </w:rPr>
        <w:t xml:space="preserve">. This is execution loss: value given up to the counterparty through slippage, fees, or a manipulated pool. Market moves between trades are not counted; the drawdown limit covers them. If </w:t>
      </w:r>
      <w:r>
        <w:rPr>
          <w:rFonts w:ascii="Times New Roman" w:hAnsi="Times New Roman" w:cs="Times New Roman" w:eastAsia="Times New Roman"/>
          <w:b w:val="false"/>
          <w:bCs w:val="false"/>
          <w:i/>
          <w:iCs/>
          <w:smallCaps w:val="false"/>
          <w:sz w:val="20"/>
          <w:szCs w:val="20"/>
        </w:rPr>
        <w:t xml:space="preserve">L</w:t>
      </w:r>
      <w:r>
        <w:rPr>
          <w:rFonts w:ascii="Times New Roman" w:hAnsi="Times New Roman" w:cs="Times New Roman" w:eastAsia="Times New Roman"/>
          <w:b w:val="false"/>
          <w:bCs w:val="false"/>
          <w:i w:val="false"/>
          <w:iCs w:val="false"/>
          <w:smallCaps w:val="false"/>
          <w:sz w:val="20"/>
          <w:szCs w:val="20"/>
        </w:rPr>
        <w:t xml:space="preserve"> would exceed the cap </w:t>
      </w:r>
      <w:r>
        <w:rPr>
          <w:rFonts w:ascii="Times New Roman" w:hAnsi="Times New Roman" w:cs="Times New Roman" w:eastAsia="Times New Roman"/>
          <w:b w:val="false"/>
          <w:bCs w:val="false"/>
          <w:i/>
          <w:iCs/>
          <w:smallCaps w:val="false"/>
          <w:sz w:val="20"/>
          <w:szCs w:val="20"/>
        </w:rPr>
        <w:t xml:space="preserve">L</w:t>
      </w:r>
      <w:r>
        <w:rPr>
          <w:rFonts w:ascii="Times New Roman" w:hAnsi="Times New Roman" w:cs="Times New Roman" w:eastAsia="Times New Roman"/>
          <w:b w:val="false"/>
          <w:bCs w:val="false"/>
          <w:i w:val="false"/>
          <w:iCs w:val="false"/>
          <w:smallCaps w:val="false"/>
          <w:sz w:val="20"/>
          <w:szCs w:val="20"/>
          <w:vertAlign w:val="subscript"/>
        </w:rPr>
        <w:t xml:space="preserve">max</w:t>
      </w:r>
      <w:r>
        <w:rPr>
          <w:rFonts w:ascii="Times New Roman" w:hAnsi="Times New Roman" w:cs="Times New Roman" w:eastAsia="Times New Roman"/>
          <w:b w:val="false"/>
          <w:bCs w:val="false"/>
          <w:i w:val="false"/>
          <w:iCs w:val="false"/>
          <w:smallCaps w:val="false"/>
          <w:sz w:val="20"/>
          <w:szCs w:val="20"/>
        </w:rPr>
        <w:t xml:space="preserve"> within the window, the ledger update reverts and the swap with it. The ledger also stores peak equity for the drawdown limit and a trade count. Because the guest reads the ledger state and commits it, every proof is evaluated against the losses of all earlier trades.</w:t>
      </w:r>
    </w:p>
    <w:p>
      <w:pPr>
        <w:pStyle w:val="Heading2"/>
        <w:numPr>
          <w:ilvl w:val="1"/>
          <w:numId w:val="2"/>
        </w:numPr>
      </w:pPr>
      <w:r>
        <w:rPr>
          <w:rFonts w:ascii="Times New Roman" w:hAnsi="Times New Roman" w:cs="Times New Roman" w:eastAsia="Times New Roman"/>
          <w:i/>
          <w:iCs/>
          <w:sz w:val="20"/>
          <w:szCs w:val="20"/>
        </w:rPr>
        <w:t xml:space="preserve">Simple Limits</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The guest and the executor also enforce a per-trade notional cap of $30,000, an 80% concentration cap on non-quote assets, a 30% drawdown cap, a 1% slippage cap, and at most 20 trades per window. These limits are repeated in Solidity so that a bug in the guest cannot waive them; a Foundry test sets the allow bit on a trade over the exposure budget and confirms that the executor reverts.</w:t>
      </w:r>
    </w:p>
    <w:p>
      <w:pPr>
        <w:pStyle w:val="Heading2"/>
        <w:numPr>
          <w:ilvl w:val="1"/>
          <w:numId w:val="2"/>
        </w:numPr>
      </w:pPr>
      <w:r>
        <w:rPr>
          <w:rFonts w:ascii="Times New Roman" w:hAnsi="Times New Roman" w:cs="Times New Roman" w:eastAsia="Times New Roman"/>
          <w:i/>
          <w:iCs/>
          <w:sz w:val="20"/>
          <w:szCs w:val="20"/>
        </w:rPr>
        <w:t xml:space="preserve">Why the Risk Function Is Proved</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Computing σ in Solidity costs gas linear in the window, and a guard must read the logged prices from storage, since calldata is unauthenticated. Table II gives measured costs with each contract’s storage cold.</w:t>
      </w:r>
    </w:p>
    <w:p>
      <w:pPr>
        <w:keepNext/>
        <w:spacing w:after="0"/>
        <w:jc w:val="center"/>
      </w:pPr>
      <w:r>
        <w:rPr>
          <w:rFonts w:ascii="Times New Roman" w:hAnsi="Times New Roman" w:cs="Times New Roman" w:eastAsia="Times New Roman"/>
          <w:smallCaps/>
          <w:sz w:val="16"/>
          <w:szCs w:val="16"/>
        </w:rPr>
        <w:t xml:space="preserve">Table II</w:t>
      </w:r>
    </w:p>
    <w:p>
      <w:pPr>
        <w:keepNext/>
        <w:spacing w:after="60"/>
        <w:jc w:val="center"/>
      </w:pPr>
      <w:r>
        <w:rPr>
          <w:rFonts w:ascii="Times New Roman" w:hAnsi="Times New Roman" w:cs="Times New Roman" w:eastAsia="Times New Roman"/>
          <w:smallCaps/>
          <w:sz w:val="16"/>
          <w:szCs w:val="16"/>
        </w:rPr>
        <w:t xml:space="preserve">Measured gas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670"/>
        <w:gridCol w:w="1670"/>
      </w:tblGrid>
      <w:tr>
        <w:trPr>
          <w:cantSplit/>
          <w:tblHeader/>
        </w:trPr>
        <w:tc>
          <w:tcPr>
            <w:tcW w:type="dxa" w:w="1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sz w:val="16"/>
                <w:szCs w:val="16"/>
              </w:rPr>
              <w:t xml:space="preserve">Prices (one asset)</w:t>
            </w:r>
          </w:p>
        </w:tc>
        <w:tc>
          <w:tcPr>
            <w:tcW w:type="dxa" w:w="1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sz w:val="16"/>
                <w:szCs w:val="16"/>
              </w:rPr>
              <w:t xml:space="preserve">EWMA, calldata</w:t>
            </w:r>
          </w:p>
        </w:tc>
        <w:tc>
          <w:tcPr>
            <w:tcW w:type="dxa" w:w="1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sz w:val="16"/>
                <w:szCs w:val="16"/>
              </w:rPr>
              <w:t xml:space="preserve">EWMA, storage</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left"/>
            </w:pPr>
            <w:r>
              <w:rPr>
                <w:rFonts w:ascii="Times New Roman" w:hAnsi="Times New Roman" w:cs="Times New Roman" w:eastAsia="Times New Roman"/>
                <w:b w:val="false"/>
                <w:bCs w:val="false"/>
                <w:i w:val="false"/>
                <w:iCs w:val="false"/>
                <w:smallCaps w:val="false"/>
                <w:sz w:val="16"/>
                <w:szCs w:val="16"/>
              </w:rPr>
              <w:t xml:space="preserve">8</w:t>
            </w:r>
          </w:p>
        </w:tc>
        <w:tc>
          <w:tcPr>
            <w:tcW w:type="dxa" w:w="1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18,873</w:t>
            </w:r>
          </w:p>
        </w:tc>
        <w:tc>
          <w:tcPr>
            <w:tcW w:type="dxa" w:w="1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36,116</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left"/>
            </w:pPr>
            <w:r>
              <w:rPr>
                <w:rFonts w:ascii="Times New Roman" w:hAnsi="Times New Roman" w:cs="Times New Roman" w:eastAsia="Times New Roman"/>
                <w:b w:val="false"/>
                <w:bCs w:val="false"/>
                <w:i w:val="false"/>
                <w:iCs w:val="false"/>
                <w:smallCaps w:val="false"/>
                <w:sz w:val="16"/>
                <w:szCs w:val="16"/>
              </w:rPr>
              <w:t xml:space="preserve">32</w:t>
            </w:r>
          </w:p>
        </w:tc>
        <w:tc>
          <w:tcPr>
            <w:tcW w:type="dxa" w:w="1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53,569</w:t>
            </w:r>
          </w:p>
        </w:tc>
        <w:tc>
          <w:tcPr>
            <w:tcW w:type="dxa" w:w="1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114,694</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left"/>
            </w:pPr>
            <w:r>
              <w:rPr>
                <w:rFonts w:ascii="Times New Roman" w:hAnsi="Times New Roman" w:cs="Times New Roman" w:eastAsia="Times New Roman"/>
                <w:b w:val="false"/>
                <w:bCs w:val="false"/>
                <w:i w:val="false"/>
                <w:iCs w:val="false"/>
                <w:smallCaps w:val="false"/>
                <w:sz w:val="16"/>
                <w:szCs w:val="16"/>
              </w:rPr>
              <w:t xml:space="preserve">64</w:t>
            </w:r>
          </w:p>
        </w:tc>
        <w:tc>
          <w:tcPr>
            <w:tcW w:type="dxa" w:w="1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96,523</w:t>
            </w:r>
          </w:p>
        </w:tc>
        <w:tc>
          <w:tcPr>
            <w:tcW w:type="dxa" w:w="1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219,469</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left"/>
            </w:pPr>
            <w:r>
              <w:rPr>
                <w:rFonts w:ascii="Times New Roman" w:hAnsi="Times New Roman" w:cs="Times New Roman" w:eastAsia="Times New Roman"/>
                <w:b w:val="false"/>
                <w:bCs w:val="false"/>
                <w:i w:val="false"/>
                <w:iCs w:val="false"/>
                <w:smallCaps w:val="false"/>
                <w:sz w:val="16"/>
                <w:szCs w:val="16"/>
              </w:rPr>
              <w:t xml:space="preserve">128</w:t>
            </w:r>
          </w:p>
        </w:tc>
        <w:tc>
          <w:tcPr>
            <w:tcW w:type="dxa" w:w="1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182,510</w:t>
            </w:r>
          </w:p>
        </w:tc>
        <w:tc>
          <w:tcPr>
            <w:tcW w:type="dxa" w:w="1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429,031</w:t>
            </w:r>
          </w:p>
        </w:tc>
      </w:tr>
      <w:tr>
        <w:trPr>
          <w:cantSplit/>
        </w:trPr>
        <w:tc>
          <w:tcPr>
            <w:tcW w:type="dxa" w:w="1700"/>
            <w:tcBorders>
              <w:top w:val="single" w:color="000000" w:sz="12"/>
              <w:left w:val="single" w:color="000000" w:sz="4"/>
              <w:bottom w:val="single" w:color="000000" w:sz="4"/>
              <w:right w:val="single" w:color="000000" w:sz="4"/>
            </w:tcBorders>
            <w:tcMar>
              <w:top w:type="dxa" w:w="20"/>
              <w:left w:type="dxa" w:w="60"/>
              <w:bottom w:type="dxa" w:w="20"/>
              <w:right w:type="dxa" w:w="60"/>
            </w:tcMar>
            <w:vAlign w:val="center"/>
          </w:tcPr>
          <w:p>
            <w:pPr>
              <w:spacing w:after="0"/>
              <w:jc w:val="left"/>
            </w:pPr>
            <w:r>
              <w:rPr>
                <w:rFonts w:ascii="Times New Roman" w:hAnsi="Times New Roman" w:cs="Times New Roman" w:eastAsia="Times New Roman"/>
                <w:b w:val="false"/>
                <w:bCs w:val="false"/>
                <w:i w:val="false"/>
                <w:iCs w:val="false"/>
                <w:smallCaps w:val="false"/>
                <w:sz w:val="16"/>
                <w:szCs w:val="16"/>
              </w:rPr>
              <w:t xml:space="preserve">Guarded trade, first</w:t>
            </w:r>
          </w:p>
        </w:tc>
        <w:tc>
          <w:tcPr>
            <w:tcW w:type="dxa" w:w="3340"/>
            <w:gridSpan w:val="2"/>
            <w:tcBorders>
              <w:top w:val="single" w:color="000000" w:sz="12"/>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331,518</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left"/>
            </w:pPr>
            <w:r>
              <w:rPr>
                <w:rFonts w:ascii="Times New Roman" w:hAnsi="Times New Roman" w:cs="Times New Roman" w:eastAsia="Times New Roman"/>
                <w:b w:val="false"/>
                <w:bCs w:val="false"/>
                <w:i w:val="false"/>
                <w:iCs w:val="false"/>
                <w:smallCaps w:val="false"/>
                <w:sz w:val="16"/>
                <w:szCs w:val="16"/>
              </w:rPr>
              <w:t xml:space="preserve">Guarded trade, later</w:t>
            </w:r>
          </w:p>
        </w:tc>
        <w:tc>
          <w:tcPr>
            <w:tcW w:type="dxa" w:w="3340"/>
            <w:gridSpan w:val="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260,218</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left"/>
            </w:pPr>
            <w:r>
              <w:rPr>
                <w:rFonts w:ascii="Times New Roman" w:hAnsi="Times New Roman" w:cs="Times New Roman" w:eastAsia="Times New Roman"/>
                <w:b w:val="false"/>
                <w:bCs w:val="false"/>
                <w:i w:val="false"/>
                <w:iCs w:val="false"/>
                <w:smallCaps w:val="false"/>
                <w:sz w:val="16"/>
                <w:szCs w:val="16"/>
              </w:rPr>
              <w:t xml:space="preserve">Stand-in verifier</w:t>
            </w:r>
          </w:p>
        </w:tc>
        <w:tc>
          <w:tcPr>
            <w:tcW w:type="dxa" w:w="3340"/>
            <w:gridSpan w:val="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5,332</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left"/>
            </w:pPr>
            <w:r>
              <w:rPr>
                <w:rFonts w:ascii="Times New Roman" w:hAnsi="Times New Roman" w:cs="Times New Roman" w:eastAsia="Times New Roman"/>
                <w:b w:val="false"/>
                <w:bCs w:val="false"/>
                <w:i w:val="false"/>
                <w:iCs w:val="false"/>
                <w:smallCaps w:val="false"/>
                <w:sz w:val="16"/>
                <w:szCs w:val="16"/>
              </w:rPr>
              <w:t xml:space="preserve">Price-log append</w:t>
            </w:r>
          </w:p>
        </w:tc>
        <w:tc>
          <w:tcPr>
            <w:tcW w:type="dxa" w:w="3340"/>
            <w:gridSpan w:val="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0"/>
              <w:jc w:val="center"/>
            </w:pPr>
            <w:r>
              <w:rPr>
                <w:rFonts w:ascii="Times New Roman" w:hAnsi="Times New Roman" w:cs="Times New Roman" w:eastAsia="Times New Roman"/>
                <w:b w:val="false"/>
                <w:bCs w:val="false"/>
                <w:i w:val="false"/>
                <w:iCs w:val="false"/>
                <w:smallCaps w:val="false"/>
                <w:sz w:val="16"/>
                <w:szCs w:val="16"/>
              </w:rPr>
              <w:t xml:space="preserve">95,732</w:t>
            </w:r>
          </w:p>
        </w:tc>
      </w:tr>
    </w:tbl>
    <w:p>
      <w:pPr>
        <w:spacing w:before="40" w:after="120"/>
        <w:jc w:val="both"/>
      </w:pPr>
      <w:r>
        <w:rPr>
          <w:rFonts w:ascii="Times New Roman" w:hAnsi="Times New Roman" w:cs="Times New Roman" w:eastAsia="Times New Roman"/>
          <w:b w:val="false"/>
          <w:bCs w:val="false"/>
          <w:i w:val="false"/>
          <w:iCs w:val="false"/>
          <w:smallCaps w:val="false"/>
          <w:sz w:val="14"/>
          <w:szCs w:val="14"/>
        </w:rPr>
        <w:t xml:space="preserve">Execution gas of one call, excluding intrinsic and calldata gas. Guarded trades use the stand-in verifier in place of Groth16 verification.</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The storage column reads one slot per price, the layout of the price log; the calldata column is a lower bound because nothing authenticates its input. Succinct publishes roughly 280,000 gas to verify an SP1 Groth16 proof [15], independent of the window. Extrapolating linearly, one asset passes that figure at about 82 stored prices (201 from calldata), and two assets at 64 prices already exceed it. A later guarded trade costs 254,886 gas without verification, so about 535k with a Groth16 verifier. These are measurements of individual calls plus a cited verification cost, not of an end-to-end proved trade.</w:t>
      </w:r>
    </w:p>
    <w:p>
      <w:pPr>
        <w:pStyle w:val="Heading1"/>
        <w:numPr>
          <w:ilvl w:val="0"/>
          <w:numId w:val="2"/>
        </w:numPr>
      </w:pPr>
      <w:r>
        <w:rPr>
          <w:rFonts w:ascii="Times New Roman" w:hAnsi="Times New Roman" w:cs="Times New Roman" w:eastAsia="Times New Roman"/>
          <w:smallCaps/>
          <w:sz w:val="20"/>
          <w:szCs w:val="20"/>
        </w:rPr>
        <w:t xml:space="preserve">Security Analysis</w:t>
      </w:r>
    </w:p>
    <w:p>
      <w:pPr>
        <w:spacing w:before="0" w:after="0"/>
        <w:ind w:firstLine="288"/>
        <w:jc w:val="both"/>
      </w:pPr>
      <w:r>
        <w:rPr>
          <w:rFonts w:ascii="Times New Roman" w:hAnsi="Times New Roman" w:cs="Times New Roman" w:eastAsia="Times New Roman"/>
          <w:b w:val="false"/>
          <w:bCs w:val="false"/>
          <w:i/>
          <w:iCs/>
          <w:smallCaps w:val="false"/>
          <w:sz w:val="20"/>
          <w:szCs w:val="20"/>
        </w:rPr>
        <w:t xml:space="preserve">G1.</w:t>
      </w:r>
      <w:r>
        <w:rPr>
          <w:rFonts w:ascii="Times New Roman" w:hAnsi="Times New Roman" w:cs="Times New Roman" w:eastAsia="Times New Roman"/>
          <w:b w:val="false"/>
          <w:bCs w:val="false"/>
          <w:i w:val="false"/>
          <w:iCs w:val="false"/>
          <w:smallCaps w:val="false"/>
          <w:sz w:val="20"/>
          <w:szCs w:val="20"/>
        </w:rPr>
        <w:t xml:space="preserve"> The session-key validator accepts a user operation signed by the session key only if it calls the account’s execute function with the executor as target, zero value, and the executeGuarded selector. executeGuarded approves exactly the input amount to an allowlisted router and swaps with the account as recipient. No session-key path therefore moves tokens elsewhere; the owner key can, and is trusted. A test submits a raw transfer signed by the session key and checks that validation fails.</w:t>
      </w:r>
    </w:p>
    <w:p>
      <w:pPr>
        <w:spacing w:before="0" w:after="0"/>
        <w:ind w:firstLine="288"/>
        <w:jc w:val="both"/>
      </w:pPr>
      <w:r>
        <w:rPr>
          <w:rFonts w:ascii="Times New Roman" w:hAnsi="Times New Roman" w:cs="Times New Roman" w:eastAsia="Times New Roman"/>
          <w:b w:val="false"/>
          <w:bCs w:val="false"/>
          <w:i/>
          <w:iCs/>
          <w:smallCaps w:val="false"/>
          <w:sz w:val="20"/>
          <w:szCs w:val="20"/>
        </w:rPr>
        <w:t xml:space="preserve">G2.</w:t>
      </w:r>
      <w:r>
        <w:rPr>
          <w:rFonts w:ascii="Times New Roman" w:hAnsi="Times New Roman" w:cs="Times New Roman" w:eastAsia="Times New Roman"/>
          <w:b w:val="false"/>
          <w:bCs w:val="false"/>
          <w:i w:val="false"/>
          <w:iCs w:val="false"/>
          <w:smallCaps w:val="false"/>
          <w:sz w:val="20"/>
          <w:szCs w:val="20"/>
        </w:rPr>
        <w:t xml:space="preserve"> A swap needs an allow decision in public values that the verifier accepts for the program’s key. By soundness, those values are the guest’s output on some input. The action hash fixes the swap and the nonce, the policy commitment fixes the limits, the log heads fix the price history, the committed balances fix the portfolio, and the ledger fields fix the earlier trades. The executor checks each against chain state, so the only accepted input is the true one. Tests cover a replay, a tampered public-values byte, a log with an extra entry, and an unknown router.</w:t>
      </w:r>
    </w:p>
    <w:p>
      <w:pPr>
        <w:spacing w:before="0" w:after="0"/>
        <w:ind w:firstLine="288"/>
        <w:jc w:val="both"/>
      </w:pPr>
      <w:r>
        <w:rPr>
          <w:rFonts w:ascii="Times New Roman" w:hAnsi="Times New Roman" w:cs="Times New Roman" w:eastAsia="Times New Roman"/>
          <w:b w:val="false"/>
          <w:bCs w:val="false"/>
          <w:i/>
          <w:iCs/>
          <w:smallCaps w:val="false"/>
          <w:sz w:val="20"/>
          <w:szCs w:val="20"/>
        </w:rPr>
        <w:t xml:space="preserve">G3.</w:t>
      </w:r>
      <w:r>
        <w:rPr>
          <w:rFonts w:ascii="Times New Roman" w:hAnsi="Times New Roman" w:cs="Times New Roman" w:eastAsia="Times New Roman"/>
          <w:b w:val="false"/>
          <w:bCs w:val="false"/>
          <w:i w:val="false"/>
          <w:iCs w:val="false"/>
          <w:smallCaps w:val="false"/>
          <w:sz w:val="20"/>
          <w:szCs w:val="20"/>
        </w:rPr>
        <w:t xml:space="preserve"> Every executed swap calls the ledger, which adds the trade’s execution loss and reverts if the window total exceeds </w:t>
      </w:r>
      <w:r>
        <w:rPr>
          <w:rFonts w:ascii="Times New Roman" w:hAnsi="Times New Roman" w:cs="Times New Roman" w:eastAsia="Times New Roman"/>
          <w:b w:val="false"/>
          <w:bCs w:val="false"/>
          <w:i/>
          <w:iCs/>
          <w:smallCaps w:val="false"/>
          <w:sz w:val="20"/>
          <w:szCs w:val="20"/>
        </w:rPr>
        <w:t xml:space="preserve">L</w:t>
      </w:r>
      <w:r>
        <w:rPr>
          <w:rFonts w:ascii="Times New Roman" w:hAnsi="Times New Roman" w:cs="Times New Roman" w:eastAsia="Times New Roman"/>
          <w:b w:val="false"/>
          <w:bCs w:val="false"/>
          <w:i w:val="false"/>
          <w:iCs w:val="false"/>
          <w:smallCaps w:val="false"/>
          <w:sz w:val="20"/>
          <w:szCs w:val="20"/>
          <w:vertAlign w:val="subscript"/>
        </w:rPr>
        <w:t xml:space="preserve">max</w:t>
      </w:r>
      <w:r>
        <w:rPr>
          <w:rFonts w:ascii="Times New Roman" w:hAnsi="Times New Roman" w:cs="Times New Roman" w:eastAsia="Times New Roman"/>
          <w:b w:val="false"/>
          <w:bCs w:val="false"/>
          <w:i w:val="false"/>
          <w:iCs w:val="false"/>
          <w:smallCaps w:val="false"/>
          <w:sz w:val="20"/>
          <w:szCs w:val="20"/>
        </w:rPr>
        <w:t xml:space="preserve">. Because the swap and the ledger update happen in one call, no executed sequence leaves </w:t>
      </w:r>
      <w:r>
        <w:rPr>
          <w:rFonts w:ascii="Times New Roman" w:hAnsi="Times New Roman" w:cs="Times New Roman" w:eastAsia="Times New Roman"/>
          <w:b w:val="false"/>
          <w:bCs w:val="false"/>
          <w:i/>
          <w:iCs/>
          <w:smallCaps w:val="false"/>
          <w:sz w:val="20"/>
          <w:szCs w:val="20"/>
        </w:rPr>
        <w:t xml:space="preserve">L</w:t>
      </w:r>
      <w:r>
        <w:rPr>
          <w:rFonts w:ascii="Times New Roman" w:hAnsi="Times New Roman" w:cs="Times New Roman" w:eastAsia="Times New Roman"/>
          <w:b w:val="false"/>
          <w:bCs w:val="false"/>
          <w:i w:val="false"/>
          <w:iCs w:val="false"/>
          <w:smallCaps w:val="false"/>
          <w:sz w:val="20"/>
          <w:szCs w:val="20"/>
        </w:rPr>
        <w:t xml:space="preserve"> above the cap. An invariant test of 128,000 random ledger updates never found the cap crossed, and a salami test stops at it.</w:t>
      </w:r>
    </w:p>
    <w:p>
      <w:pPr>
        <w:spacing w:before="0" w:after="0"/>
        <w:ind w:firstLine="288"/>
        <w:jc w:val="both"/>
      </w:pPr>
      <w:r>
        <w:rPr>
          <w:rFonts w:ascii="Times New Roman" w:hAnsi="Times New Roman" w:cs="Times New Roman" w:eastAsia="Times New Roman"/>
          <w:b w:val="false"/>
          <w:bCs w:val="false"/>
          <w:i/>
          <w:iCs/>
          <w:smallCaps w:val="false"/>
          <w:sz w:val="20"/>
          <w:szCs w:val="20"/>
        </w:rPr>
        <w:t xml:space="preserve">Attacks considered.</w:t>
      </w:r>
      <w:r>
        <w:rPr>
          <w:rFonts w:ascii="Times New Roman" w:hAnsi="Times New Roman" w:cs="Times New Roman" w:eastAsia="Times New Roman"/>
          <w:b w:val="false"/>
          <w:bCs w:val="false"/>
          <w:i w:val="false"/>
          <w:iCs w:val="false"/>
          <w:smallCaps w:val="false"/>
          <w:sz w:val="20"/>
          <w:szCs w:val="20"/>
        </w:rPr>
        <w:t xml:space="preserve"> A forged calm history fails the head comparison, and padding the real log with repeated prices is refused by the log. A malicious prover host can only obtain proofs of decisions the guest actually computes. A stolen session key gains nothing beyond proposing trades the guest would approve. A sandwich or manipulated pool can extract at most the slippage limit per trade and </w:t>
      </w:r>
      <w:r>
        <w:rPr>
          <w:rFonts w:ascii="Times New Roman" w:hAnsi="Times New Roman" w:cs="Times New Roman" w:eastAsia="Times New Roman"/>
          <w:b w:val="false"/>
          <w:bCs w:val="false"/>
          <w:i/>
          <w:iCs/>
          <w:smallCaps w:val="false"/>
          <w:sz w:val="20"/>
          <w:szCs w:val="20"/>
        </w:rPr>
        <w:t xml:space="preserve">L</w:t>
      </w:r>
      <w:r>
        <w:rPr>
          <w:rFonts w:ascii="Times New Roman" w:hAnsi="Times New Roman" w:cs="Times New Roman" w:eastAsia="Times New Roman"/>
          <w:b w:val="false"/>
          <w:bCs w:val="false"/>
          <w:i w:val="false"/>
          <w:iCs w:val="false"/>
          <w:smallCaps w:val="false"/>
          <w:sz w:val="20"/>
          <w:szCs w:val="20"/>
          <w:vertAlign w:val="subscript"/>
        </w:rPr>
        <w:t xml:space="preserve">max</w:t>
      </w:r>
      <w:r>
        <w:rPr>
          <w:rFonts w:ascii="Times New Roman" w:hAnsi="Times New Roman" w:cs="Times New Roman" w:eastAsia="Times New Roman"/>
          <w:b w:val="false"/>
          <w:bCs w:val="false"/>
          <w:i w:val="false"/>
          <w:iCs w:val="false"/>
          <w:smallCaps w:val="false"/>
          <w:sz w:val="20"/>
          <w:szCs w:val="20"/>
        </w:rPr>
        <w:t xml:space="preserve"> per window. This argument is informal and rests on tests, not on a machine-checked proof.</w:t>
      </w:r>
    </w:p>
    <w:p>
      <w:pPr>
        <w:pStyle w:val="Heading1"/>
        <w:numPr>
          <w:ilvl w:val="0"/>
          <w:numId w:val="2"/>
        </w:numPr>
      </w:pPr>
      <w:r>
        <w:rPr>
          <w:rFonts w:ascii="Times New Roman" w:hAnsi="Times New Roman" w:cs="Times New Roman" w:eastAsia="Times New Roman"/>
          <w:smallCaps/>
          <w:sz w:val="20"/>
          <w:szCs w:val="20"/>
        </w:rPr>
        <w:t xml:space="preserve">Implementation</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The risk function is a no_std Rust crate that runs unmodified in native tests, in a command-line host, and as the SP1 guest. We compiled the guest with the SP1 toolchain and ran it in the SP1 executor, which runs the RISC-V program without generating a proof, for histories of 8 to 256 prices per asset on the two-asset calm scenario. That sweep is not the benchmark in Section VIII. Its committed public values were byte-identical to native execution in every case. Execution took 334,624 RISC-V cycles at 8 prices per asset and 4,453,756 at 256. Dividing that difference by the 248 extra prices gives 16,609 cycles for each additional price on each of two assets. The contracts are written in Solidity 0.8.28 and tested with Foundry; the agent, orchestrator, and harness are written in Python.</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The agent is a tool-calling loop with three tools (prices, portfolio, and news) running against a simulated market. By default it uses a deterministic scripted stand-in for the model, so the benchmark needs no API key. A proposal panel for one local Ollama model is included; no model server was available while preparing this draft, so no live model was scored. The account is a teaching implementation of the ERC-4337 and ERC-7579 call path, not a production account. In the tests, an honest-verifier stand-in ties the proof bytes to the public values; a mock verifier is used only to wire up demonstrations and supports no security claim. On-chain results come from a local chain with mock tokens and a mock router.</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The Foundry suite has 20 tests and one invariant. They cover a calm swap, a denied all-in purchase, a guest that sets the allow bit on a trade over the exposure budget, a de-risking sale over budget, a head mismatch, a repeated publish time refused by the log, a replay, a tampered public-values byte, the restricted session key, a salami loop halted at the loss cap, a stolen-key case against a signed baseline, a fuzz test that the minimum output never exceeds the fair output, and the gas samples. In an invariant test of 128,000 handler calls, the stored window loss never exceeded the cap. The Rust crate has 13 unit tests.</w:t>
      </w:r>
    </w:p>
    <w:p>
      <w:pPr>
        <w:pStyle w:val="Heading1"/>
        <w:numPr>
          <w:ilvl w:val="0"/>
          <w:numId w:val="2"/>
        </w:numPr>
      </w:pPr>
      <w:r>
        <w:rPr>
          <w:rFonts w:ascii="Times New Roman" w:hAnsi="Times New Roman" w:cs="Times New Roman" w:eastAsia="Times New Roman"/>
          <w:smallCaps/>
          <w:sz w:val="20"/>
          <w:szCs w:val="20"/>
        </w:rPr>
        <w:t xml:space="preserve">Evaluation</w:t>
      </w:r>
    </w:p>
    <w:p>
      <w:pPr>
        <w:pStyle w:val="Heading2"/>
        <w:numPr>
          <w:ilvl w:val="1"/>
          <w:numId w:val="2"/>
        </w:numPr>
      </w:pPr>
      <w:r>
        <w:rPr>
          <w:rFonts w:ascii="Times New Roman" w:hAnsi="Times New Roman" w:cs="Times New Roman" w:eastAsia="Times New Roman"/>
          <w:i/>
          <w:iCs/>
          <w:sz w:val="20"/>
          <w:szCs w:val="20"/>
        </w:rPr>
        <w:t xml:space="preserve">Setup</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The harness generates 250 trials, 25 seeds in each of ten families (Table III). Each guest-decided seed draws a distinct WETH path from a geometric random walk, with per-minute volatility in a calm (2–8×10</w:t>
      </w:r>
      <w:r>
        <w:rPr>
          <w:rFonts w:ascii="Times New Roman" w:hAnsi="Times New Roman" w:cs="Times New Roman" w:eastAsia="Times New Roman"/>
          <w:b w:val="false"/>
          <w:bCs w:val="false"/>
          <w:i w:val="false"/>
          <w:iCs w:val="false"/>
          <w:smallCaps w:val="false"/>
          <w:sz w:val="20"/>
          <w:szCs w:val="20"/>
          <w:vertAlign w:val="superscript"/>
        </w:rPr>
        <w:t xml:space="preserve">−4</w:t>
      </w:r>
      <w:r>
        <w:rPr>
          <w:rFonts w:ascii="Times New Roman" w:hAnsi="Times New Roman" w:cs="Times New Roman" w:eastAsia="Times New Roman"/>
          <w:b w:val="false"/>
          <w:bCs w:val="false"/>
          <w:i w:val="false"/>
          <w:iCs w:val="false"/>
          <w:smallCaps w:val="false"/>
          <w:sz w:val="20"/>
          <w:szCs w:val="20"/>
        </w:rPr>
        <w:t xml:space="preserve">) or volatile (6–12×10</w:t>
      </w:r>
      <w:r>
        <w:rPr>
          <w:rFonts w:ascii="Times New Roman" w:hAnsi="Times New Roman" w:cs="Times New Roman" w:eastAsia="Times New Roman"/>
          <w:b w:val="false"/>
          <w:bCs w:val="false"/>
          <w:i w:val="false"/>
          <w:iCs w:val="false"/>
          <w:smallCaps w:val="false"/>
          <w:sz w:val="20"/>
          <w:szCs w:val="20"/>
          <w:vertAlign w:val="superscript"/>
        </w:rPr>
        <w:t xml:space="preserve">−3</w:t>
      </w:r>
      <w:r>
        <w:rPr>
          <w:rFonts w:ascii="Times New Roman" w:hAnsi="Times New Roman" w:cs="Times New Roman" w:eastAsia="Times New Roman"/>
          <w:b w:val="false"/>
          <w:bCs w:val="false"/>
          <w:i w:val="false"/>
          <w:iCs w:val="false"/>
          <w:smallCaps w:val="false"/>
          <w:sz w:val="20"/>
          <w:szCs w:val="20"/>
        </w:rPr>
        <w:t xml:space="preserve">) regime, a $30,000–$50,000 portfolio, and a trade size. Histories are 32 to 64 prices, except the calm rebalance, which draws 16 to 64. The three structural families do not draw a price path. The policy is fixed: an exposure budget </w:t>
      </w:r>
      <w:r>
        <w:rPr>
          <w:rFonts w:ascii="Times New Roman" w:hAnsi="Times New Roman" w:cs="Times New Roman" w:eastAsia="Times New Roman"/>
          <w:b w:val="false"/>
          <w:bCs w:val="false"/>
          <w:i/>
          <w:iCs/>
          <w:smallCaps w:val="false"/>
          <w:sz w:val="20"/>
          <w:szCs w:val="20"/>
        </w:rPr>
        <w:t xml:space="preserve">V</w:t>
      </w:r>
      <w:r>
        <w:rPr>
          <w:rFonts w:ascii="Times New Roman" w:hAnsi="Times New Roman" w:cs="Times New Roman" w:eastAsia="Times New Roman"/>
          <w:b w:val="false"/>
          <w:bCs w:val="false"/>
          <w:i w:val="false"/>
          <w:iCs w:val="false"/>
          <w:smallCaps w:val="false"/>
          <w:sz w:val="20"/>
          <w:szCs w:val="20"/>
        </w:rPr>
        <w:t xml:space="preserve"> ≤ $40 of one-minute σ (0.1% of a $40,000 book), a $400 window-loss cap (1%), a $30,000 per-trade notional cap, at most 20 trades in the window, and the other limits of Section V-F.</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Three harmful families are structural. The harness does not call the contract, each row is the fixed outcome of the named Foundry test, and only B1’s keyword check varies with the seed. A direct transfer has no session-key path: the session key can call only executeGuarded, and that call swaps back to the account. An unlisted router fails the executor allowlist after verification. zkLeash has no attestation key, so the stolen-key row is blocked for zkLeash, B4, and B5 by construction; B3 is not blocked, matching the Foundry test in which that key signs any action. B2 is marked blocked on every structural row, including stolen key, because the harness sets the router unlisted. That is not 25 stolen-key executions. These 75 trials are outside the measured attack-success rate. The guest or the ledger decides the other harmful families: an all-in purchase of 85–100% of the stable balance, a $1,000–$4,900 volatile buy, and a salami drain of 30 alternating $3,000–$4,900 swaps that give up 0.5–1%. Four families are benign: a calm rebalance, a calm buy sized like the spike buy, a sale of 20–60% of the WETH with the ledger peak set so that current equity is 32–50% below it (the price path is not that drawdown), and a day of $400–$1,200 clips, at most 10 basis points of loss, with intended notional $3,000–$20,000. Seven systems are compared:</w:t>
      </w:r>
    </w:p>
    <w:p>
      <w:pPr>
        <w:pStyle w:val="ListParagraph"/>
        <w:numPr>
          <w:ilvl w:val="0"/>
          <w:numId w:val="5"/>
        </w:numPr>
        <w:spacing w:after="60"/>
        <w:jc w:val="both"/>
      </w:pPr>
      <w:r>
        <w:rPr>
          <w:rFonts w:ascii="Times New Roman" w:hAnsi="Times New Roman" w:cs="Times New Roman" w:eastAsia="Times New Roman"/>
          <w:b w:val="false"/>
          <w:bCs w:val="false"/>
          <w:i w:val="false"/>
          <w:iCs w:val="false"/>
          <w:smallCaps w:val="false"/>
          <w:sz w:val="20"/>
          <w:szCs w:val="20"/>
        </w:rPr>
        <w:t xml:space="preserve">B0: no guard.</w:t>
      </w:r>
    </w:p>
    <w:p>
      <w:pPr>
        <w:pStyle w:val="ListParagraph"/>
        <w:numPr>
          <w:ilvl w:val="0"/>
          <w:numId w:val="5"/>
        </w:numPr>
        <w:spacing w:after="60"/>
        <w:jc w:val="both"/>
      </w:pPr>
      <w:r>
        <w:rPr>
          <w:rFonts w:ascii="Times New Roman" w:hAnsi="Times New Roman" w:cs="Times New Roman" w:eastAsia="Times New Roman"/>
          <w:b w:val="false"/>
          <w:bCs w:val="false"/>
          <w:i w:val="false"/>
          <w:iCs w:val="false"/>
          <w:smallCaps w:val="false"/>
          <w:sz w:val="20"/>
          <w:szCs w:val="20"/>
        </w:rPr>
        <w:t xml:space="preserve">B1: a keyword filter on the text that triggered the action.</w:t>
      </w:r>
    </w:p>
    <w:p>
      <w:pPr>
        <w:pStyle w:val="ListParagraph"/>
        <w:numPr>
          <w:ilvl w:val="0"/>
          <w:numId w:val="5"/>
        </w:numPr>
        <w:spacing w:after="60"/>
        <w:jc w:val="both"/>
      </w:pPr>
      <w:r>
        <w:rPr>
          <w:rFonts w:ascii="Times New Roman" w:hAnsi="Times New Roman" w:cs="Times New Roman" w:eastAsia="Times New Roman"/>
          <w:b w:val="false"/>
          <w:bCs w:val="false"/>
          <w:i w:val="false"/>
          <w:iCs w:val="false"/>
          <w:smallCaps w:val="false"/>
          <w:sz w:val="20"/>
          <w:szCs w:val="20"/>
        </w:rPr>
        <w:t xml:space="preserve">B2: a router allowlist and a static $5,000 per-trade notional cap.</w:t>
      </w:r>
    </w:p>
    <w:p>
      <w:pPr>
        <w:pStyle w:val="ListParagraph"/>
        <w:numPr>
          <w:ilvl w:val="0"/>
          <w:numId w:val="5"/>
        </w:numPr>
        <w:spacing w:after="60"/>
        <w:jc w:val="both"/>
      </w:pPr>
      <w:r>
        <w:rPr>
          <w:rFonts w:ascii="Times New Roman" w:hAnsi="Times New Roman" w:cs="Times New Roman" w:eastAsia="Times New Roman"/>
          <w:b w:val="false"/>
          <w:bCs w:val="false"/>
          <w:i w:val="false"/>
          <w:iCs w:val="false"/>
          <w:smallCaps w:val="false"/>
          <w:sz w:val="20"/>
          <w:szCs w:val="20"/>
        </w:rPr>
        <w:t xml:space="preserve">B3: SignedAttestationGuard, a signature over the call. In the harness it signs the stateless guest decision; the stolen-key row is the Foundry test in which that key signs anything.</w:t>
      </w:r>
    </w:p>
    <w:p>
      <w:pPr>
        <w:pStyle w:val="ListParagraph"/>
        <w:numPr>
          <w:ilvl w:val="0"/>
          <w:numId w:val="5"/>
        </w:numPr>
        <w:spacing w:after="60"/>
        <w:jc w:val="both"/>
      </w:pPr>
      <w:r>
        <w:rPr>
          <w:rFonts w:ascii="Times New Roman" w:hAnsi="Times New Roman" w:cs="Times New Roman" w:eastAsia="Times New Roman"/>
          <w:b w:val="false"/>
          <w:bCs w:val="false"/>
          <w:i w:val="false"/>
          <w:iCs w:val="false"/>
          <w:smallCaps w:val="false"/>
          <w:sz w:val="20"/>
          <w:szCs w:val="20"/>
        </w:rPr>
        <w:t xml:space="preserve">B4: a stateless proof, zkLeash with the ledger turned off.</w:t>
      </w:r>
    </w:p>
    <w:p>
      <w:pPr>
        <w:pStyle w:val="ListParagraph"/>
        <w:numPr>
          <w:ilvl w:val="0"/>
          <w:numId w:val="5"/>
        </w:numPr>
        <w:spacing w:after="60"/>
        <w:jc w:val="both"/>
      </w:pPr>
      <w:r>
        <w:rPr>
          <w:rFonts w:ascii="Times New Roman" w:hAnsi="Times New Roman" w:cs="Times New Roman" w:eastAsia="Times New Roman"/>
          <w:b w:val="false"/>
          <w:bCs w:val="false"/>
          <w:i w:val="false"/>
          <w:iCs w:val="false"/>
          <w:smallCaps w:val="false"/>
          <w:sz w:val="20"/>
          <w:szCs w:val="20"/>
        </w:rPr>
        <w:t xml:space="preserve">B5: B4 plus a rolling daily notional cap of $8,000. With the 1% slippage limit this implies an execution-loss bound of $80.</w:t>
      </w:r>
    </w:p>
    <w:p>
      <w:pPr>
        <w:pStyle w:val="ListParagraph"/>
        <w:numPr>
          <w:ilvl w:val="0"/>
          <w:numId w:val="5"/>
        </w:numPr>
        <w:spacing w:after="60"/>
        <w:jc w:val="both"/>
      </w:pPr>
      <w:r>
        <w:rPr>
          <w:rFonts w:ascii="Times New Roman" w:hAnsi="Times New Roman" w:cs="Times New Roman" w:eastAsia="Times New Roman"/>
          <w:b w:val="false"/>
          <w:bCs w:val="false"/>
          <w:i w:val="false"/>
          <w:iCs w:val="false"/>
          <w:smallCaps w:val="false"/>
          <w:sz w:val="20"/>
          <w:szCs w:val="20"/>
        </w:rPr>
        <w:t xml:space="preserve">zkLeash: proof plus the execution-loss ledger.</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B1–B5 are decision rules that stand for classes of design. B3 is the signed-attestation contract in this repository, not a reimplementation of PACE, and B5 is not a reimplementation of Proof-Gated Signing’s session budget. Guest decisions come from native execution of the guest crate. The SP1 executor runs reported in Section VII use the calm scenario, not these 250 trials. An attack succeeds when the family’s harm occurs. For the salami drain, harm is cumulative execution loss above the $400 cap, which is zkLeash’s own policy, so the comparison is about which designs enforce that policy. A benign trial is a false block when the system refuses the intended trade. Intervals are exact Clopper–Pearson 95% intervals over distinct trials.</w:t>
      </w:r>
    </w:p>
    <w:p>
      <w:pPr>
        <w:pStyle w:val="Heading2"/>
        <w:numPr>
          <w:ilvl w:val="1"/>
          <w:numId w:val="2"/>
        </w:numPr>
      </w:pPr>
      <w:r>
        <w:rPr>
          <w:rFonts w:ascii="Times New Roman" w:hAnsi="Times New Roman" w:cs="Times New Roman" w:eastAsia="Times New Roman"/>
          <w:i/>
          <w:iCs/>
          <w:sz w:val="20"/>
          <w:szCs w:val="20"/>
        </w:rPr>
        <w:t xml:space="preserve">Results</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Table III gives, for each family, how many of the 25 trials each system blocked. The measured attack-success row uses only the 75 harmful trials the guest or the ledger decided. The 75 structural trials sit above that comparison.</w:t>
      </w:r>
    </w:p>
    <w:p>
      <w:pPr>
        <w:keepNext/>
        <w:spacing w:after="0"/>
        <w:jc w:val="center"/>
      </w:pPr>
      <w:r>
        <w:rPr>
          <w:rFonts w:ascii="Times New Roman" w:hAnsi="Times New Roman" w:cs="Times New Roman" w:eastAsia="Times New Roman"/>
          <w:smallCaps/>
          <w:sz w:val="16"/>
          <w:szCs w:val="16"/>
        </w:rPr>
        <w:t xml:space="preserve">Table III</w:t>
      </w:r>
    </w:p>
    <w:p>
      <w:pPr>
        <w:keepNext/>
        <w:spacing w:after="60"/>
        <w:jc w:val="center"/>
      </w:pPr>
      <w:r>
        <w:rPr>
          <w:rFonts w:ascii="Times New Roman" w:hAnsi="Times New Roman" w:cs="Times New Roman" w:eastAsia="Times New Roman"/>
          <w:smallCaps/>
          <w:sz w:val="16"/>
          <w:szCs w:val="16"/>
        </w:rPr>
        <w:t xml:space="preserve">Trials blocked, out of 25. Measured attack success excludes structural rows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0"/>
        <w:gridCol w:w="500"/>
        <w:gridCol w:w="454"/>
        <w:gridCol w:w="454"/>
        <w:gridCol w:w="454"/>
        <w:gridCol w:w="454"/>
        <w:gridCol w:w="454"/>
        <w:gridCol w:w="454"/>
        <w:gridCol w:w="456"/>
      </w:tblGrid>
      <w:tr>
        <w:trPr>
          <w:cantSplit/>
          <w:tblHeader/>
        </w:trPr>
        <w:tc>
          <w:tcPr>
            <w:tcW w:type="dxa" w:w="1360"/>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sz w:val="14"/>
                <w:szCs w:val="14"/>
              </w:rPr>
              <w:t xml:space="preserve">Family</w:t>
            </w:r>
          </w:p>
        </w:tc>
        <w:tc>
          <w:tcPr>
            <w:tcW w:type="dxa" w:w="500"/>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sz w:val="14"/>
                <w:szCs w:val="14"/>
              </w:rPr>
              <w:t xml:space="preserve">M.</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sz w:val="14"/>
                <w:szCs w:val="14"/>
              </w:rPr>
              <w:t xml:space="preserve">B0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sz w:val="14"/>
                <w:szCs w:val="14"/>
              </w:rPr>
              <w:t xml:space="preserve">B1</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sz w:val="14"/>
                <w:szCs w:val="14"/>
              </w:rPr>
              <w:t xml:space="preserve">B2</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sz w:val="14"/>
                <w:szCs w:val="14"/>
              </w:rPr>
              <w:t xml:space="preserve">B3</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sz w:val="14"/>
                <w:szCs w:val="14"/>
              </w:rPr>
              <w:t xml:space="preserve">B4</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sz w:val="14"/>
                <w:szCs w:val="14"/>
              </w:rPr>
              <w:t xml:space="preserve">B5</w:t>
            </w:r>
          </w:p>
        </w:tc>
        <w:tc>
          <w:tcPr>
            <w:tcW w:type="dxa" w:w="456"/>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sz w:val="14"/>
                <w:szCs w:val="14"/>
              </w:rPr>
              <w:t xml:space="preserve">zk</w:t>
            </w:r>
          </w:p>
        </w:tc>
      </w:tr>
      <w:tr>
        <w:trPr>
          <w:cantSplit/>
        </w:trPr>
        <w:tc>
          <w:tcPr>
            <w:tcW w:type="dxa" w:w="1360"/>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left"/>
            </w:pPr>
            <w:r>
              <w:rPr>
                <w:rFonts w:ascii="Times New Roman" w:hAnsi="Times New Roman" w:cs="Times New Roman" w:eastAsia="Times New Roman"/>
                <w:b w:val="false"/>
                <w:bCs w:val="false"/>
                <w:i w:val="false"/>
                <w:iCs w:val="false"/>
                <w:smallCaps w:val="false"/>
                <w:sz w:val="14"/>
                <w:szCs w:val="14"/>
              </w:rPr>
              <w:t xml:space="preserve">Direct transfer</w:t>
            </w:r>
          </w:p>
        </w:tc>
        <w:tc>
          <w:tcPr>
            <w:tcW w:type="dxa" w:w="500"/>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S</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9</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6"/>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r>
      <w:tr>
        <w:trPr>
          <w:cantSplit/>
        </w:trPr>
        <w:tc>
          <w:tcPr>
            <w:tcW w:type="dxa" w:w="1360"/>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left"/>
            </w:pPr>
            <w:r>
              <w:rPr>
                <w:rFonts w:ascii="Times New Roman" w:hAnsi="Times New Roman" w:cs="Times New Roman" w:eastAsia="Times New Roman"/>
                <w:b w:val="false"/>
                <w:bCs w:val="false"/>
                <w:i w:val="false"/>
                <w:iCs w:val="false"/>
                <w:smallCaps w:val="false"/>
                <w:sz w:val="14"/>
                <w:szCs w:val="14"/>
              </w:rPr>
              <w:t xml:space="preserve">Unlisted router</w:t>
            </w:r>
          </w:p>
        </w:tc>
        <w:tc>
          <w:tcPr>
            <w:tcW w:type="dxa" w:w="500"/>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S</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5</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6"/>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r>
      <w:tr>
        <w:trPr>
          <w:cantSplit/>
        </w:trPr>
        <w:tc>
          <w:tcPr>
            <w:tcW w:type="dxa" w:w="1360"/>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left"/>
            </w:pPr>
            <w:r>
              <w:rPr>
                <w:rFonts w:ascii="Times New Roman" w:hAnsi="Times New Roman" w:cs="Times New Roman" w:eastAsia="Times New Roman"/>
                <w:b w:val="false"/>
                <w:bCs w:val="false"/>
                <w:i w:val="false"/>
                <w:iCs w:val="false"/>
                <w:smallCaps w:val="false"/>
                <w:sz w:val="14"/>
                <w:szCs w:val="14"/>
              </w:rPr>
              <w:t xml:space="preserve">Stolen key</w:t>
            </w:r>
          </w:p>
        </w:tc>
        <w:tc>
          <w:tcPr>
            <w:tcW w:type="dxa" w:w="500"/>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S</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6"/>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r>
      <w:tr>
        <w:trPr>
          <w:cantSplit/>
        </w:trPr>
        <w:tc>
          <w:tcPr>
            <w:tcW w:type="dxa" w:w="1360"/>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left"/>
            </w:pPr>
            <w:r>
              <w:rPr>
                <w:rFonts w:ascii="Times New Roman" w:hAnsi="Times New Roman" w:cs="Times New Roman" w:eastAsia="Times New Roman"/>
                <w:b w:val="false"/>
                <w:bCs w:val="false"/>
                <w:i w:val="false"/>
                <w:iCs w:val="false"/>
                <w:smallCaps w:val="false"/>
                <w:sz w:val="14"/>
                <w:szCs w:val="14"/>
              </w:rPr>
              <w:t xml:space="preserve">All-in buy</w:t>
            </w:r>
          </w:p>
        </w:tc>
        <w:tc>
          <w:tcPr>
            <w:tcW w:type="dxa" w:w="500"/>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G</w:t>
            </w:r>
          </w:p>
        </w:tc>
        <w:tc>
          <w:tcPr>
            <w:tcW w:type="dxa" w:w="454"/>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8</w:t>
            </w:r>
          </w:p>
        </w:tc>
        <w:tc>
          <w:tcPr>
            <w:tcW w:type="dxa" w:w="454"/>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4"/>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4"/>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4"/>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6"/>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r>
      <w:tr>
        <w:trPr>
          <w:cantSplit/>
        </w:trPr>
        <w:tc>
          <w:tcPr>
            <w:tcW w:type="dxa" w:w="1360"/>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left"/>
            </w:pPr>
            <w:r>
              <w:rPr>
                <w:rFonts w:ascii="Times New Roman" w:hAnsi="Times New Roman" w:cs="Times New Roman" w:eastAsia="Times New Roman"/>
                <w:b w:val="false"/>
                <w:bCs w:val="false"/>
                <w:i w:val="false"/>
                <w:iCs w:val="false"/>
                <w:smallCaps w:val="false"/>
                <w:sz w:val="14"/>
                <w:szCs w:val="14"/>
              </w:rPr>
              <w:t xml:space="preserve">Vol. spike buy</w:t>
            </w:r>
          </w:p>
        </w:tc>
        <w:tc>
          <w:tcPr>
            <w:tcW w:type="dxa" w:w="500"/>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G</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6"/>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r>
      <w:tr>
        <w:trPr>
          <w:cantSplit/>
        </w:trPr>
        <w:tc>
          <w:tcPr>
            <w:tcW w:type="dxa" w:w="1360"/>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left"/>
            </w:pPr>
            <w:r>
              <w:rPr>
                <w:rFonts w:ascii="Times New Roman" w:hAnsi="Times New Roman" w:cs="Times New Roman" w:eastAsia="Times New Roman"/>
                <w:b w:val="false"/>
                <w:bCs w:val="false"/>
                <w:i w:val="false"/>
                <w:iCs w:val="false"/>
                <w:smallCaps w:val="false"/>
                <w:sz w:val="14"/>
                <w:szCs w:val="14"/>
              </w:rPr>
              <w:t xml:space="preserve">Salami drain</w:t>
            </w:r>
          </w:p>
        </w:tc>
        <w:tc>
          <w:tcPr>
            <w:tcW w:type="dxa" w:w="500"/>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G+L</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6"/>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r>
      <w:tr>
        <w:trPr>
          <w:cantSplit/>
        </w:trPr>
        <w:tc>
          <w:tcPr>
            <w:tcW w:type="dxa" w:w="1360"/>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left"/>
            </w:pPr>
            <w:r>
              <w:rPr>
                <w:rFonts w:ascii="Times New Roman" w:hAnsi="Times New Roman" w:cs="Times New Roman" w:eastAsia="Times New Roman"/>
                <w:b w:val="false"/>
                <w:bCs w:val="false"/>
                <w:i w:val="false"/>
                <w:iCs w:val="false"/>
                <w:smallCaps w:val="false"/>
                <w:sz w:val="14"/>
                <w:szCs w:val="14"/>
              </w:rPr>
              <w:t xml:space="preserve">Calm rebalance</w:t>
            </w:r>
          </w:p>
        </w:tc>
        <w:tc>
          <w:tcPr>
            <w:tcW w:type="dxa" w:w="500"/>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G</w:t>
            </w:r>
          </w:p>
        </w:tc>
        <w:tc>
          <w:tcPr>
            <w:tcW w:type="dxa" w:w="454"/>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6"/>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r>
      <w:tr>
        <w:trPr>
          <w:cantSplit/>
        </w:trPr>
        <w:tc>
          <w:tcPr>
            <w:tcW w:type="dxa" w:w="1360"/>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left"/>
            </w:pPr>
            <w:r>
              <w:rPr>
                <w:rFonts w:ascii="Times New Roman" w:hAnsi="Times New Roman" w:cs="Times New Roman" w:eastAsia="Times New Roman"/>
                <w:b w:val="false"/>
                <w:bCs w:val="false"/>
                <w:i w:val="false"/>
                <w:iCs w:val="false"/>
                <w:smallCaps w:val="false"/>
                <w:sz w:val="14"/>
                <w:szCs w:val="14"/>
              </w:rPr>
              <w:t xml:space="preserve">Calm buy</w:t>
            </w:r>
          </w:p>
        </w:tc>
        <w:tc>
          <w:tcPr>
            <w:tcW w:type="dxa" w:w="500"/>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G</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6"/>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r>
      <w:tr>
        <w:trPr>
          <w:cantSplit/>
        </w:trPr>
        <w:tc>
          <w:tcPr>
            <w:tcW w:type="dxa" w:w="1360"/>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left"/>
            </w:pPr>
            <w:r>
              <w:rPr>
                <w:rFonts w:ascii="Times New Roman" w:hAnsi="Times New Roman" w:cs="Times New Roman" w:eastAsia="Times New Roman"/>
                <w:b w:val="false"/>
                <w:bCs w:val="false"/>
                <w:i w:val="false"/>
                <w:iCs w:val="false"/>
                <w:smallCaps w:val="false"/>
                <w:sz w:val="14"/>
                <w:szCs w:val="14"/>
              </w:rPr>
              <w:t xml:space="preserve">De-risk sale</w:t>
            </w:r>
          </w:p>
        </w:tc>
        <w:tc>
          <w:tcPr>
            <w:tcW w:type="dxa" w:w="500"/>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G</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17</w:t>
            </w:r>
          </w:p>
        </w:tc>
        <w:tc>
          <w:tcPr>
            <w:tcW w:type="dxa" w:w="456"/>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r>
      <w:tr>
        <w:trPr>
          <w:cantSplit/>
        </w:trPr>
        <w:tc>
          <w:tcPr>
            <w:tcW w:type="dxa" w:w="1360"/>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left"/>
            </w:pPr>
            <w:r>
              <w:rPr>
                <w:rFonts w:ascii="Times New Roman" w:hAnsi="Times New Roman" w:cs="Times New Roman" w:eastAsia="Times New Roman"/>
                <w:b w:val="false"/>
                <w:bCs w:val="false"/>
                <w:i w:val="false"/>
                <w:iCs w:val="false"/>
                <w:smallCaps w:val="false"/>
                <w:sz w:val="14"/>
                <w:szCs w:val="14"/>
              </w:rPr>
              <w:t xml:space="preserve">Fair turnover</w:t>
            </w:r>
          </w:p>
        </w:tc>
        <w:tc>
          <w:tcPr>
            <w:tcW w:type="dxa" w:w="500"/>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G+L</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18</w:t>
            </w:r>
          </w:p>
        </w:tc>
        <w:tc>
          <w:tcPr>
            <w:tcW w:type="dxa" w:w="456"/>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7</w:t>
            </w:r>
          </w:p>
        </w:tc>
      </w:tr>
      <w:tr>
        <w:trPr>
          <w:cantSplit/>
        </w:trPr>
        <w:tc>
          <w:tcPr>
            <w:tcW w:type="dxa" w:w="1860"/>
            <w:gridSpan w:val="2"/>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left"/>
            </w:pPr>
            <w:r>
              <w:rPr>
                <w:rFonts w:ascii="Times New Roman" w:hAnsi="Times New Roman" w:cs="Times New Roman" w:eastAsia="Times New Roman"/>
                <w:b w:val="false"/>
                <w:bCs w:val="false"/>
                <w:i w:val="false"/>
                <w:iCs w:val="false"/>
                <w:smallCaps w:val="false"/>
                <w:sz w:val="14"/>
                <w:szCs w:val="14"/>
              </w:rPr>
              <w:t xml:space="preserve">ASR, of 75</w:t>
            </w:r>
          </w:p>
        </w:tc>
        <w:tc>
          <w:tcPr>
            <w:tcW w:type="dxa" w:w="454"/>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75</w:t>
            </w:r>
          </w:p>
        </w:tc>
        <w:tc>
          <w:tcPr>
            <w:tcW w:type="dxa" w:w="454"/>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67</w:t>
            </w:r>
          </w:p>
        </w:tc>
        <w:tc>
          <w:tcPr>
            <w:tcW w:type="dxa" w:w="454"/>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50</w:t>
            </w:r>
          </w:p>
        </w:tc>
        <w:tc>
          <w:tcPr>
            <w:tcW w:type="dxa" w:w="454"/>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4"/>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4"/>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6"/>
            <w:tcBorders>
              <w:top w:val="single" w:color="000000" w:sz="12"/>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r>
      <w:tr>
        <w:trPr>
          <w:cantSplit/>
        </w:trPr>
        <w:tc>
          <w:tcPr>
            <w:tcW w:type="dxa" w:w="1860"/>
            <w:gridSpan w:val="2"/>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left"/>
            </w:pPr>
            <w:r>
              <w:rPr>
                <w:rFonts w:ascii="Times New Roman" w:hAnsi="Times New Roman" w:cs="Times New Roman" w:eastAsia="Times New Roman"/>
                <w:b w:val="false"/>
                <w:bCs w:val="false"/>
                <w:i w:val="false"/>
                <w:iCs w:val="false"/>
                <w:smallCaps w:val="false"/>
                <w:sz w:val="14"/>
                <w:szCs w:val="14"/>
              </w:rPr>
              <w:t xml:space="preserve">False, of 100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25</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0</w:t>
            </w:r>
          </w:p>
        </w:tc>
        <w:tc>
          <w:tcPr>
            <w:tcW w:type="dxa" w:w="454"/>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35</w:t>
            </w:r>
          </w:p>
        </w:tc>
        <w:tc>
          <w:tcPr>
            <w:tcW w:type="dxa" w:w="456"/>
            <w:tcBorders>
              <w:top w:val="single" w:color="000000" w:sz="4"/>
              <w:left w:val="single" w:color="000000" w:sz="4"/>
              <w:bottom w:val="single" w:color="000000" w:sz="4"/>
              <w:right w:val="single" w:color="000000" w:sz="4"/>
            </w:tcBorders>
            <w:tcMar>
              <w:top w:type="dxa" w:w="20"/>
              <w:left w:type="dxa" w:w="28"/>
              <w:bottom w:type="dxa" w:w="20"/>
              <w:right w:type="dxa" w:w="28"/>
            </w:tcMar>
            <w:vAlign w:val="center"/>
          </w:tcPr>
          <w:p>
            <w:pPr>
              <w:spacing w:after="0"/>
              <w:jc w:val="center"/>
            </w:pPr>
            <w:r>
              <w:rPr>
                <w:rFonts w:ascii="Times New Roman" w:hAnsi="Times New Roman" w:cs="Times New Roman" w:eastAsia="Times New Roman"/>
                <w:b w:val="false"/>
                <w:bCs w:val="false"/>
                <w:i w:val="false"/>
                <w:iCs w:val="false"/>
                <w:smallCaps w:val="false"/>
                <w:sz w:val="14"/>
                <w:szCs w:val="14"/>
              </w:rPr>
              <w:t xml:space="preserve">7</w:t>
            </w:r>
          </w:p>
        </w:tc>
      </w:tr>
    </w:tbl>
    <w:p>
      <w:pPr>
        <w:spacing w:before="40" w:after="120"/>
        <w:jc w:val="both"/>
      </w:pPr>
      <w:r>
        <w:rPr>
          <w:rFonts w:ascii="Times New Roman" w:hAnsi="Times New Roman" w:cs="Times New Roman" w:eastAsia="Times New Roman"/>
          <w:b w:val="false"/>
          <w:bCs w:val="false"/>
          <w:i w:val="false"/>
          <w:iCs w:val="false"/>
          <w:smallCaps w:val="false"/>
          <w:sz w:val="14"/>
          <w:szCs w:val="14"/>
        </w:rPr>
        <w:t xml:space="preserve">Heavy lines separate structural harmful families, measured harmful families, and benign families. M. is the mechanism: S, a fixed harness outcome backed by a Foundry test (only B1 varies with the seed); G, guest; L, ledger or, for B5, the daily notional cap. On every S row, B2 is marked blocked by the unlisted-router flag, including stolen key. Family rows count blocked trials out of 25. The last two rows are numerators; the label gives the denominator. A harmful trial counts in ASR only when the system let the harm through. zk is zkLeash.</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zkLeash admitted none of the 75 measured harmful trials (95% interval [0, 4.8%]) and false-blocked 7 of 100 benign trials (95% interval [2.9%, 13.9%]). B5 also admitted none of the 75, and false-blocked 35 of 100 (95% interval [25.7%, 45.2%]). Recording deny reasons shows which check did the work. All 25 volatility-spike buys were denied by the exposure limit alone; B2 admitted every one, since each was under $5,000 and under the concentration cap. The all-in purchases were denied for concentration in all 25 cases, for the exposure limit in 12, and for the $30,000 notional cap in 3. On the salami drain, B4 lost $827 on average and up to $1,419. zkLeash lost from $319 to $399 (mean $379) and stopped after 8 to 20 legs. The $400 loss cap is the bound. In 3 of the 25 trials the guest stopped at 20 legs with the loss still under that cap, because the window already held 20 trades, so the trade-count cap stopped those 3. The other 22 stopped with fewer than 20 trades, before that check could fire. B5 stopped after 1 to 2 legs and lost $42 on average, at most $63: an $8,000 notional cap and a 1% slippage limit imply an $80 loss bound, which is tighter than $400.</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That tighter bound is paid for on benign days. B5 blocked 17 of 25 de-risking sales, single trades above $8,000 that the risk-reducing exemption allowed through zkLeash, and 18 of 25 fair-turnover days whose clips were each under the $5,000 per-trade cap. B2 blocked all 25 de-risking sales and none of the fair days. The 7 fair days zkLeash refused each stopped at 20 legs, with at most $17 of loss, so the trade-count cap fired and the loss cap did not.</w:t>
      </w:r>
    </w:p>
    <w:p>
      <w:pPr>
        <w:keepNext/>
        <w:spacing w:before="60" w:after="60"/>
        <w:jc w:val="center"/>
      </w:pPr>
      <w:r>
        <w:drawing>
          <wp:inline xmlns:a="http://schemas.openxmlformats.org/drawingml/2006/main" xmlns:pic="http://schemas.openxmlformats.org/drawingml/2006/picture">
            <wp:extent cx="3108960" cy="1687721"/>
            <wp:docPr id="13" name="Fig2" descr="Cumulative execution loss for B4, B5, and zkLeash"/>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108960" cy="1687721"/>
                    </a:xfrm>
                    <a:prstGeom prst="rect"/>
                  </pic:spPr>
                </pic:pic>
              </a:graphicData>
            </a:graphic>
          </wp:inline>
        </w:drawing>
      </w:r>
    </w:p>
    <w:p>
      <w:pPr>
        <w:spacing w:after="120"/>
        <w:jc w:val="both"/>
      </w:pPr>
      <w:r>
        <w:rPr>
          <w:rFonts w:ascii="Times New Roman" w:hAnsi="Times New Roman" w:cs="Times New Roman" w:eastAsia="Times New Roman"/>
          <w:b w:val="false"/>
          <w:bCs w:val="false"/>
          <w:i w:val="false"/>
          <w:iCs w:val="false"/>
          <w:smallCaps w:val="false"/>
          <w:sz w:val="16"/>
          <w:szCs w:val="16"/>
        </w:rPr>
        <w:t xml:space="preserve">Fig. 2. Cumulative execution loss when each leg gives up 1%. Left: $500 legs. B5 stops at the $8,000 notional cap (loss $80). zkLeash stops at 20 legs because of the 20-trade cap (loss $100), before the $400 loss cap. B4 runs all 120 legs. Right: $4,500 legs, so the loss cap binds first. zkLeash stops at $360; B5 stops after 1 leg; B4 reaches $900.</w:t>
      </w:r>
    </w:p>
    <w:p>
      <w:pPr>
        <w:pStyle w:val="Heading2"/>
        <w:numPr>
          <w:ilvl w:val="1"/>
          <w:numId w:val="2"/>
        </w:numPr>
      </w:pPr>
      <w:r>
        <w:rPr>
          <w:rFonts w:ascii="Times New Roman" w:hAnsi="Times New Roman" w:cs="Times New Roman" w:eastAsia="Times New Roman"/>
          <w:i/>
          <w:iCs/>
          <w:sz w:val="20"/>
          <w:szCs w:val="20"/>
        </w:rPr>
        <w:t xml:space="preserve">A Crash Day</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The randomized paths have no jumps, so we replayed one real window through the guest. The series is Binance ETH-USDT hourly closes, 48 bars, from the public kline API. Sigma is per hour, not per minute. The exposure budget is $153, set to 1.5 times this calm window’s own post-trade exposure, so the calm allow is that calibration and the calm buy cannot fail the exposure limit. The replay also relaxes three harness limits: the drawdown cap is 90% rather than 30%, the maximum price age is 48 hours rather than one hour, and USDC is a flat $1. Those three settings are not what denied the crash buy. The book is 5 ETH and 15,000 USDC. A $2,000 ETH buy on the calm window ending 2024-08-01 00:00 UTC (ETH $3,235, hourly σ = 0.0056, V = $102) was allowed. The same buy on the window ending 2024-08-05 12:00 UTC, the low of the August 5, 2024 unwind (ETH from $3,007 to $2,228, -25.9%, σ = 0.0231, V = $303), was denied by the volatility limit and by nothing else. Selling 1 ETH into USDC on that same crash window left V = $206, still above the budget, and was allowed because it reduced exposure. This is one path, not a sample of crash days.</w:t>
      </w:r>
    </w:p>
    <w:p>
      <w:pPr>
        <w:pStyle w:val="Heading2"/>
        <w:numPr>
          <w:ilvl w:val="1"/>
          <w:numId w:val="2"/>
        </w:numPr>
      </w:pPr>
      <w:r>
        <w:rPr>
          <w:rFonts w:ascii="Times New Roman" w:hAnsi="Times New Roman" w:cs="Times New Roman" w:eastAsia="Times New Roman"/>
          <w:i/>
          <w:iCs/>
          <w:sz w:val="20"/>
          <w:szCs w:val="20"/>
        </w:rPr>
        <w:t xml:space="preserve">What the Results Show</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B4 and zkLeash share the proof and the per-trade limits and differ by the ledger, and the ledger is what puts a hard stop on the large-leg drain in Fig. 2. B5 shows the stop is not unique to a loss ledger: a daily notional cap enforces a stricter loss bound and refuses benign turnover the ledger accepts, including de-risking sales. The two are substitutes with a measured cost, not a dominance result. The volatility-spike family, and the August 2024 replay, are where the proved statistic decides and the static cap does not. The proof does one further thing the harness cannot show as a rate: it removes the attestation key that B3 loses in the Foundry stolen-key test.</w:t>
      </w:r>
    </w:p>
    <w:p>
      <w:pPr>
        <w:pStyle w:val="Heading1"/>
        <w:numPr>
          <w:ilvl w:val="0"/>
          <w:numId w:val="2"/>
        </w:numPr>
      </w:pPr>
      <w:r>
        <w:rPr>
          <w:rFonts w:ascii="Times New Roman" w:hAnsi="Times New Roman" w:cs="Times New Roman" w:eastAsia="Times New Roman"/>
          <w:smallCaps/>
          <w:sz w:val="20"/>
          <w:szCs w:val="20"/>
        </w:rPr>
        <w:t xml:space="preserve">Discussion and Limitations</w:t>
      </w:r>
    </w:p>
    <w:p>
      <w:pPr>
        <w:spacing w:before="0" w:after="0"/>
        <w:ind w:firstLine="288"/>
        <w:jc w:val="both"/>
      </w:pPr>
      <w:r>
        <w:rPr>
          <w:rFonts w:ascii="Times New Roman" w:hAnsi="Times New Roman" w:cs="Times New Roman" w:eastAsia="Times New Roman"/>
          <w:b w:val="false"/>
          <w:bCs w:val="false"/>
          <w:i/>
          <w:iCs/>
          <w:smallCaps w:val="false"/>
          <w:sz w:val="20"/>
          <w:szCs w:val="20"/>
        </w:rPr>
        <w:t xml:space="preserve">Scripted attacker.</w:t>
      </w:r>
      <w:r>
        <w:rPr>
          <w:rFonts w:ascii="Times New Roman" w:hAnsi="Times New Roman" w:cs="Times New Roman" w:eastAsia="Times New Roman"/>
          <w:b w:val="false"/>
          <w:bCs w:val="false"/>
          <w:i w:val="false"/>
          <w:iCs w:val="false"/>
          <w:smallCaps w:val="false"/>
          <w:sz w:val="20"/>
          <w:szCs w:val="20"/>
        </w:rPr>
        <w:t xml:space="preserve"> The attack families, and the held-out cases in our release, were written by the authors. Zero measured successes in 75 trials is evidence that the mechanisms work as designed, not that no attack exists. An adaptive adversary, or an attack set written by someone who has not read the executor, may do better. The 75 structural rows are fixed harness outcomes, and B2’s blocks on those rows are the unlisted-router flag.</w:t>
      </w:r>
    </w:p>
    <w:p>
      <w:pPr>
        <w:spacing w:before="0" w:after="0"/>
        <w:ind w:firstLine="288"/>
        <w:jc w:val="both"/>
      </w:pPr>
      <w:r>
        <w:rPr>
          <w:rFonts w:ascii="Times New Roman" w:hAnsi="Times New Roman" w:cs="Times New Roman" w:eastAsia="Times New Roman"/>
          <w:b w:val="false"/>
          <w:bCs w:val="false"/>
          <w:i/>
          <w:iCs/>
          <w:smallCaps w:val="false"/>
          <w:sz w:val="20"/>
          <w:szCs w:val="20"/>
        </w:rPr>
        <w:t xml:space="preserve">No real proof.</w:t>
      </w:r>
      <w:r>
        <w:rPr>
          <w:rFonts w:ascii="Times New Roman" w:hAnsi="Times New Roman" w:cs="Times New Roman" w:eastAsia="Times New Roman"/>
          <w:b w:val="false"/>
          <w:bCs w:val="false"/>
          <w:i w:val="false"/>
          <w:iCs w:val="false"/>
          <w:smallCaps w:val="false"/>
          <w:sz w:val="20"/>
          <w:szCs w:val="20"/>
        </w:rPr>
        <w:t xml:space="preserve"> No Groth16 proof was generated. The harness decisions are native runs of the guest crate. We also ran that crate in the SP1 executor on the calm scenario above, which gives cycle counts but not proving time, and we cite rather than measure verification gas. The tests use a stand-in verifier.</w:t>
      </w:r>
    </w:p>
    <w:p>
      <w:pPr>
        <w:spacing w:before="0" w:after="0"/>
        <w:ind w:firstLine="288"/>
        <w:jc w:val="both"/>
      </w:pPr>
      <w:r>
        <w:rPr>
          <w:rFonts w:ascii="Times New Roman" w:hAnsi="Times New Roman" w:cs="Times New Roman" w:eastAsia="Times New Roman"/>
          <w:b w:val="false"/>
          <w:bCs w:val="false"/>
          <w:i/>
          <w:iCs/>
          <w:smallCaps w:val="false"/>
          <w:sz w:val="20"/>
          <w:szCs w:val="20"/>
        </w:rPr>
        <w:t xml:space="preserve">No live model.</w:t>
      </w:r>
      <w:r>
        <w:rPr>
          <w:rFonts w:ascii="Times New Roman" w:hAnsi="Times New Roman" w:cs="Times New Roman" w:eastAsia="Times New Roman"/>
          <w:b w:val="false"/>
          <w:bCs w:val="false"/>
          <w:i w:val="false"/>
          <w:iCs w:val="false"/>
          <w:smallCaps w:val="false"/>
          <w:sz w:val="20"/>
          <w:szCs w:val="20"/>
        </w:rPr>
        <w:t xml:space="preserve"> bench/model_panel.py records the tool a local Ollama model proposes on five fixed prompts. No model server was running for this draft, so we do not report a proposal panel. A live model can propose trades the policy then blocks; that panel would not replace Table III.</w:t>
      </w:r>
    </w:p>
    <w:p>
      <w:pPr>
        <w:spacing w:before="0" w:after="0"/>
        <w:ind w:firstLine="288"/>
        <w:jc w:val="both"/>
      </w:pPr>
      <w:r>
        <w:rPr>
          <w:rFonts w:ascii="Times New Roman" w:hAnsi="Times New Roman" w:cs="Times New Roman" w:eastAsia="Times New Roman"/>
          <w:b w:val="false"/>
          <w:bCs w:val="false"/>
          <w:i/>
          <w:iCs/>
          <w:smallCaps w:val="false"/>
          <w:sz w:val="20"/>
          <w:szCs w:val="20"/>
        </w:rPr>
        <w:t xml:space="preserve">Synthetic markets.</w:t>
      </w:r>
      <w:r>
        <w:rPr>
          <w:rFonts w:ascii="Times New Roman" w:hAnsi="Times New Roman" w:cs="Times New Roman" w:eastAsia="Times New Roman"/>
          <w:b w:val="false"/>
          <w:bCs w:val="false"/>
          <w:i w:val="false"/>
          <w:iCs w:val="false"/>
          <w:smallCaps w:val="false"/>
          <w:sz w:val="20"/>
          <w:szCs w:val="20"/>
        </w:rPr>
        <w:t xml:space="preserve"> The harness paths are geometric random walks with one volatility per trial. The August 2024 replay is a single hourly window with a budget set from its own calm counterpart. It shows the exposure limit can fire on a real jump. It does not estimate a false-block rate on historical data.</w:t>
      </w:r>
    </w:p>
    <w:p>
      <w:pPr>
        <w:spacing w:before="0" w:after="0"/>
        <w:ind w:firstLine="288"/>
        <w:jc w:val="both"/>
      </w:pPr>
      <w:r>
        <w:rPr>
          <w:rFonts w:ascii="Times New Roman" w:hAnsi="Times New Roman" w:cs="Times New Roman" w:eastAsia="Times New Roman"/>
          <w:b w:val="false"/>
          <w:bCs w:val="false"/>
          <w:i/>
          <w:iCs/>
          <w:smallCaps w:val="false"/>
          <w:sz w:val="20"/>
          <w:szCs w:val="20"/>
        </w:rPr>
        <w:t xml:space="preserve">State drift.</w:t>
      </w:r>
      <w:r>
        <w:rPr>
          <w:rFonts w:ascii="Times New Roman" w:hAnsi="Times New Roman" w:cs="Times New Roman" w:eastAsia="Times New Roman"/>
          <w:b w:val="false"/>
          <w:bCs w:val="false"/>
          <w:i w:val="false"/>
          <w:iCs w:val="false"/>
          <w:smallCaps w:val="false"/>
          <w:sz w:val="20"/>
          <w:szCs w:val="20"/>
        </w:rPr>
        <w:t xml:space="preserve"> We use a 0.5% live-price band and a minimum output instead of simulating the transaction. Proof-Gated Signing handles drift more robustly [5].</w:t>
      </w:r>
    </w:p>
    <w:p>
      <w:pPr>
        <w:spacing w:before="0" w:after="0"/>
        <w:ind w:firstLine="288"/>
        <w:jc w:val="both"/>
      </w:pPr>
      <w:r>
        <w:rPr>
          <w:rFonts w:ascii="Times New Roman" w:hAnsi="Times New Roman" w:cs="Times New Roman" w:eastAsia="Times New Roman"/>
          <w:b w:val="false"/>
          <w:bCs w:val="false"/>
          <w:i/>
          <w:iCs/>
          <w:smallCaps w:val="false"/>
          <w:sz w:val="20"/>
          <w:szCs w:val="20"/>
        </w:rPr>
        <w:t xml:space="preserve">Price-log liveness.</w:t>
      </w:r>
      <w:r>
        <w:rPr>
          <w:rFonts w:ascii="Times New Roman" w:hAnsi="Times New Roman" w:cs="Times New Roman" w:eastAsia="Times New Roman"/>
          <w:b w:val="false"/>
          <w:bCs w:val="false"/>
          <w:i w:val="false"/>
          <w:iCs w:val="false"/>
          <w:smallCaps w:val="false"/>
          <w:sz w:val="20"/>
          <w:szCs w:val="20"/>
        </w:rPr>
        <w:t xml:space="preserve"> Appending a price invalidates outstanding proofs, so anyone willing to pay about 96k gas per append can delay trades. Accepting any recent head, or indexing a sliding window, would trade a little freshness for liveness. Prices are posted by a single script; liveness depends on it, safety does not.</w:t>
      </w:r>
    </w:p>
    <w:p>
      <w:pPr>
        <w:spacing w:before="0" w:after="0"/>
        <w:ind w:firstLine="288"/>
        <w:jc w:val="both"/>
      </w:pPr>
      <w:r>
        <w:rPr>
          <w:rFonts w:ascii="Times New Roman" w:hAnsi="Times New Roman" w:cs="Times New Roman" w:eastAsia="Times New Roman"/>
          <w:b w:val="false"/>
          <w:bCs w:val="false"/>
          <w:i/>
          <w:iCs/>
          <w:smallCaps w:val="false"/>
          <w:sz w:val="20"/>
          <w:szCs w:val="20"/>
        </w:rPr>
        <w:t xml:space="preserve">Design limits.</w:t>
      </w:r>
      <w:r>
        <w:rPr>
          <w:rFonts w:ascii="Times New Roman" w:hAnsi="Times New Roman" w:cs="Times New Roman" w:eastAsia="Times New Roman"/>
          <w:b w:val="false"/>
          <w:bCs w:val="false"/>
          <w:i w:val="false"/>
          <w:iCs w:val="false"/>
          <w:smallCaps w:val="false"/>
          <w:sz w:val="20"/>
          <w:szCs w:val="20"/>
        </w:rPr>
        <w:t xml:space="preserve"> The proof covers the whole price log rather than a sliding window, so proving cost grows with the log. Volatility is per asset without covariance. The account is a teaching implementation, and nothing beyond a local chain is deployed. We did not measure economic performance such as the Sharpe ratio.</w:t>
      </w:r>
    </w:p>
    <w:p>
      <w:pPr>
        <w:pStyle w:val="Heading1"/>
        <w:numPr>
          <w:ilvl w:val="0"/>
          <w:numId w:val="2"/>
        </w:numPr>
      </w:pPr>
      <w:r>
        <w:rPr>
          <w:rFonts w:ascii="Times New Roman" w:hAnsi="Times New Roman" w:cs="Times New Roman" w:eastAsia="Times New Roman"/>
          <w:smallCaps/>
          <w:sz w:val="20"/>
          <w:szCs w:val="20"/>
        </w:rPr>
        <w:t xml:space="preserve">Conclusion and Future Work</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zkLeash places a deterministic, proof-backed risk function and an execution-loss ledger between an untrusted LLM agent and a smart account. On the measured trials, the ledger bounds multi-trade drains that a stateless proof admits, and a daily notional cap bounds them at a lower loss while refusing benign turnover the ledger accepts. The proved volatility statistic stops buys during volatility spikes that a static cap admits, including a buy on the August 5, 2024 ETH unwind, and the proof removes the trusted signing key. Evaluating that statistic on-chain from stored prices costs more than the published cost of verifying a proof beyond about 82 prices per asset. The evidence is limited by a scripted attacker, mostly synthetic prices, a 20-trade cap that itself false-blocks busy benign days, unproved execution, and the lack of a live model. Future work includes one Groth16 confirmation on a testnet, the local-model proposal panel, an attack set written without reading the executor, a sliding-window price index, and replacing the trade-count cap with the loss bound alone where the two disagree.</w:t>
      </w:r>
    </w:p>
    <w:p>
      <w:pPr>
        <w:pStyle w:val="Heading1"/>
      </w:pPr>
      <w:r>
        <w:rPr>
          <w:rFonts w:ascii="Times New Roman" w:hAnsi="Times New Roman" w:cs="Times New Roman" w:eastAsia="Times New Roman"/>
          <w:smallCaps/>
          <w:sz w:val="20"/>
          <w:szCs w:val="20"/>
        </w:rPr>
        <w:t xml:space="preserve">Acknowledgment</w:t>
      </w:r>
    </w:p>
    <w:p>
      <w:pPr>
        <w:spacing w:before="0" w:after="0"/>
        <w:ind w:firstLine="288"/>
        <w:jc w:val="both"/>
      </w:pPr>
      <w:r>
        <w:rPr>
          <w:rFonts w:ascii="Times New Roman" w:hAnsi="Times New Roman" w:cs="Times New Roman" w:eastAsia="Times New Roman"/>
          <w:b w:val="false"/>
          <w:bCs w:val="false"/>
          <w:i w:val="false"/>
          <w:iCs w:val="false"/>
          <w:smallCaps w:val="false"/>
          <w:sz w:val="20"/>
          <w:szCs w:val="20"/>
        </w:rPr>
        <w:t xml:space="preserve">The authors thank </w:t>
      </w:r>
      <w:r>
        <w:rPr>
          <w:rFonts w:ascii="Times New Roman" w:hAnsi="Times New Roman" w:cs="Times New Roman" w:eastAsia="Times New Roman"/>
          <w:b w:val="false"/>
          <w:bCs w:val="false"/>
          <w:i w:val="false"/>
          <w:iCs w:val="false"/>
          <w:smallCaps w:val="false"/>
          <w:sz w:val="20"/>
          <w:szCs w:val="20"/>
          <w:shd w:val="clear" w:color="auto" w:fill="FFFF00"/>
        </w:rPr>
        <w:t xml:space="preserve">TODO: guide’s name</w:t>
      </w:r>
      <w:r>
        <w:rPr>
          <w:rFonts w:ascii="Times New Roman" w:hAnsi="Times New Roman" w:cs="Times New Roman" w:eastAsia="Times New Roman"/>
          <w:b w:val="false"/>
          <w:bCs w:val="false"/>
          <w:i w:val="false"/>
          <w:iCs w:val="false"/>
          <w:smallCaps w:val="false"/>
          <w:sz w:val="20"/>
          <w:szCs w:val="20"/>
        </w:rPr>
        <w:t xml:space="preserve">, Department of Computer Engineering, Pimpri Chinchwad College of Engineering and Research, for guidance. </w:t>
      </w:r>
      <w:r>
        <w:rPr>
          <w:rFonts w:ascii="Times New Roman" w:hAnsi="Times New Roman" w:cs="Times New Roman" w:eastAsia="Times New Roman"/>
          <w:b w:val="false"/>
          <w:bCs w:val="false"/>
          <w:i w:val="false"/>
          <w:iCs w:val="false"/>
          <w:smallCaps w:val="false"/>
          <w:sz w:val="20"/>
          <w:szCs w:val="20"/>
          <w:shd w:val="clear" w:color="auto" w:fill="FFFF00"/>
        </w:rPr>
        <w:t xml:space="preserve">An AI assistant was used to help draft and revise parts of the text and the evaluation code; the authors reviewed all content and take full responsibility for it. TODO: confirm or edit this disclosure.</w:t>
      </w:r>
    </w:p>
    <w:p>
      <w:pPr>
        <w:pStyle w:val="Heading1"/>
      </w:pPr>
      <w:r>
        <w:rPr>
          <w:rFonts w:ascii="Times New Roman" w:hAnsi="Times New Roman" w:cs="Times New Roman" w:eastAsia="Times New Roman"/>
          <w:smallCaps/>
          <w:sz w:val="20"/>
          <w:szCs w:val="20"/>
        </w:rPr>
        <w:t xml:space="preserve">References</w:t>
      </w:r>
    </w:p>
    <w:p>
      <w:pPr>
        <w:pStyle w:val="ListParagraph"/>
        <w:numPr>
          <w:ilvl w:val="0"/>
          <w:numId w:val="6"/>
        </w:numPr>
        <w:spacing w:after="20"/>
        <w:jc w:val="both"/>
      </w:pPr>
      <w:r>
        <w:rPr>
          <w:rFonts w:ascii="Times New Roman" w:hAnsi="Times New Roman" w:cs="Times New Roman" w:eastAsia="Times New Roman"/>
          <w:b w:val="false"/>
          <w:bCs w:val="false"/>
          <w:i w:val="false"/>
          <w:iCs w:val="false"/>
          <w:smallCaps w:val="false"/>
          <w:sz w:val="16"/>
          <w:szCs w:val="16"/>
        </w:rPr>
        <w:t xml:space="preserve">F. Perez and I. Ribeiro, “Ignore previous prompt: Attack techniques for language models,” arXiv:2211.09527, 2022.</w:t>
      </w:r>
    </w:p>
    <w:p>
      <w:pPr>
        <w:pStyle w:val="ListParagraph"/>
        <w:numPr>
          <w:ilvl w:val="0"/>
          <w:numId w:val="6"/>
        </w:numPr>
        <w:spacing w:after="20"/>
        <w:jc w:val="both"/>
      </w:pPr>
      <w:r>
        <w:rPr>
          <w:rFonts w:ascii="Times New Roman" w:hAnsi="Times New Roman" w:cs="Times New Roman" w:eastAsia="Times New Roman"/>
          <w:b w:val="false"/>
          <w:bCs w:val="false"/>
          <w:i w:val="false"/>
          <w:iCs w:val="false"/>
          <w:smallCaps w:val="false"/>
          <w:sz w:val="16"/>
          <w:szCs w:val="16"/>
        </w:rPr>
        <w:t xml:space="preserve">K. Greshake, S. Abdelnabi, S. Mishra, C. Endres, T. Holz, and M. Fritz, “Not what you’ve signed up for: Compromising real-world LLM-integrated applications with indirect prompt injection,” in </w:t>
      </w:r>
      <w:r>
        <w:rPr>
          <w:rFonts w:ascii="Times New Roman" w:hAnsi="Times New Roman" w:cs="Times New Roman" w:eastAsia="Times New Roman"/>
          <w:b w:val="false"/>
          <w:bCs w:val="false"/>
          <w:i/>
          <w:iCs/>
          <w:smallCaps w:val="false"/>
          <w:sz w:val="16"/>
          <w:szCs w:val="16"/>
        </w:rPr>
        <w:t xml:space="preserve">Proc. 16th ACM Workshop Artif. Intell. Secur. (AISec)</w:t>
      </w:r>
      <w:r>
        <w:rPr>
          <w:rFonts w:ascii="Times New Roman" w:hAnsi="Times New Roman" w:cs="Times New Roman" w:eastAsia="Times New Roman"/>
          <w:b w:val="false"/>
          <w:bCs w:val="false"/>
          <w:i w:val="false"/>
          <w:iCs w:val="false"/>
          <w:smallCaps w:val="false"/>
          <w:sz w:val="16"/>
          <w:szCs w:val="16"/>
        </w:rPr>
        <w:t xml:space="preserve">, 2023, pp. 79–90.</w:t>
      </w:r>
    </w:p>
    <w:p>
      <w:pPr>
        <w:pStyle w:val="ListParagraph"/>
        <w:numPr>
          <w:ilvl w:val="0"/>
          <w:numId w:val="6"/>
        </w:numPr>
        <w:spacing w:after="20"/>
        <w:jc w:val="both"/>
      </w:pPr>
      <w:r>
        <w:rPr>
          <w:rFonts w:ascii="Times New Roman" w:hAnsi="Times New Roman" w:cs="Times New Roman" w:eastAsia="Times New Roman"/>
          <w:b w:val="false"/>
          <w:bCs w:val="false"/>
          <w:i w:val="false"/>
          <w:iCs w:val="false"/>
          <w:smallCaps w:val="false"/>
          <w:sz w:val="16"/>
          <w:szCs w:val="16"/>
        </w:rPr>
        <w:t xml:space="preserve">A. S. Patlan, P. Sheng, S. A. Hebbar, P. Mittal, and P. Viswanath, “Real AI agents with fake memories: Fatal context manipulation attacks on Web3 agents,” arXiv:2503.16248, 2025.</w:t>
      </w:r>
    </w:p>
    <w:p>
      <w:pPr>
        <w:pStyle w:val="ListParagraph"/>
        <w:numPr>
          <w:ilvl w:val="0"/>
          <w:numId w:val="6"/>
        </w:numPr>
        <w:spacing w:after="20"/>
        <w:jc w:val="both"/>
      </w:pPr>
      <w:r>
        <w:rPr>
          <w:rFonts w:ascii="Times New Roman" w:hAnsi="Times New Roman" w:cs="Times New Roman" w:eastAsia="Times New Roman"/>
          <w:b w:val="false"/>
          <w:bCs w:val="false"/>
          <w:i w:val="false"/>
          <w:iCs w:val="false"/>
          <w:smallCaps w:val="false"/>
          <w:sz w:val="16"/>
          <w:szCs w:val="16"/>
        </w:rPr>
        <w:t xml:space="preserve">R. Karanjai </w:t>
      </w:r>
      <w:r>
        <w:rPr>
          <w:rFonts w:ascii="Times New Roman" w:hAnsi="Times New Roman" w:cs="Times New Roman" w:eastAsia="Times New Roman"/>
          <w:b w:val="false"/>
          <w:bCs w:val="false"/>
          <w:i/>
          <w:iCs/>
          <w:smallCaps w:val="false"/>
          <w:sz w:val="16"/>
          <w:szCs w:val="16"/>
        </w:rPr>
        <w:t xml:space="preserve">et al.</w:t>
      </w:r>
      <w:r>
        <w:rPr>
          <w:rFonts w:ascii="Times New Roman" w:hAnsi="Times New Roman" w:cs="Times New Roman" w:eastAsia="Times New Roman"/>
          <w:b w:val="false"/>
          <w:bCs w:val="false"/>
          <w:i w:val="false"/>
          <w:iCs w:val="false"/>
          <w:smallCaps w:val="false"/>
          <w:sz w:val="16"/>
          <w:szCs w:val="16"/>
        </w:rPr>
        <w:t xml:space="preserve">, “PACE: Policy-attested contract execution for safe AI agents in decentralized finance,” arXiv:2608.17220, Aug. 2026.</w:t>
      </w:r>
    </w:p>
    <w:p>
      <w:pPr>
        <w:pStyle w:val="ListParagraph"/>
        <w:numPr>
          <w:ilvl w:val="0"/>
          <w:numId w:val="6"/>
        </w:numPr>
        <w:spacing w:after="20"/>
        <w:jc w:val="both"/>
      </w:pPr>
      <w:r>
        <w:rPr>
          <w:rFonts w:ascii="Times New Roman" w:hAnsi="Times New Roman" w:cs="Times New Roman" w:eastAsia="Times New Roman"/>
          <w:b w:val="false"/>
          <w:bCs w:val="false"/>
          <w:i w:val="false"/>
          <w:iCs w:val="false"/>
          <w:smallCaps w:val="false"/>
          <w:sz w:val="16"/>
          <w:szCs w:val="16"/>
        </w:rPr>
        <w:t xml:space="preserve">B. Ghosh, “Proof-gated signing: Solver-checked transaction guards that hold under state drift for onchain AI agents,” arXiv:2610.00354, Sep. 30, 2026.</w:t>
      </w:r>
    </w:p>
    <w:p>
      <w:pPr>
        <w:pStyle w:val="ListParagraph"/>
        <w:numPr>
          <w:ilvl w:val="0"/>
          <w:numId w:val="6"/>
        </w:numPr>
        <w:spacing w:after="20"/>
        <w:jc w:val="both"/>
      </w:pPr>
      <w:r>
        <w:rPr>
          <w:rFonts w:ascii="Times New Roman" w:hAnsi="Times New Roman" w:cs="Times New Roman" w:eastAsia="Times New Roman"/>
          <w:b w:val="false"/>
          <w:bCs w:val="false"/>
          <w:i w:val="false"/>
          <w:iCs w:val="false"/>
          <w:smallCaps w:val="false"/>
          <w:sz w:val="16"/>
          <w:szCs w:val="16"/>
        </w:rPr>
        <w:t xml:space="preserve">Q. Zhan, Z. Liang, Z. Ying, and D. Kang, “InjecAgent: Benchmarking indirect prompt injections in tool-integrated large language model agents,” in </w:t>
      </w:r>
      <w:r>
        <w:rPr>
          <w:rFonts w:ascii="Times New Roman" w:hAnsi="Times New Roman" w:cs="Times New Roman" w:eastAsia="Times New Roman"/>
          <w:b w:val="false"/>
          <w:bCs w:val="false"/>
          <w:i/>
          <w:iCs/>
          <w:smallCaps w:val="false"/>
          <w:sz w:val="16"/>
          <w:szCs w:val="16"/>
        </w:rPr>
        <w:t xml:space="preserve">Findings Assoc. Comput. Linguistics: ACL 2024</w:t>
      </w:r>
      <w:r>
        <w:rPr>
          <w:rFonts w:ascii="Times New Roman" w:hAnsi="Times New Roman" w:cs="Times New Roman" w:eastAsia="Times New Roman"/>
          <w:b w:val="false"/>
          <w:bCs w:val="false"/>
          <w:i w:val="false"/>
          <w:iCs w:val="false"/>
          <w:smallCaps w:val="false"/>
          <w:sz w:val="16"/>
          <w:szCs w:val="16"/>
        </w:rPr>
        <w:t xml:space="preserve">, 2024. arXiv:2403.02691.</w:t>
      </w:r>
    </w:p>
    <w:p>
      <w:pPr>
        <w:pStyle w:val="ListParagraph"/>
        <w:numPr>
          <w:ilvl w:val="0"/>
          <w:numId w:val="6"/>
        </w:numPr>
        <w:spacing w:after="20"/>
        <w:jc w:val="both"/>
      </w:pPr>
      <w:r>
        <w:rPr>
          <w:rFonts w:ascii="Times New Roman" w:hAnsi="Times New Roman" w:cs="Times New Roman" w:eastAsia="Times New Roman"/>
          <w:b w:val="false"/>
          <w:bCs w:val="false"/>
          <w:i w:val="false"/>
          <w:iCs w:val="false"/>
          <w:smallCaps w:val="false"/>
          <w:sz w:val="16"/>
          <w:szCs w:val="16"/>
        </w:rPr>
        <w:t xml:space="preserve">E. Debenedetti, J. Zhang, M. Balunović, L. Beurer-Kellner, M. Fischer, and F. Tramèr, “AgentDojo: A dynamic environment to evaluate prompt injection attacks and defenses for LLM agents,” in </w:t>
      </w:r>
      <w:r>
        <w:rPr>
          <w:rFonts w:ascii="Times New Roman" w:hAnsi="Times New Roman" w:cs="Times New Roman" w:eastAsia="Times New Roman"/>
          <w:b w:val="false"/>
          <w:bCs w:val="false"/>
          <w:i/>
          <w:iCs/>
          <w:smallCaps w:val="false"/>
          <w:sz w:val="16"/>
          <w:szCs w:val="16"/>
        </w:rPr>
        <w:t xml:space="preserve">Proc. NeurIPS Datasets Benchmarks Track</w:t>
      </w:r>
      <w:r>
        <w:rPr>
          <w:rFonts w:ascii="Times New Roman" w:hAnsi="Times New Roman" w:cs="Times New Roman" w:eastAsia="Times New Roman"/>
          <w:b w:val="false"/>
          <w:bCs w:val="false"/>
          <w:i w:val="false"/>
          <w:iCs w:val="false"/>
          <w:smallCaps w:val="false"/>
          <w:sz w:val="16"/>
          <w:szCs w:val="16"/>
        </w:rPr>
        <w:t xml:space="preserve">, 2024. arXiv:2406.13352.</w:t>
      </w:r>
    </w:p>
    <w:p>
      <w:pPr>
        <w:pStyle w:val="ListParagraph"/>
        <w:numPr>
          <w:ilvl w:val="0"/>
          <w:numId w:val="6"/>
        </w:numPr>
        <w:spacing w:after="20"/>
        <w:jc w:val="both"/>
      </w:pPr>
      <w:r>
        <w:rPr>
          <w:rFonts w:ascii="Times New Roman" w:hAnsi="Times New Roman" w:cs="Times New Roman" w:eastAsia="Times New Roman"/>
          <w:b w:val="false"/>
          <w:bCs w:val="false"/>
          <w:i w:val="false"/>
          <w:iCs w:val="false"/>
          <w:smallCaps w:val="false"/>
          <w:sz w:val="16"/>
          <w:szCs w:val="16"/>
        </w:rPr>
        <w:t xml:space="preserve">E. Debenedetti </w:t>
      </w:r>
      <w:r>
        <w:rPr>
          <w:rFonts w:ascii="Times New Roman" w:hAnsi="Times New Roman" w:cs="Times New Roman" w:eastAsia="Times New Roman"/>
          <w:b w:val="false"/>
          <w:bCs w:val="false"/>
          <w:i/>
          <w:iCs/>
          <w:smallCaps w:val="false"/>
          <w:sz w:val="16"/>
          <w:szCs w:val="16"/>
        </w:rPr>
        <w:t xml:space="preserve">et al.</w:t>
      </w:r>
      <w:r>
        <w:rPr>
          <w:rFonts w:ascii="Times New Roman" w:hAnsi="Times New Roman" w:cs="Times New Roman" w:eastAsia="Times New Roman"/>
          <w:b w:val="false"/>
          <w:bCs w:val="false"/>
          <w:i w:val="false"/>
          <w:iCs w:val="false"/>
          <w:smallCaps w:val="false"/>
          <w:sz w:val="16"/>
          <w:szCs w:val="16"/>
        </w:rPr>
        <w:t xml:space="preserve">, “Defeating prompt injections by design,” arXiv:2503.18813, 2025.</w:t>
      </w:r>
    </w:p>
    <w:p>
      <w:pPr>
        <w:pStyle w:val="ListParagraph"/>
        <w:numPr>
          <w:ilvl w:val="0"/>
          <w:numId w:val="6"/>
        </w:numPr>
        <w:spacing w:after="20"/>
        <w:jc w:val="both"/>
      </w:pPr>
      <w:r>
        <w:rPr>
          <w:rFonts w:ascii="Times New Roman" w:hAnsi="Times New Roman" w:cs="Times New Roman" w:eastAsia="Times New Roman"/>
          <w:b w:val="false"/>
          <w:bCs w:val="false"/>
          <w:i w:val="false"/>
          <w:iCs w:val="false"/>
          <w:smallCaps w:val="false"/>
          <w:sz w:val="16"/>
          <w:szCs w:val="16"/>
        </w:rPr>
        <w:t xml:space="preserve">A. Katkar, O. Karkele, K. Mandhane, M. More, and Y. Kashid, “NiyamAI—An intent-bound AI agent with cryptographically verifiable guardrails using zero-knowledge proofs,” arXiv:2608.07167, Aug. 2026.</w:t>
      </w:r>
    </w:p>
    <w:p>
      <w:pPr>
        <w:pStyle w:val="ListParagraph"/>
        <w:numPr>
          <w:ilvl w:val="0"/>
          <w:numId w:val="6"/>
        </w:numPr>
        <w:spacing w:after="20"/>
        <w:jc w:val="both"/>
      </w:pPr>
      <w:r>
        <w:rPr>
          <w:rFonts w:ascii="Times New Roman" w:hAnsi="Times New Roman" w:cs="Times New Roman" w:eastAsia="Times New Roman"/>
          <w:b w:val="false"/>
          <w:bCs w:val="false"/>
          <w:i w:val="false"/>
          <w:iCs w:val="false"/>
          <w:smallCaps w:val="false"/>
          <w:sz w:val="16"/>
          <w:szCs w:val="16"/>
        </w:rPr>
        <w:t xml:space="preserve">M. Z. Fatonie, F. Firdani, and M. A. Muhammad, “ERC-8354: Confidential agent policy verdicts,” Ethereum Improvement Proposals, no. 8354, Jul. 2026. [Online]. Available: https://eips.ethereum.org/EIPS/eip-8354</w:t>
      </w:r>
    </w:p>
    <w:p>
      <w:pPr>
        <w:pStyle w:val="ListParagraph"/>
        <w:numPr>
          <w:ilvl w:val="0"/>
          <w:numId w:val="6"/>
        </w:numPr>
        <w:spacing w:after="20"/>
        <w:jc w:val="both"/>
      </w:pPr>
      <w:r>
        <w:rPr>
          <w:rFonts w:ascii="Times New Roman" w:hAnsi="Times New Roman" w:cs="Times New Roman" w:eastAsia="Times New Roman"/>
          <w:b w:val="false"/>
          <w:bCs w:val="false"/>
          <w:i w:val="false"/>
          <w:iCs w:val="false"/>
          <w:smallCaps w:val="false"/>
          <w:sz w:val="16"/>
          <w:szCs w:val="16"/>
        </w:rPr>
        <w:t xml:space="preserve">L. Isailovic </w:t>
      </w:r>
      <w:r>
        <w:rPr>
          <w:rFonts w:ascii="Times New Roman" w:hAnsi="Times New Roman" w:cs="Times New Roman" w:eastAsia="Times New Roman"/>
          <w:b w:val="false"/>
          <w:bCs w:val="false"/>
          <w:i/>
          <w:iCs/>
          <w:smallCaps w:val="false"/>
          <w:sz w:val="16"/>
          <w:szCs w:val="16"/>
        </w:rPr>
        <w:t xml:space="preserve">et al.</w:t>
      </w:r>
      <w:r>
        <w:rPr>
          <w:rFonts w:ascii="Times New Roman" w:hAnsi="Times New Roman" w:cs="Times New Roman" w:eastAsia="Times New Roman"/>
          <w:b w:val="false"/>
          <w:bCs w:val="false"/>
          <w:i w:val="false"/>
          <w:iCs w:val="false"/>
          <w:smallCaps w:val="false"/>
          <w:sz w:val="16"/>
          <w:szCs w:val="16"/>
        </w:rPr>
        <w:t xml:space="preserve">, “ERC-7715: Request permissions from wallets,” Ethereum Improvement Proposals, no. 7715, May 2024. [Online]. Available: https://eips.ethereum.org/EIPS/eip-7715</w:t>
      </w:r>
    </w:p>
    <w:p>
      <w:pPr>
        <w:pStyle w:val="ListParagraph"/>
        <w:numPr>
          <w:ilvl w:val="0"/>
          <w:numId w:val="6"/>
        </w:numPr>
        <w:spacing w:after="20"/>
        <w:jc w:val="both"/>
      </w:pPr>
      <w:r>
        <w:rPr>
          <w:rFonts w:ascii="Times New Roman" w:hAnsi="Times New Roman" w:cs="Times New Roman" w:eastAsia="Times New Roman"/>
          <w:b w:val="false"/>
          <w:bCs w:val="false"/>
          <w:i w:val="false"/>
          <w:iCs w:val="false"/>
          <w:smallCaps w:val="false"/>
          <w:sz w:val="16"/>
          <w:szCs w:val="16"/>
        </w:rPr>
        <w:t xml:space="preserve">V. Buterin </w:t>
      </w:r>
      <w:r>
        <w:rPr>
          <w:rFonts w:ascii="Times New Roman" w:hAnsi="Times New Roman" w:cs="Times New Roman" w:eastAsia="Times New Roman"/>
          <w:b w:val="false"/>
          <w:bCs w:val="false"/>
          <w:i/>
          <w:iCs/>
          <w:smallCaps w:val="false"/>
          <w:sz w:val="16"/>
          <w:szCs w:val="16"/>
        </w:rPr>
        <w:t xml:space="preserve">et al.</w:t>
      </w:r>
      <w:r>
        <w:rPr>
          <w:rFonts w:ascii="Times New Roman" w:hAnsi="Times New Roman" w:cs="Times New Roman" w:eastAsia="Times New Roman"/>
          <w:b w:val="false"/>
          <w:bCs w:val="false"/>
          <w:i w:val="false"/>
          <w:iCs w:val="false"/>
          <w:smallCaps w:val="false"/>
          <w:sz w:val="16"/>
          <w:szCs w:val="16"/>
        </w:rPr>
        <w:t xml:space="preserve">, “ERC-4337: Account abstraction using alt mempool,” Ethereum Improvement Proposals, no. 4337, Sep. 2021. [Online]. Available: https://eips.ethereum.org/EIPS/eip-4337</w:t>
      </w:r>
    </w:p>
    <w:p>
      <w:pPr>
        <w:pStyle w:val="ListParagraph"/>
        <w:numPr>
          <w:ilvl w:val="0"/>
          <w:numId w:val="6"/>
        </w:numPr>
        <w:spacing w:after="20"/>
        <w:jc w:val="both"/>
      </w:pPr>
      <w:r>
        <w:rPr>
          <w:rFonts w:ascii="Times New Roman" w:hAnsi="Times New Roman" w:cs="Times New Roman" w:eastAsia="Times New Roman"/>
          <w:b w:val="false"/>
          <w:bCs w:val="false"/>
          <w:i w:val="false"/>
          <w:iCs w:val="false"/>
          <w:smallCaps w:val="false"/>
          <w:sz w:val="16"/>
          <w:szCs w:val="16"/>
        </w:rPr>
        <w:t xml:space="preserve">zeroknots, K. Kopp, T. Lee, F. Makarov, E. Poon, and L. Min, “ERC-7579: Minimal modular smart accounts,” Ethereum Improvement Proposals, no. 7579, Dec. 2023. [Online]. Available: https://eips.ethereum.org/EIPS/eip-7579</w:t>
      </w:r>
    </w:p>
    <w:p>
      <w:pPr>
        <w:pStyle w:val="ListParagraph"/>
        <w:numPr>
          <w:ilvl w:val="0"/>
          <w:numId w:val="6"/>
        </w:numPr>
        <w:spacing w:after="20"/>
        <w:jc w:val="both"/>
      </w:pPr>
      <w:r>
        <w:rPr>
          <w:rFonts w:ascii="Times New Roman" w:hAnsi="Times New Roman" w:cs="Times New Roman" w:eastAsia="Times New Roman"/>
          <w:b w:val="false"/>
          <w:bCs w:val="false"/>
          <w:i w:val="false"/>
          <w:iCs w:val="false"/>
          <w:smallCaps w:val="false"/>
          <w:sz w:val="16"/>
          <w:szCs w:val="16"/>
        </w:rPr>
        <w:t xml:space="preserve">Y. Weiss, D. Tirosh, A. Forshtat, and S. Nacson, “ERC-7562: Account abstraction validation scope rules,” Ethereum Improvement Proposals, no. 7562, Sep. 2023. [Online]. Available: https://eips.ethereum.org/EIPS/eip-7562</w:t>
      </w:r>
    </w:p>
    <w:p>
      <w:pPr>
        <w:pStyle w:val="ListParagraph"/>
        <w:numPr>
          <w:ilvl w:val="0"/>
          <w:numId w:val="6"/>
        </w:numPr>
        <w:spacing w:after="20"/>
        <w:jc w:val="both"/>
      </w:pPr>
      <w:r>
        <w:rPr>
          <w:rFonts w:ascii="Times New Roman" w:hAnsi="Times New Roman" w:cs="Times New Roman" w:eastAsia="Times New Roman"/>
          <w:b w:val="false"/>
          <w:bCs w:val="false"/>
          <w:i w:val="false"/>
          <w:iCs w:val="false"/>
          <w:smallCaps w:val="false"/>
          <w:sz w:val="16"/>
          <w:szCs w:val="16"/>
        </w:rPr>
        <w:t xml:space="preserve">Succinct Labs, “SP1 zkVM documentation.” Accessed: Oct. 15, 2026. [Online]. Available: https://docs.succinct.xyz</w:t>
      </w:r>
    </w:p>
    <w:p>
      <w:pPr>
        <w:pStyle w:val="ListParagraph"/>
        <w:numPr>
          <w:ilvl w:val="0"/>
          <w:numId w:val="6"/>
        </w:numPr>
        <w:spacing w:after="20"/>
        <w:jc w:val="both"/>
      </w:pPr>
      <w:r>
        <w:rPr>
          <w:rFonts w:ascii="Times New Roman" w:hAnsi="Times New Roman" w:cs="Times New Roman" w:eastAsia="Times New Roman"/>
          <w:b w:val="false"/>
          <w:bCs w:val="false"/>
          <w:i w:val="false"/>
          <w:iCs w:val="false"/>
          <w:smallCaps w:val="false"/>
          <w:sz w:val="16"/>
          <w:szCs w:val="16"/>
        </w:rPr>
        <w:t xml:space="preserve">J.P. Morgan/Reuters, </w:t>
      </w:r>
      <w:r>
        <w:rPr>
          <w:rFonts w:ascii="Times New Roman" w:hAnsi="Times New Roman" w:cs="Times New Roman" w:eastAsia="Times New Roman"/>
          <w:b w:val="false"/>
          <w:bCs w:val="false"/>
          <w:i/>
          <w:iCs/>
          <w:smallCaps w:val="false"/>
          <w:sz w:val="16"/>
          <w:szCs w:val="16"/>
        </w:rPr>
        <w:t xml:space="preserve">RiskMetrics—Technical Document</w:t>
      </w:r>
      <w:r>
        <w:rPr>
          <w:rFonts w:ascii="Times New Roman" w:hAnsi="Times New Roman" w:cs="Times New Roman" w:eastAsia="Times New Roman"/>
          <w:b w:val="false"/>
          <w:bCs w:val="false"/>
          <w:i w:val="false"/>
          <w:iCs w:val="false"/>
          <w:smallCaps w:val="false"/>
          <w:sz w:val="16"/>
          <w:szCs w:val="16"/>
        </w:rPr>
        <w:t xml:space="preserve">, 4th ed. New York, NY, USA, 1996.</w:t>
      </w:r>
    </w:p>
    <w:p>
      <w:pPr>
        <w:pStyle w:val="ListParagraph"/>
        <w:numPr>
          <w:ilvl w:val="0"/>
          <w:numId w:val="6"/>
        </w:numPr>
        <w:spacing w:after="20"/>
        <w:jc w:val="both"/>
      </w:pPr>
      <w:r>
        <w:rPr>
          <w:rFonts w:ascii="Times New Roman" w:hAnsi="Times New Roman" w:cs="Times New Roman" w:eastAsia="Times New Roman"/>
          <w:b w:val="false"/>
          <w:bCs w:val="false"/>
          <w:i w:val="false"/>
          <w:iCs w:val="false"/>
          <w:smallCaps w:val="false"/>
          <w:sz w:val="16"/>
          <w:szCs w:val="16"/>
        </w:rPr>
        <w:t xml:space="preserve">Pyth Network, “Pyth Network documentation.” Accessed: Oct. 15, 2026. [Online]. Available: https://docs.pyth.network</w:t>
      </w:r>
    </w:p>
    <w:sectPr>
      <w:type w:val="continuous"/>
      <w:pgSz w:w="12240" w:h="15840" w:orient="portrait"/>
      <w:pgMar w:top="1080" w:right="900" w:bottom="1440" w:left="900" w:header="708" w:footer="708" w:gutter="0"/>
      <w:pgNumType/>
      <w:docGrid w:linePitch="360"/>
      <w:cols w:space="360" w:num="2" w:equalWidth="true"/>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Roman"/>
      <w:suff w:val="space"/>
      <w:lvlText w:val="%1."/>
      <w:lvlJc w:val="left"/>
      <w:rPr>
        <w:rFonts w:ascii="Times New Roman" w:cs="Times New Roman" w:eastAsia="Times New Roman" w:hAnsi="Times New Roman"/>
        <w:smallCaps/>
        <w:sz w:val="20"/>
        <w:szCs w:val="20"/>
      </w:rPr>
    </w:lvl>
    <w:lvl w:ilvl="1" w15:tentative="1">
      <w:start w:val="1"/>
      <w:numFmt w:val="upperLetter"/>
      <w:suff w:val="space"/>
      <w:lvlText w:val="%2."/>
      <w:lvlJc w:val="left"/>
      <w:rPr>
        <w:rFonts w:ascii="Times New Roman" w:cs="Times New Roman" w:eastAsia="Times New Roman" w:hAnsi="Times New Roman"/>
        <w:i/>
        <w:iCs/>
        <w:sz w:val="20"/>
        <w:szCs w:val="20"/>
      </w:rPr>
    </w:lvl>
  </w:abstractNum>
  <w:abstractNum w:abstractNumId="3" w15:restartNumberingAfterBreak="0">
    <w:multiLevelType w:val="hybridMultilevel"/>
    <w:lvl w:ilvl="0" w15:tentative="1">
      <w:start w:val="1"/>
      <w:numFmt w:val="decimal"/>
      <w:lvlText w:val="%1)"/>
      <w:lvlJc w:val="left"/>
      <w:pPr>
        <w:ind w:left="432" w:hanging="432"/>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432" w:hanging="432"/>
      </w:pPr>
      <w:rPr>
        <w:rFonts w:ascii="Times New Roman" w:cs="Times New Roman" w:eastAsia="Times New Roman" w:hAnsi="Times New Roman"/>
      </w:rPr>
    </w:lvl>
  </w:abstractNum>
  <w:abstractNum w:abstractNumId="5" w15:restartNumberingAfterBreak="0">
    <w:multiLevelType w:val="hybridMultilevel"/>
    <w:lvl w:ilvl="0" w15:tentative="1">
      <w:start w:val="1"/>
      <w:numFmt w:val="bullet"/>
      <w:lvlText w:val="•"/>
      <w:lvlJc w:val="left"/>
      <w:pPr>
        <w:ind w:left="432" w:hanging="288"/>
      </w:pPr>
      <w:rPr>
        <w:rFonts w:ascii="Times New Roman" w:cs="Times New Roman" w:eastAsia="Times New Roman" w:hAnsi="Times New Roman"/>
      </w:rPr>
    </w:lvl>
  </w:abstractNum>
  <w:abstractNum w:abstractNumId="6" w15:restartNumberingAfterBreak="0">
    <w:multiLevelType w:val="hybridMultilevel"/>
    <w:lvl w:ilvl="0" w15:tentative="1">
      <w:start w:val="1"/>
      <w:numFmt w:val="decimal"/>
      <w:lvlText w:val="[%1]"/>
      <w:lvlJc w:val="left"/>
      <w:pPr>
        <w:ind w:left="432" w:hanging="432"/>
      </w:pPr>
      <w:rPr>
        <w:rFonts w:ascii="Times New Roman" w:cs="Times New Roman" w:eastAsia="Times New Roman" w:hAnsi="Times New Roman"/>
        <w:sz w:val="16"/>
        <w:szCs w:val="1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200"/>
      <w:jc w:val="center"/>
      <w:outlineLvl w:val="0"/>
    </w:pPr>
    <w:rPr>
      <w:rFonts w:ascii="Times New Roman" w:cs="Times New Roman" w:eastAsia="Times New Roman" w:hAnsi="Times New Roman"/>
      <w:b w:val="false"/>
      <w:bCs w:val="false"/>
      <w:smallCaps/>
      <w:sz w:val="20"/>
      <w:szCs w:val="20"/>
    </w:rPr>
  </w:style>
  <w:style w:type="paragraph" w:styleId="Heading2">
    <w:name w:val="Heading 2"/>
    <w:basedOn w:val="Normal"/>
    <w:next w:val="Normal"/>
    <w:qFormat/>
    <w:pPr>
      <w:keepNext/>
      <w:spacing w:after="60" w:before="120"/>
      <w:jc w:val="left"/>
      <w:outlineLvl w:val="1"/>
    </w:pPr>
    <w:rPr>
      <w:rFonts w:ascii="Times New Roman" w:cs="Times New Roman" w:eastAsia="Times New Roman" w:hAnsi="Times New Roman"/>
      <w:b w:val="false"/>
      <w:bCs w:val="false"/>
      <w:i/>
      <w:iCs/>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 Type="http://schemas.openxmlformats.org/officeDocument/2006/relationships/fontTable" Target="fontTable.xml"/><Relationship Id="rId7"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zkLeash: Stateful, Proof-Gated Risk Enforcement for LLM Trading Agents</dc:title>
  <dc:creator>Un-named</dc:creator>
  <cp:lastModifiedBy>Un-named</cp:lastModifiedBy>
  <cp:revision>1</cp:revision>
  <dcterms:created xsi:type="dcterms:W3CDTF">2026-10-09T04:23:42.737Z</dcterms:created>
  <dcterms:modified xsi:type="dcterms:W3CDTF">2026-10-09T04:23:42.738Z</dcterms:modified>
</cp:coreProperties>
</file>

<file path=docProps/custom.xml><?xml version="1.0" encoding="utf-8"?>
<Properties xmlns="http://schemas.openxmlformats.org/officeDocument/2006/custom-properties" xmlns:vt="http://schemas.openxmlformats.org/officeDocument/2006/docPropsVTypes"/>
</file>