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anatomy of 'fake news': Studying false messages as digital objects</w:t>
      </w:r>
    </w:p>
    <w:p>
      <w:r>
        <w:t>A Khan, K Brohman, S Addas</w:t>
      </w:r>
    </w:p>
    <w:p>
      <w:r>
        <w:t>Year:</w:t>
      </w:r>
      <w:r>
        <w:rPr>
          <w:u w:val="single"/>
        </w:rPr>
        <w:t>2022</w:t>
      </w:r>
    </w:p>
    <w:p>
      <w:hyperlink r:id="rId9">
        <w:r>
          <w:rPr/>
          <w:r>
            <w:rPr>
              <w:color w:val="0000FF"/>
              <w:u w:val="single"/>
            </w:rPr>
            <w:t>https://journals.sagepub.com/doi/abs/10.1177/02683962211037693</w:t>
          </w:r>
        </w:r>
      </w:hyperlink>
    </w:p>
    <w:p>
      <w:pPr>
        <w:pStyle w:val="Heading2"/>
      </w:pPr>
      <w:r>
        <w:t>Abstract</w:t>
      </w:r>
    </w:p>
    <w:p>
      <w:r>
        <w:t>Abstract</w:t>
        <w:br/>
        <w:t>Public concern about ‘fake news’ skyrocketed following the 2016 US presidential election and the Brexit referendum, and has only intensified since then. A burgeoning body of research on the topic is emerging, and conceptual clarity is vital for this research to converge into a cumulative body of knowledge; the purpose of this article is to underline and address some of the conceptual clutter and ambiguities around the concept of fake news and situate it within its social context. To do so, we first discuss the problems with current terminology and conceptualisation, and then draw on recent developments on the ontology of digital objects and their attributes to shift the focus from fake news to false messages, a type of syntactic digital objects comprised of content and structure and characterised by attributes of editability, openness, interactivity, and distributedness. Then we expand this concept further by placing it within a network of actors and digital objects. Our analysis uncovers several areas of research that have been overlooked in the study of fake news.</w:t>
      </w:r>
    </w:p>
    <w:p>
      <w:pPr>
        <w:pStyle w:val="Heading1"/>
      </w:pPr>
      <w:r>
        <w:t>The value of online networks of practice: the role of embeddedness and media use</w:t>
      </w:r>
    </w:p>
    <w:p>
      <w:r>
        <w:t>B Van Den Hooff…</w:t>
      </w:r>
    </w:p>
    <w:p>
      <w:r>
        <w:t>Year:</w:t>
      </w:r>
      <w:r>
        <w:rPr>
          <w:u w:val="single"/>
        </w:rPr>
        <w:t>2010</w:t>
      </w:r>
    </w:p>
    <w:p>
      <w:hyperlink r:id="rId10">
        <w:r>
          <w:rPr/>
          <w:r>
            <w:rPr>
              <w:color w:val="0000FF"/>
              <w:u w:val="single"/>
            </w:rPr>
            <w:t>https://journals.sagepub.com/doi/abs/10.1057/jit.2010.11</w:t>
          </w:r>
        </w:r>
      </w:hyperlink>
    </w:p>
    <w:p>
      <w:pPr>
        <w:pStyle w:val="Heading2"/>
      </w:pPr>
      <w:r>
        <w:t>Abstract</w:t>
      </w:r>
    </w:p>
    <w:p>
      <w:r>
        <w:t>Abstract</w:t>
        <w:br/>
        <w:t>This article addresses the question how networks of practice (NoPs) can create value (operationalized as their contribution to individual members’ performance) for organizations through knowledge integration and management. The discussion focuses on two sets of variables influencing member performance: the embeddedness of the network and the use of different media. Three dimensions of embeddedness are distinguished: (1) embeddedness in practice: the extent to which the knowledge shared in the network is integrated in members’ (local) practices; (2) structural embeddedness: the extent to which network members are connected to each other and know who knows what; and (3) relational embeddedness: the extent to which the network is characterized by strong social ties. In terms of communication media, information and communication technology (ICT)-enabled and face-to-face interaction are distinguished. A survey study among 206 members of different NoPs reveals that all three forms of embeddedness are important antecedents of NoP member performance (explaining 43% of the variance in performance) and that these forms are interrelated. Furthermore, ICT use positively influences embeddedness in practice, whereas face-to-face communication contributes to the structural and relational embeddedness of an NoP. This contributes to knowledge management and ICT literature in general and NoP theory in particular.</w:t>
      </w:r>
    </w:p>
    <w:p>
      <w:pPr>
        <w:pStyle w:val="Heading1"/>
      </w:pPr>
      <w:r>
        <w:t>Risks inherent in the digital surveillance economy: A research agenda</w:t>
      </w:r>
    </w:p>
    <w:p>
      <w:r>
        <w:t>R Clarke</w:t>
      </w:r>
    </w:p>
    <w:p>
      <w:r>
        <w:t>Year:</w:t>
      </w:r>
      <w:r>
        <w:rPr>
          <w:u w:val="single"/>
        </w:rPr>
        <w:t>2019</w:t>
      </w:r>
    </w:p>
    <w:p>
      <w:hyperlink r:id="rId11">
        <w:r>
          <w:rPr/>
          <w:r>
            <w:rPr>
              <w:color w:val="0000FF"/>
              <w:u w:val="single"/>
            </w:rPr>
            <w:t>https://journals.sagepub.com/doi/abs/10.1177/0268396218815559</w:t>
          </w:r>
        </w:r>
      </w:hyperlink>
    </w:p>
    <w:p>
      <w:pPr>
        <w:pStyle w:val="Heading2"/>
      </w:pPr>
      <w:r>
        <w:t>Abstract</w:t>
      </w:r>
    </w:p>
    <w:p>
      <w:r>
        <w:t>Abstract</w:t>
        <w:br/>
        <w:t>The digitisation of data about the world relevant to business has given rise to a new phase of digitalisation of business itself. The digitisation of data about people has linked with the notions of information society, surveillance society, surveillance state and surveillance capitalism, and given rise to what is referred to in this article as the digital surveillance economy. At the heart of this is a new form of business model that is predicated on the acquisition and consolidation of very large volumes of personal data, and its exploitation to target advertisements, manipulate consumer behaviour, and price goods and services at the highest level that each individual is willing to bear. In the words of the model’s architects, users are ‘bribed’ and ‘induced’ to make their data available at minimal cost to marketers.</w:t>
        <w:br/>
        <w:t>The digital surveillance economy harbours serious threats to the interests of individuals, societies and polities. That in turn creates risks for corporations. The new economic wave may prove to be a tsunami that swamps the social dimension and washes away the last five centuries’ individualism and humanism. Alternatively, institutional adaptation might occur, overcoming the worst of the negative impacts; or a breaking-point could be reached and consumers might rebel against corporate domination. A research agenda is proposed, to provide a framework within which alternative scenarios can be investigated.</w:t>
      </w:r>
    </w:p>
    <w:p>
      <w:pPr>
        <w:pStyle w:val="Heading1"/>
      </w:pPr>
      <w:r>
        <w:t>Embodiment and presence in virtual worlds: a review</w:t>
      </w:r>
    </w:p>
    <w:p>
      <w:r>
        <w:t>U Schultze</w:t>
      </w:r>
    </w:p>
    <w:p>
      <w:r>
        <w:t>Year:</w:t>
      </w:r>
      <w:r>
        <w:rPr>
          <w:u w:val="single"/>
        </w:rPr>
        <w:t>2010</w:t>
      </w:r>
    </w:p>
    <w:p>
      <w:hyperlink r:id="rId12">
        <w:r>
          <w:rPr/>
          <w:r>
            <w:rPr>
              <w:color w:val="0000FF"/>
              <w:u w:val="single"/>
            </w:rPr>
            <w:t>https://journals.sagepub.com/doi/abs/10.1057/jit.2009.25</w:t>
          </w:r>
        </w:r>
      </w:hyperlink>
    </w:p>
    <w:p>
      <w:pPr>
        <w:pStyle w:val="Heading2"/>
      </w:pPr>
      <w:r>
        <w:t>Abstract</w:t>
      </w:r>
    </w:p>
    <w:p>
      <w:r>
        <w:t>Abstract</w:t>
        <w:br/>
        <w:t>The multimodal, 3D-graphlcal communication platforms known as virtual worlds have their historical roots In multi-user domains/dungeons (MUDs) and virtual reality (VR). Given the extensive research on these technologies and the novelty of virtual worlds as a topic of study In Information systems (IS), It behooves us to learn from the concepts, theories and Insights generated primarily by other disciplines that have focused on these technologies. Because neither MUDs nor VR have significant organizational application, thus locating them outside of the IS discipline's purview, very little of this literature has found Its way Into IS research thus far. This article reviews the extant literature on virtual environments and seeks to make Its Insights accessible to IS research on virtual worlds. In particular, this will focus on concepts, theories and Insights regarding embodiment and presence, which are afforded by the avatar, a distinguishing technological artifact of virtual worlds.</w:t>
      </w:r>
    </w:p>
    <w:p>
      <w:pPr>
        <w:pStyle w:val="Heading1"/>
      </w:pPr>
      <w:r>
        <w:t>A taxonomy of financial market manipulations: establishing trust and market integrity in the financialized economy through automated fraud detection</w:t>
      </w:r>
    </w:p>
    <w:p>
      <w:r>
        <w:t>M Siering, B Clapham, O Engel…</w:t>
      </w:r>
    </w:p>
    <w:p>
      <w:r>
        <w:t>Year:</w:t>
      </w:r>
      <w:r>
        <w:rPr>
          <w:u w:val="single"/>
        </w:rPr>
        <w:t>2017</w:t>
      </w:r>
    </w:p>
    <w:p>
      <w:hyperlink r:id="rId13">
        <w:r>
          <w:rPr/>
          <w:r>
            <w:rPr>
              <w:color w:val="0000FF"/>
              <w:u w:val="single"/>
            </w:rPr>
            <w:t>https://journals.sagepub.com/doi/abs/10.1057/s41265-016-0029-z</w:t>
          </w:r>
        </w:r>
      </w:hyperlink>
    </w:p>
    <w:p>
      <w:pPr>
        <w:pStyle w:val="Heading2"/>
      </w:pPr>
      <w:r>
        <w:t>Abstract</w:t>
      </w:r>
    </w:p>
    <w:p>
      <w:r>
        <w:t>Abstract</w:t>
        <w:br/>
        <w:t>Financial market manipulations represent a major threat to trust and market integrity in capital markets. Manipulations contribute to mispricing, market imperfections and an increase in transaction costs for market participants and in costs of capital for issuers. Manipulations are facilitated by increased transaction velocity, speculative trading and abusive usage of new trading technologies, i.e., they are directly linked to financial sector changes that drive financialization. Research at the intersection of financialization and IS might support regulatory authorities and market operators in improving market surveillance and helping to detect fraudulent activities. However, confusing terminology is prevalent on financial markets with respect to different manipulation techniques and their characteristics, which hampers efficient fraud detection. Furthermore, recognizing manipulations is challenging given the large number of information sources and the vast number of trades occurring not least because of high-frequency traders. Therefore, automated market surveillance tools require a comprehensive taxonomy of financial market manipulations as a basis for appropriate configuration. Based on a cluster analysis of SEC litigation releases, a review of the latest market abuse regulation and academic studies, we develop a taxonomy of manipulations that structures and details existing manipulation techniques and reveals how these techniques differ along several dimensions. In a case study, we show how the taxonomy can be utilized to guide the development of appropriate decision support systems for fraud detection.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journals.sagepub.com/doi/abs/10.1177/02683962211037693" TargetMode="External"/><Relationship Id="rId10" Type="http://schemas.openxmlformats.org/officeDocument/2006/relationships/hyperlink" Target="https://journals.sagepub.com/doi/abs/10.1057/jit.2010.11" TargetMode="External"/><Relationship Id="rId11" Type="http://schemas.openxmlformats.org/officeDocument/2006/relationships/hyperlink" Target="https://journals.sagepub.com/doi/abs/10.1177/0268396218815559" TargetMode="External"/><Relationship Id="rId12" Type="http://schemas.openxmlformats.org/officeDocument/2006/relationships/hyperlink" Target="https://journals.sagepub.com/doi/abs/10.1057/jit.2009.25" TargetMode="External"/><Relationship Id="rId13" Type="http://schemas.openxmlformats.org/officeDocument/2006/relationships/hyperlink" Target="https://journals.sagepub.com/doi/abs/10.1057/s41265-016-0029-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