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SpectralG — Clinical Variant Report</w:t>
      </w:r>
    </w:p>
    <w:p>
      <w:r>
        <w:t>Sample ID: SAMPLE_001</w:t>
      </w:r>
    </w:p>
    <w:p>
      <w:r>
        <w:t>Date: 22 April 2026</w:t>
      </w:r>
    </w:p>
    <w:p>
      <w:r>
        <w:t>Tool: SpectralG | Ensembl VEP + ACMG + Claude AI</w:t>
      </w:r>
    </w:p>
    <w:p>
      <w:r>
        <w:t>Variants Analysed: 3</w:t>
      </w:r>
    </w:p>
    <w:p/>
    <w:p>
      <w:pPr>
        <w:pStyle w:val="Heading1"/>
      </w:pPr>
      <w:r>
        <w:t>Variant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ACMG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BRCA1</w:t>
            </w:r>
          </w:p>
        </w:tc>
        <w:tc>
          <w:tcPr>
            <w:tcW w:type="dxa" w:w="1440"/>
          </w:tcPr>
          <w:p>
            <w:r>
              <w:t>chr17:43071077</w:t>
            </w:r>
          </w:p>
        </w:tc>
        <w:tc>
          <w:tcPr>
            <w:tcW w:type="dxa" w:w="1440"/>
          </w:tcPr>
          <w:p>
            <w:r>
              <w:t>A&gt;T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VUS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TP53</w:t>
            </w:r>
          </w:p>
        </w:tc>
        <w:tc>
          <w:tcPr>
            <w:tcW w:type="dxa" w:w="1440"/>
          </w:tcPr>
          <w:p>
            <w:r>
              <w:t>chr17:7674220</w:t>
            </w:r>
          </w:p>
        </w:tc>
        <w:tc>
          <w:tcPr>
            <w:tcW w:type="dxa" w:w="1440"/>
          </w:tcPr>
          <w:p>
            <w:r>
              <w:t>C&gt;T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VUS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CFTR</w:t>
            </w:r>
          </w:p>
        </w:tc>
        <w:tc>
          <w:tcPr>
            <w:tcW w:type="dxa" w:w="1440"/>
          </w:tcPr>
          <w:p>
            <w:r>
              <w:t>chr7:117548628</w:t>
            </w:r>
          </w:p>
        </w:tc>
        <w:tc>
          <w:tcPr>
            <w:tcW w:type="dxa" w:w="1440"/>
          </w:tcPr>
          <w:p>
            <w:r>
              <w:t>A&gt;G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VUS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</w:tbl>
    <w:p/>
    <w:p>
      <w:pPr>
        <w:pStyle w:val="Heading1"/>
      </w:pPr>
      <w:r>
        <w:t>Clinical Interpretation</w:t>
      </w:r>
    </w:p>
    <w:p>
      <w:pPr>
        <w:pStyle w:val="Heading1"/>
      </w:pPr>
      <w:r>
        <w:t>Clinical Variant Report — SAMPLE_001</w:t>
      </w:r>
    </w:p>
    <w:p>
      <w:pPr>
        <w:pStyle w:val="Heading2"/>
      </w:pPr>
      <w:r>
        <w:t>Executive Summary</w:t>
      </w:r>
    </w:p>
    <w:p>
      <w:r>
        <w:t>1 high-priority variants detected.</w:t>
      </w:r>
    </w:p>
    <w:p>
      <w:pPr>
        <w:pStyle w:val="Heading2"/>
      </w:pPr>
      <w:r>
        <w:t>Variant Interpretation</w:t>
      </w:r>
    </w:p>
    <w:p>
      <w:r>
        <w:t>Gene: TP53</w:t>
      </w:r>
    </w:p>
    <w:p>
      <w:r>
        <w:t>Position: chr17:7674220</w:t>
      </w:r>
    </w:p>
    <w:p>
      <w:r>
        <w:t>Change: C &gt; T</w:t>
      </w:r>
    </w:p>
    <w:p>
      <w:r>
        <w:t>Impact: MODERATE</w:t>
      </w:r>
    </w:p>
    <w:p>
      <w:r>
        <w:t>ACMG: VUS</w:t>
      </w:r>
    </w:p>
    <w:p>
      <w:r>
        <w:t>Interpretation:</w:t>
      </w:r>
    </w:p>
    <w:p>
      <w:r>
        <w:t>Uncertain clinical significance.</w:t>
      </w:r>
    </w:p>
    <w:p>
      <w:r>
        <w:t>-----------------------------------</w:t>
      </w:r>
    </w:p>
    <w:p>
      <w:r>
        <w:t>Gene: BRCA1</w:t>
      </w:r>
    </w:p>
    <w:p>
      <w:r>
        <w:t>Position: chr17:43071077</w:t>
      </w:r>
    </w:p>
    <w:p>
      <w:r>
        <w:t>Change: A &gt; T</w:t>
      </w:r>
    </w:p>
    <w:p>
      <w:r>
        <w:t>Impact: UNKNOWN</w:t>
      </w:r>
    </w:p>
    <w:p>
      <w:r>
        <w:t>ACMG: VUS</w:t>
      </w:r>
    </w:p>
    <w:p>
      <w:r>
        <w:t>Interpretation:</w:t>
      </w:r>
    </w:p>
    <w:p>
      <w:r>
        <w:t>Uncertain clinical significance.</w:t>
      </w:r>
    </w:p>
    <w:p>
      <w:r>
        <w:t>-----------------------------------</w:t>
      </w:r>
    </w:p>
    <w:p>
      <w:r>
        <w:t>Gene: CFTR</w:t>
      </w:r>
    </w:p>
    <w:p>
      <w:r>
        <w:t>Position: chr7:117548628</w:t>
      </w:r>
    </w:p>
    <w:p>
      <w:r>
        <w:t>Change: A &gt; G</w:t>
      </w:r>
    </w:p>
    <w:p>
      <w:r>
        <w:t>Impact: UNKNOWN</w:t>
      </w:r>
    </w:p>
    <w:p>
      <w:r>
        <w:t>ACMG: VUS</w:t>
      </w:r>
    </w:p>
    <w:p>
      <w:r>
        <w:t>Interpretation:</w:t>
      </w:r>
    </w:p>
    <w:p>
      <w:r>
        <w:t>Uncertain clinical significance.</w:t>
      </w:r>
    </w:p>
    <w:p>
      <w:r>
        <w:t>-----------------------------------</w:t>
      </w:r>
    </w:p>
    <w:p>
      <w:pPr>
        <w:pStyle w:val="Heading2"/>
      </w:pPr>
      <w:r>
        <w:t>Clinical Recommendations</w:t>
      </w:r>
    </w:p>
    <w:p>
      <w:r>
        <w:t>Consider clinical correlation, family history analysis, and functional validation if needed.</w:t>
      </w:r>
    </w:p>
    <w:p>
      <w:pPr>
        <w:pStyle w:val="Heading2"/>
      </w:pPr>
      <w:r>
        <w:t>Disclaimer</w:t>
      </w:r>
    </w:p>
    <w:p>
      <w:r>
        <w:t>This is an AI-assisted research report and must be reviewed by a clinical geneticist.</w:t>
      </w:r>
    </w:p>
    <w:p>
      <w:pPr>
        <w:pStyle w:val="Heading1"/>
      </w:pPr>
      <w:r>
        <w:t>Disclaimer</w:t>
      </w:r>
    </w:p>
    <w:p>
      <w:r>
        <w:rPr>
          <w:i/>
        </w:rPr>
        <w:t>SpectralG is an AI-assisted research tool. All reports must be reviewed by a qualified clinical geneticist before clinical use. Do not use for diagnosis without professional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