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 Model Evaluation Report</w:t>
      </w:r>
    </w:p>
    <w:p>
      <w:r>
        <w:t>Date: 2026-03-07</w:t>
      </w:r>
    </w:p>
    <w:p>
      <w:pPr>
        <w:pStyle w:val="Heading2"/>
      </w:pPr>
      <w:r>
        <w:t>1. Objective</w:t>
      </w:r>
    </w:p>
    <w:p>
      <w:r>
        <w:t>Evaluate machine learning models for predicting insurance claim outcomes (Paid, Pending, Rejected) to support proactive revenue risk management.</w:t>
      </w:r>
    </w:p>
    <w:p>
      <w:pPr>
        <w:pStyle w:val="Heading2"/>
      </w:pPr>
      <w:r>
        <w:t>2. Models Evaluated</w:t>
      </w:r>
    </w:p>
    <w:p>
      <w:r>
        <w:t>Four algorithms were evaluated:</w:t>
        <w:br/>
        <w:t>• Logistic Regression</w:t>
        <w:br/>
        <w:t>• Decision Tree</w:t>
        <w:br/>
        <w:t>• Random Forest</w:t>
        <w:br/>
        <w:t>• Gradient Boosting</w:t>
      </w:r>
    </w:p>
    <w:p>
      <w:pPr>
        <w:pStyle w:val="Heading2"/>
      </w:pPr>
      <w:r>
        <w:t>3. Model Performance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Macro F1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Logistic Regression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  <w:tc>
          <w:tcPr>
            <w:tcW w:type="dxa" w:w="2160"/>
          </w:tcPr>
          <w:p>
            <w:r>
              <w:t>Weak separation for Pending class</w:t>
            </w:r>
          </w:p>
        </w:tc>
      </w:tr>
      <w:tr>
        <w:tc>
          <w:tcPr>
            <w:tcW w:type="dxa" w:w="2160"/>
          </w:tcPr>
          <w:p>
            <w:r>
              <w:t>Decision Tree</w:t>
            </w:r>
          </w:p>
        </w:tc>
        <w:tc>
          <w:tcPr>
            <w:tcW w:type="dxa" w:w="2160"/>
          </w:tcPr>
          <w:p>
            <w:r>
              <w:t>0.91</w:t>
            </w:r>
          </w:p>
        </w:tc>
        <w:tc>
          <w:tcPr>
            <w:tcW w:type="dxa" w:w="2160"/>
          </w:tcPr>
          <w:p>
            <w:r>
              <w:t>0.89</w:t>
            </w:r>
          </w:p>
        </w:tc>
        <w:tc>
          <w:tcPr>
            <w:tcW w:type="dxa" w:w="2160"/>
          </w:tcPr>
          <w:p>
            <w:r>
              <w:t>Strong performance but risk of overfitting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0.93</w:t>
            </w:r>
          </w:p>
        </w:tc>
        <w:tc>
          <w:tcPr>
            <w:tcW w:type="dxa" w:w="2160"/>
          </w:tcPr>
          <w:p>
            <w:r>
              <w:t>0.91</w:t>
            </w:r>
          </w:p>
        </w:tc>
        <w:tc>
          <w:tcPr>
            <w:tcW w:type="dxa" w:w="2160"/>
          </w:tcPr>
          <w:p>
            <w:r>
              <w:t>Best overall performance and stability</w:t>
            </w:r>
          </w:p>
        </w:tc>
      </w:tr>
      <w:tr>
        <w:tc>
          <w:tcPr>
            <w:tcW w:type="dxa" w:w="2160"/>
          </w:tcPr>
          <w:p>
            <w:r>
              <w:t>Gradient Boosting</w:t>
            </w:r>
          </w:p>
        </w:tc>
        <w:tc>
          <w:tcPr>
            <w:tcW w:type="dxa" w:w="2160"/>
          </w:tcPr>
          <w:p>
            <w:r>
              <w:t>0.93</w:t>
            </w:r>
          </w:p>
        </w:tc>
        <w:tc>
          <w:tcPr>
            <w:tcW w:type="dxa" w:w="2160"/>
          </w:tcPr>
          <w:p>
            <w:r>
              <w:t>0.91</w:t>
            </w:r>
          </w:p>
        </w:tc>
        <w:tc>
          <w:tcPr>
            <w:tcW w:type="dxa" w:w="2160"/>
          </w:tcPr>
          <w:p>
            <w:r>
              <w:t>Strong performance but higher complexity</w:t>
            </w:r>
          </w:p>
        </w:tc>
      </w:tr>
    </w:tbl>
    <w:p>
      <w:pPr>
        <w:pStyle w:val="Heading2"/>
      </w:pPr>
      <w:r>
        <w:t>4. Model Selection</w:t>
      </w:r>
    </w:p>
    <w:p>
      <w:r>
        <w:t>Random Forest was selected as the final model due to its high accuracy (~93%), strong macro F1 score (~0.91), and excellent recall for the Rejected claim class (~0.97). This metric is particularly important because rejected claims represent significant revenue leakage risk.</w:t>
      </w:r>
    </w:p>
    <w:p>
      <w:pPr>
        <w:pStyle w:val="Heading2"/>
      </w:pPr>
      <w:r>
        <w:t>5. Business Impact</w:t>
      </w:r>
    </w:p>
    <w:p>
      <w:r>
        <w:t>High recall for rejected claims enables hospitals to proactively review claims before submission, reducing financial losses and improving revenue cycle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