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Explainability Summary</w:t>
      </w:r>
    </w:p>
    <w:p>
      <w:r>
        <w:t>Date: 2026-03-07</w:t>
      </w:r>
    </w:p>
    <w:p>
      <w:pPr>
        <w:pStyle w:val="Heading2"/>
      </w:pPr>
      <w:r>
        <w:t>Risk Model Explainability</w:t>
      </w:r>
    </w:p>
    <w:p>
      <w:r>
        <w:t>Feature importance analysis from the Random Forest model indicates that operational features such as visit frequency, length of stay, and provider rejection rate contribute to predictions. However, no single feature strongly dominates the model, confirming limited predictive separation.</w:t>
      </w:r>
    </w:p>
    <w:p>
      <w:pPr>
        <w:pStyle w:val="Heading2"/>
      </w:pPr>
      <w:r>
        <w:t>Claim Model Explainability</w:t>
      </w:r>
    </w:p>
    <w:p>
      <w:r>
        <w:t>Financial variables such as billed amount, approved amount, and payment delay play major roles in predicting claim outcomes. These variables reflect real-world insurance processing dynamics.</w:t>
      </w:r>
    </w:p>
    <w:p>
      <w:pPr>
        <w:pStyle w:val="Heading2"/>
      </w:pPr>
      <w:r>
        <w:t>Stakeholder Interpretation</w:t>
      </w:r>
    </w:p>
    <w:p>
      <w:r>
        <w:t>Explainability helps hospital administrators and finance teams understand why predictions occur, increasing trust and enabling informed operational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