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4 — Notebook Analysis Summary</w:t>
      </w:r>
    </w:p>
    <w:p>
      <w:r>
        <w:t>Date: 2026-03-07</w:t>
      </w:r>
    </w:p>
    <w:p>
      <w:pPr>
        <w:pStyle w:val="Heading1"/>
      </w:pPr>
      <w:r>
        <w:t>Purpose of the Notebook</w:t>
      </w:r>
    </w:p>
    <w:p>
      <w:r>
        <w:t>This document summarizes the analytical steps and insights produced in the Phase4_Evaluation notebook. The notebook evaluates the trained Risk Prediction Model and Claim Outcome Model using technical metrics, business metrics, explainability techniques, and fairness analysis.</w:t>
      </w:r>
    </w:p>
    <w:p>
      <w:pPr>
        <w:pStyle w:val="Heading1"/>
      </w:pPr>
      <w:r>
        <w:t>1. Data Preparation</w:t>
      </w:r>
    </w:p>
    <w:p>
      <w:r>
        <w:t>The modeling dataset (model_table.csv) created during Phase 2 was loaded. Previously trained models from Phase 3 (risk_model.pkl and claim_model.pkl) were loaded to evaluate their predictive performance on unseen test data.</w:t>
      </w:r>
    </w:p>
    <w:p>
      <w:pPr>
        <w:pStyle w:val="Heading1"/>
      </w:pPr>
      <w:r>
        <w:t>2. Risk Model Evaluation</w:t>
      </w:r>
    </w:p>
    <w:p>
      <w:r>
        <w:t>The Risk Model predicts visit risk categories: Low, Medium, and High. Evaluation metrics included confusion matrix, accuracy, precision, recall, and F1-score.</w:t>
      </w:r>
    </w:p>
    <w:p>
      <w:r>
        <w:t>Multiple algorithms were originally evaluated in Phase 3, including Logistic Regression, Decision Tree, Random Forest, and Gradient Boosting. Random Forest was selected as the final model due to its stability, ability to capture nonlinear relationships, and support for feature importance analysis.</w:t>
      </w:r>
    </w:p>
    <w:p>
      <w:r>
        <w:t>The model demonstrated moderate predictive performance with limited separation between Medium and High risk visits. This limitation is likely due to the absence of clinical variables such as diagnosis codes and severity indicators.</w:t>
      </w:r>
    </w:p>
    <w:p>
      <w:pPr>
        <w:pStyle w:val="Heading1"/>
      </w:pPr>
      <w:r>
        <w:t>3. Claim Model Evaluation</w:t>
      </w:r>
    </w:p>
    <w:p>
      <w:r>
        <w:t>The Claim Model predicts insurance claim outcomes: Paid, Pending, or Rejected. Model evaluation showed strong predictive performance with approximately 93% accuracy and a macro F1 score of around 0.91.</w:t>
      </w:r>
    </w:p>
    <w:p>
      <w:r>
        <w:t>Random Forest was selected as the final model because it achieved the best balance across all classes and delivered very high recall for the Rejected class (~0.96). This is a critical business metric since rejected claims represent revenue loss risk for the hospital.</w:t>
      </w:r>
    </w:p>
    <w:p>
      <w:pPr>
        <w:pStyle w:val="Heading1"/>
      </w:pPr>
      <w:r>
        <w:t>4. Feature Importance Analysis</w:t>
      </w:r>
    </w:p>
    <w:p>
      <w:r>
        <w:t>Feature importance analysis was performed using the Random Forest models. For the Risk Model, operational features such as length_of_stay_hours, visit_frequency, and days_since_registration contributed to predictions, but no single feature strongly dominated.</w:t>
      </w:r>
    </w:p>
    <w:p>
      <w:r>
        <w:t>For the Claim Model, financial variables such as approved_amount, billed_amount, and payment_days were among the most influential predictors, which aligns with expected insurance processing behavior.</w:t>
      </w:r>
    </w:p>
    <w:p>
      <w:pPr>
        <w:pStyle w:val="Heading1"/>
      </w:pPr>
      <w:r>
        <w:t>5. Fairness Analysis</w:t>
      </w:r>
    </w:p>
    <w:p>
      <w:r>
        <w:t>Fairness analysis was conducted by segmenting model performance across gender, city, and insurance provider groups. The results indicated that model performance remained relatively consistent across these groups. No significant demographic bias was detected.</w:t>
      </w:r>
    </w:p>
    <w:p>
      <w:pPr>
        <w:pStyle w:val="Heading1"/>
      </w:pPr>
      <w:r>
        <w:t>6. Business Interpretation</w:t>
      </w:r>
    </w:p>
    <w:p>
      <w:r>
        <w:t>The Risk Model provides operational insights to help hospitals identify potentially high-risk visits that may require additional attention. Although predictive power is moderate, the model can still support resource planning and monitoring.</w:t>
      </w:r>
    </w:p>
    <w:p>
      <w:r>
        <w:t>The Claim Model provides strong predictive capability for insurance claim outcomes. Early identification of rejected claims allows billing teams to intervene before submission, improving revenue cycle efficiency.</w:t>
      </w:r>
    </w:p>
    <w:p>
      <w:pPr>
        <w:pStyle w:val="Heading1"/>
      </w:pPr>
      <w:r>
        <w:t>7. Conclusion</w:t>
      </w:r>
    </w:p>
    <w:p>
      <w:r>
        <w:t>Overall, the evaluation confirms that Random Forest models provide the best balance between predictive performance, stability, and interpretability for both hospital visit risk prediction and insurance claim outcome prediction. These models are suitable for deployment within the Hospital Operations and Revenue Risk Intelligence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