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Explainability Summary — Phase 4 Evaluation</w:t>
      </w:r>
    </w:p>
    <w:p>
      <w:r>
        <w:t>Date: 2026-03-20</w:t>
      </w:r>
    </w:p>
    <w:p>
      <w:pPr>
        <w:pStyle w:val="Heading1"/>
      </w:pPr>
      <w:r>
        <w:t>Purpose of the Notebook</w:t>
      </w:r>
    </w:p>
    <w:p>
      <w:r>
        <w:t>This document summarizes the analytical steps, evaluation results, and key insights obtained from the Phase 4 evaluation notebook. It focuses on explaining how the Risk Prediction Model and Claim Outcome Model behave, what features influence predictions, and how these insights can support hospital decision-making.</w:t>
      </w:r>
    </w:p>
    <w:p>
      <w:pPr>
        <w:pStyle w:val="Heading1"/>
      </w:pPr>
      <w:r>
        <w:t>1. Data Preparation</w:t>
      </w:r>
    </w:p>
    <w:p>
      <w:r>
        <w:t>The modeling dataset (model_table.csv) generated during Phase 2 was used for evaluation. Pre-trained models (risk_model.pkl and claim_model.pkl) from Phase 3 were loaded. A time-based split was applied to ensure realistic evaluation using past data for training and future data for testing.</w:t>
      </w:r>
    </w:p>
    <w:p>
      <w:pPr>
        <w:pStyle w:val="Heading1"/>
      </w:pPr>
      <w:r>
        <w:t>2. Risk Model Explainability</w:t>
      </w:r>
    </w:p>
    <w:p>
      <w:r>
        <w:t>The Risk Model predicts patient visit risk (Low, Medium, High). Feature importance analysis shows that operational variables such as length_of_stay_hours, visit_frequency, days_since_registration, and department risk rates play a key role.</w:t>
        <w:br/>
        <w:br/>
        <w:t>However, no single feature dominates predictions, indicating that the model relies on a combination of weak signals. This contributes to lower accuracy (~47%), as Medium and High risk classes are not clearly separable using available features.</w:t>
        <w:br/>
        <w:br/>
        <w:t>The absence of clinical variables such as diagnosis codes and severity indicators limits the model’s ability to distinguish complex cases.</w:t>
      </w:r>
    </w:p>
    <w:p>
      <w:pPr>
        <w:pStyle w:val="Heading1"/>
      </w:pPr>
      <w:r>
        <w:t>3. Claim Model Explainability</w:t>
      </w:r>
    </w:p>
    <w:p>
      <w:r>
        <w:t>The Claim Model predicts insurance outcomes (Paid, Pending, Rejected). Feature importance analysis highlights financial variables such as approved_amount, billed_amount, payment_days, and provider_rejection_rate as the most influential predictors.</w:t>
        <w:br/>
        <w:br/>
        <w:t>These features directly align with insurance processing logic, which explains the model’s high accuracy (~98%) and strong recall for rejected claims.</w:t>
      </w:r>
    </w:p>
    <w:p>
      <w:pPr>
        <w:pStyle w:val="Heading1"/>
      </w:pPr>
      <w:r>
        <w:t>4. Feature Importance Insights</w:t>
      </w:r>
    </w:p>
    <w:p>
      <w:r>
        <w:t>For the Risk Model, operational features contribute moderately but lack strong predictive power individually.</w:t>
        <w:br/>
        <w:t>For the Claim Model, financial features strongly drive predictions, reflecting real-world billing behavior.</w:t>
        <w:br/>
        <w:br/>
        <w:t>This contrast explains why the Claim Model significantly outperforms the Risk Model.</w:t>
      </w:r>
    </w:p>
    <w:p>
      <w:pPr>
        <w:pStyle w:val="Heading1"/>
      </w:pPr>
      <w:r>
        <w:t>5. Fairness Analysis</w:t>
      </w:r>
    </w:p>
    <w:p>
      <w:r>
        <w:t>Performance was analyzed across gender, city, and insurance provider groups. No major bias was observed, indicating consistent model behavior across demographic segments.</w:t>
      </w:r>
    </w:p>
    <w:p>
      <w:pPr>
        <w:pStyle w:val="Heading1"/>
      </w:pPr>
      <w:r>
        <w:t>6. Business Interpretation</w:t>
      </w:r>
    </w:p>
    <w:p>
      <w:r>
        <w:t>The Risk Model helps identify potentially high-risk visits, enabling better resource allocation despite moderate accuracy.</w:t>
        <w:br/>
        <w:t>The Claim Model enables early identification of rejected claims, allowing proactive financial interventions.</w:t>
        <w:br/>
        <w:br/>
        <w:t>Together, these models support both operational efficiency and revenue optimization.</w:t>
      </w:r>
    </w:p>
    <w:p>
      <w:pPr>
        <w:pStyle w:val="Heading1"/>
      </w:pPr>
      <w:r>
        <w:t>7. Conclusion</w:t>
      </w:r>
    </w:p>
    <w:p>
      <w:r>
        <w:t>The evaluation demonstrates that Random Forest models provide a balance between interpretability and performance. While the Risk Model requires improvement through richer features, the Claim Model is highly effective and ready for deployment.</w:t>
        <w:br/>
        <w:br/>
        <w:t>Overall, explainability analysis confirms that model behavior aligns with hospital operational and financial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