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Phase 4 — Risk Model Evaluation Report</w:t>
      </w:r>
    </w:p>
    <w:p>
      <w:r>
        <w:t>Date: 2026-03-04</w:t>
      </w:r>
    </w:p>
    <w:p/>
    <w:p>
      <w:r>
        <w:t>1. Objective</w:t>
      </w:r>
    </w:p>
    <w:p>
      <w:r>
        <w:t>Evaluate the Visit Risk Classification Model using training and test datasets. The evaluation focuses on predictive performance, business‑critical recall for the High Risk class, and operational reliability.</w:t>
      </w:r>
    </w:p>
    <w:p/>
    <w:p>
      <w:r>
        <w:t>2. Model Description</w:t>
      </w:r>
    </w:p>
    <w:p>
      <w:r>
        <w:t xml:space="preserve">The Risk Model predicts visit risk levels categorized as Low, Medium, and High. </w:t>
      </w:r>
    </w:p>
    <w:p>
      <w:r>
        <w:t>A Random Forest classifier was used because it can capture nonlinear relationships between operational healthcare features.</w:t>
      </w:r>
    </w:p>
    <w:p/>
    <w:p>
      <w:r>
        <w:t>3. Evaluation Metrics</w:t>
      </w:r>
    </w:p>
    <w:p>
      <w:r>
        <w:t>• Confusion Matrix (Train and Test)</w:t>
      </w:r>
    </w:p>
    <w:p>
      <w:r>
        <w:t>• Precision, Recall, and F1‑Score</w:t>
      </w:r>
    </w:p>
    <w:p>
      <w:r>
        <w:t>• Overall Accuracy</w:t>
      </w:r>
    </w:p>
    <w:p>
      <w:r>
        <w:t>• Business Metric: Recall for High Risk class</w:t>
      </w:r>
    </w:p>
    <w:p/>
    <w:p>
      <w:r>
        <w:t>4. Model Performance</w:t>
      </w:r>
    </w:p>
    <w:p>
      <w:r>
        <w:t>The Random Forest model produced moderate predictive accuracy. The model had difficulty separating Medium and High risk visits, indicating weak feature separation.</w:t>
      </w:r>
    </w:p>
    <w:p>
      <w:r>
        <w:t>Train vs Test comparison showed no significant overfitting, suggesting stable generalization.</w:t>
      </w:r>
    </w:p>
    <w:p/>
    <w:p>
      <w:r>
        <w:t>5. Business Metric</w:t>
      </w:r>
    </w:p>
    <w:p>
      <w:r>
        <w:t xml:space="preserve">The key business metric for the Risk Model is Recall for High Risk visits. </w:t>
      </w:r>
    </w:p>
    <w:p>
      <w:r>
        <w:t>This metric measures how effectively the model identifies visits that may require immediate clinical attention.</w:t>
      </w:r>
    </w:p>
    <w:p/>
    <w:p>
      <w:r>
        <w:t>6. Fairness Analysis</w:t>
      </w:r>
    </w:p>
    <w:p>
      <w:r>
        <w:t>Fairness analysis was conducted across Gender, City, and Insurance Provider groups.</w:t>
      </w:r>
    </w:p>
    <w:p>
      <w:r>
        <w:t>The model showed relatively consistent High‑risk recall across groups, suggesting no major demographic bias.</w:t>
      </w:r>
    </w:p>
    <w:p/>
    <w:p>
      <w:r>
        <w:t>7. Limitations</w:t>
      </w:r>
    </w:p>
    <w:p>
      <w:r>
        <w:t xml:space="preserve">The model uses primarily operational visit data such as department and visit type. </w:t>
      </w:r>
    </w:p>
    <w:p>
      <w:r>
        <w:t>Lack of clinical features such as diagnosis codes and severity indicators limits predictive performance.</w:t>
      </w:r>
    </w:p>
    <w:p/>
    <w:p>
      <w:r>
        <w:t>8. Conclusion</w:t>
      </w:r>
    </w:p>
    <w:p>
      <w:r>
        <w:t>The model provides operational insights but should be used as decision support rather than automated clinical decision making.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