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Phase 4 — Explainability Summary</w:t>
      </w:r>
    </w:p>
    <w:p>
      <w:r>
        <w:t>Date: 2026-03-04</w:t>
      </w:r>
    </w:p>
    <w:p/>
    <w:p>
      <w:r>
        <w:t>1. Risk Model Explainability</w:t>
      </w:r>
    </w:p>
    <w:p>
      <w:r>
        <w:t xml:space="preserve">Feature importance analysis shows that multiple operational features contribute to predictions, with no single dominant variable. </w:t>
      </w:r>
    </w:p>
    <w:p>
      <w:r>
        <w:t>This indicates weak separation between risk classes.</w:t>
      </w:r>
    </w:p>
    <w:p/>
    <w:p>
      <w:r>
        <w:t>2. Claim Model Explainability</w:t>
      </w:r>
    </w:p>
    <w:p>
      <w:r>
        <w:t>Financial variables such as billed_amount, approved_amount, and payment_days strongly influence claim outcome predictions.</w:t>
      </w:r>
    </w:p>
    <w:p/>
    <w:p>
      <w:r>
        <w:t>3. Stakeholder Interpretation</w:t>
      </w:r>
    </w:p>
    <w:p>
      <w:r>
        <w:t>The Claim Model provides clear financial drivers, improving trust for finance teams.</w:t>
      </w:r>
    </w:p>
    <w:p>
      <w:r>
        <w:t>The Risk Model highlights the need for richer clinical data.</w:t>
      </w:r>
    </w:p>
    <w:p/>
    <w:p>
      <w:r>
        <w:t>4. Safety Considerations</w:t>
      </w:r>
    </w:p>
    <w:p>
      <w:r>
        <w:t>Both models are decision‑support tools and should not be used as the sole basis for medical or financial decisions.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