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A1D52" w14:textId="77777777" w:rsidR="00697AF8" w:rsidRDefault="00697AF8"/>
    <w:p w14:paraId="13438EBC" w14:textId="77777777" w:rsidR="00697AF8" w:rsidRDefault="00000000">
      <w:pPr>
        <w:jc w:val="center"/>
      </w:pPr>
      <w:r>
        <w:rPr>
          <w:b/>
          <w:color w:val="1F497D"/>
          <w:sz w:val="40"/>
        </w:rPr>
        <w:t>HEALTHCARE OPERATIONS &amp;</w:t>
      </w:r>
    </w:p>
    <w:p w14:paraId="21C781C3" w14:textId="77777777" w:rsidR="00697AF8" w:rsidRDefault="00000000">
      <w:pPr>
        <w:jc w:val="center"/>
      </w:pPr>
      <w:r>
        <w:rPr>
          <w:b/>
          <w:color w:val="1F497D"/>
          <w:sz w:val="40"/>
        </w:rPr>
        <w:t>REVENUE RISK INTELLIGENCE PLATFORM</w:t>
      </w:r>
    </w:p>
    <w:p w14:paraId="7DC9E9E8" w14:textId="77777777" w:rsidR="00697AF8" w:rsidRDefault="00697AF8"/>
    <w:p w14:paraId="461F61D7" w14:textId="77777777" w:rsidR="00697AF8" w:rsidRDefault="00000000">
      <w:pPr>
        <w:jc w:val="center"/>
      </w:pPr>
      <w:r>
        <w:rPr>
          <w:i/>
          <w:color w:val="404040"/>
          <w:sz w:val="26"/>
        </w:rPr>
        <w:t>Executive Business Insights Report</w:t>
      </w:r>
    </w:p>
    <w:p w14:paraId="3CF958FC" w14:textId="77777777" w:rsidR="00697AF8" w:rsidRDefault="00697AF8"/>
    <w:p w14:paraId="44D79A42" w14:textId="77777777" w:rsidR="00697AF8" w:rsidRDefault="00000000">
      <w:pPr>
        <w:jc w:val="center"/>
      </w:pPr>
      <w:r>
        <w:rPr>
          <w:color w:val="606060"/>
          <w:sz w:val="20"/>
        </w:rPr>
        <w:t>Prepared by: Prakash Ramasamy  |  AI &amp; ML Capstone  |  March 2026</w:t>
      </w:r>
    </w:p>
    <w:p w14:paraId="1E45A03C" w14:textId="77777777" w:rsidR="00697AF8" w:rsidRDefault="00000000">
      <w:r>
        <w:br w:type="page"/>
      </w:r>
    </w:p>
    <w:p w14:paraId="7020D17F" w14:textId="77777777" w:rsidR="00697AF8" w:rsidRDefault="00000000">
      <w:pPr>
        <w:pStyle w:val="Heading1"/>
        <w:spacing w:before="200" w:after="80"/>
      </w:pPr>
      <w:r>
        <w:rPr>
          <w:color w:val="1F497D"/>
          <w:sz w:val="30"/>
        </w:rPr>
        <w:lastRenderedPageBreak/>
        <w:t>1. Executive Summary</w:t>
      </w:r>
    </w:p>
    <w:p w14:paraId="3611DBB7" w14:textId="77777777" w:rsidR="00697AF8" w:rsidRDefault="00000000">
      <w:pPr>
        <w:spacing w:after="120"/>
      </w:pPr>
      <w:r>
        <w:rPr>
          <w:sz w:val="21"/>
        </w:rPr>
        <w:t>The Hospital Operations and Revenue Risk Intelligence Platform is a six-phase end-to-end AI system built on 25,000 patient visit records across six clinical departments and four insurance providers. The platform delivers two production-ready machine learning models — a Visit Risk Classifier and an Insurance Claim Outcome Predictor — deployed as a real-time REST API on AWS EC2 with a Gradio user interface, structured audit logging, and automated drift monitoring.</w:t>
      </w:r>
    </w:p>
    <w:p w14:paraId="6626C894" w14:textId="77777777" w:rsidR="00697AF8" w:rsidRDefault="00000000">
      <w:pPr>
        <w:spacing w:after="80"/>
      </w:pPr>
      <w:r>
        <w:rPr>
          <w:sz w:val="21"/>
        </w:rPr>
        <w:t>Three findings define the business case for leadership investment:</w:t>
      </w:r>
    </w:p>
    <w:p w14:paraId="78E9D271" w14:textId="77777777" w:rsidR="00697AF8" w:rsidRDefault="00000000">
      <w:pPr>
        <w:pStyle w:val="ListBullet"/>
        <w:spacing w:after="60"/>
      </w:pPr>
      <w:r>
        <w:rPr>
          <w:b/>
          <w:sz w:val="21"/>
        </w:rPr>
        <w:t xml:space="preserve">Revenue exposure: </w:t>
      </w:r>
      <w:r>
        <w:rPr>
          <w:sz w:val="21"/>
        </w:rPr>
        <w:t>$74.9 million in billed revenue is directly at risk from 3,797 rejected claims. A further $127.7 million sits in Pending status awaiting adjudication.</w:t>
      </w:r>
    </w:p>
    <w:p w14:paraId="3D3B42D8" w14:textId="77777777" w:rsidR="00697AF8" w:rsidRDefault="00000000">
      <w:pPr>
        <w:pStyle w:val="ListBullet"/>
        <w:spacing w:after="60"/>
      </w:pPr>
      <w:r>
        <w:rPr>
          <w:b/>
          <w:sz w:val="21"/>
        </w:rPr>
        <w:t xml:space="preserve">Payment delay: </w:t>
      </w:r>
      <w:r>
        <w:rPr>
          <w:sz w:val="21"/>
        </w:rPr>
        <w:t>2.0% of visits (509 cases) experience payment delays averaging 35 days — more than double the 13-day norm — indicating denial-management bottlenecks in the revenue cycle.</w:t>
      </w:r>
    </w:p>
    <w:p w14:paraId="258033CF" w14:textId="77777777" w:rsidR="00697AF8" w:rsidRDefault="00000000">
      <w:pPr>
        <w:pStyle w:val="ListBullet"/>
        <w:spacing w:after="60"/>
      </w:pPr>
      <w:r>
        <w:rPr>
          <w:b/>
          <w:sz w:val="21"/>
        </w:rPr>
        <w:t xml:space="preserve">AI opportunity: </w:t>
      </w:r>
      <w:r>
        <w:rPr>
          <w:sz w:val="21"/>
        </w:rPr>
        <w:t>The deployed AI system can flag high-risk visits and likely-rejected claims before submission, enabling proactive clinical and financial intervention at the point of care.</w:t>
      </w:r>
    </w:p>
    <w:p w14:paraId="42504FC9" w14:textId="77777777" w:rsidR="00697AF8" w:rsidRDefault="00697AF8"/>
    <w:p w14:paraId="1E11A5B8" w14:textId="77777777" w:rsidR="00697AF8" w:rsidRDefault="00000000">
      <w:pPr>
        <w:pStyle w:val="Heading1"/>
        <w:spacing w:before="200" w:after="80"/>
      </w:pPr>
      <w:r>
        <w:rPr>
          <w:color w:val="1F497D"/>
          <w:sz w:val="30"/>
        </w:rPr>
        <w:t>2. Key Operational &amp; Financial Findings</w:t>
      </w:r>
    </w:p>
    <w:p w14:paraId="260F3333" w14:textId="77777777" w:rsidR="00697AF8" w:rsidRDefault="00000000">
      <w:pPr>
        <w:pStyle w:val="Heading2"/>
        <w:spacing w:after="80"/>
      </w:pPr>
      <w:r>
        <w:rPr>
          <w:color w:val="1F497D"/>
          <w:sz w:val="24"/>
        </w:rPr>
        <w:t>2.1  Dataset Profile</w:t>
      </w:r>
    </w:p>
    <w:tbl>
      <w:tblPr>
        <w:tblStyle w:val="TableGrid"/>
        <w:tblW w:w="0" w:type="auto"/>
        <w:tblLook w:val="04A0" w:firstRow="1" w:lastRow="0" w:firstColumn="1" w:lastColumn="0" w:noHBand="0" w:noVBand="1"/>
      </w:tblPr>
      <w:tblGrid>
        <w:gridCol w:w="4320"/>
        <w:gridCol w:w="5040"/>
      </w:tblGrid>
      <w:tr w:rsidR="00697AF8" w14:paraId="32E2250D" w14:textId="77777777">
        <w:tc>
          <w:tcPr>
            <w:tcW w:w="4320" w:type="dxa"/>
            <w:shd w:val="clear" w:color="auto" w:fill="1F497D"/>
          </w:tcPr>
          <w:p w14:paraId="302BFD93" w14:textId="77777777" w:rsidR="00697AF8" w:rsidRDefault="00000000">
            <w:pPr>
              <w:jc w:val="center"/>
            </w:pPr>
            <w:r>
              <w:rPr>
                <w:b/>
                <w:color w:val="FFFFFF"/>
                <w:sz w:val="20"/>
              </w:rPr>
              <w:t>Metric</w:t>
            </w:r>
          </w:p>
        </w:tc>
        <w:tc>
          <w:tcPr>
            <w:tcW w:w="5040" w:type="dxa"/>
            <w:shd w:val="clear" w:color="auto" w:fill="1F497D"/>
          </w:tcPr>
          <w:p w14:paraId="22ABC646" w14:textId="77777777" w:rsidR="00697AF8" w:rsidRDefault="00000000">
            <w:pPr>
              <w:jc w:val="center"/>
            </w:pPr>
            <w:r>
              <w:rPr>
                <w:b/>
                <w:color w:val="FFFFFF"/>
                <w:sz w:val="20"/>
              </w:rPr>
              <w:t>Value</w:t>
            </w:r>
          </w:p>
        </w:tc>
      </w:tr>
      <w:tr w:rsidR="00697AF8" w14:paraId="6466C6C2" w14:textId="77777777">
        <w:tc>
          <w:tcPr>
            <w:tcW w:w="4320" w:type="dxa"/>
            <w:shd w:val="clear" w:color="auto" w:fill="FFFFFF"/>
          </w:tcPr>
          <w:p w14:paraId="28B4315A" w14:textId="77777777" w:rsidR="00697AF8" w:rsidRDefault="00000000">
            <w:pPr>
              <w:jc w:val="center"/>
            </w:pPr>
            <w:r>
              <w:rPr>
                <w:sz w:val="20"/>
              </w:rPr>
              <w:t>Total patient visits analysed</w:t>
            </w:r>
          </w:p>
        </w:tc>
        <w:tc>
          <w:tcPr>
            <w:tcW w:w="5040" w:type="dxa"/>
            <w:shd w:val="clear" w:color="auto" w:fill="FFFFFF"/>
          </w:tcPr>
          <w:p w14:paraId="23D60411" w14:textId="77777777" w:rsidR="00697AF8" w:rsidRDefault="00000000">
            <w:pPr>
              <w:jc w:val="center"/>
            </w:pPr>
            <w:r>
              <w:rPr>
                <w:sz w:val="20"/>
              </w:rPr>
              <w:t>25,000</w:t>
            </w:r>
          </w:p>
        </w:tc>
      </w:tr>
      <w:tr w:rsidR="00697AF8" w14:paraId="38321991" w14:textId="77777777">
        <w:tc>
          <w:tcPr>
            <w:tcW w:w="4320" w:type="dxa"/>
            <w:shd w:val="clear" w:color="auto" w:fill="DCE6F1"/>
          </w:tcPr>
          <w:p w14:paraId="55E3DE5C" w14:textId="77777777" w:rsidR="00697AF8" w:rsidRDefault="00000000">
            <w:pPr>
              <w:jc w:val="center"/>
            </w:pPr>
            <w:r>
              <w:rPr>
                <w:sz w:val="20"/>
              </w:rPr>
              <w:t>Clinical departments</w:t>
            </w:r>
          </w:p>
        </w:tc>
        <w:tc>
          <w:tcPr>
            <w:tcW w:w="5040" w:type="dxa"/>
            <w:shd w:val="clear" w:color="auto" w:fill="DCE6F1"/>
          </w:tcPr>
          <w:p w14:paraId="21D6601E" w14:textId="77777777" w:rsidR="00697AF8" w:rsidRDefault="00000000">
            <w:pPr>
              <w:jc w:val="center"/>
            </w:pPr>
            <w:r>
              <w:rPr>
                <w:sz w:val="20"/>
              </w:rPr>
              <w:t>6 (General, ER, Neurology, Orthopedics, Cardiology, ICU)</w:t>
            </w:r>
          </w:p>
        </w:tc>
      </w:tr>
      <w:tr w:rsidR="00697AF8" w14:paraId="6F40AB03" w14:textId="77777777">
        <w:tc>
          <w:tcPr>
            <w:tcW w:w="4320" w:type="dxa"/>
            <w:shd w:val="clear" w:color="auto" w:fill="FFFFFF"/>
          </w:tcPr>
          <w:p w14:paraId="750BB221" w14:textId="77777777" w:rsidR="00697AF8" w:rsidRDefault="00000000">
            <w:pPr>
              <w:jc w:val="center"/>
            </w:pPr>
            <w:r>
              <w:rPr>
                <w:sz w:val="20"/>
              </w:rPr>
              <w:t>Insurance providers</w:t>
            </w:r>
          </w:p>
        </w:tc>
        <w:tc>
          <w:tcPr>
            <w:tcW w:w="5040" w:type="dxa"/>
            <w:shd w:val="clear" w:color="auto" w:fill="FFFFFF"/>
          </w:tcPr>
          <w:p w14:paraId="5CBD8FC0" w14:textId="77777777" w:rsidR="00697AF8" w:rsidRDefault="00000000">
            <w:pPr>
              <w:jc w:val="center"/>
            </w:pPr>
            <w:r>
              <w:rPr>
                <w:sz w:val="20"/>
              </w:rPr>
              <w:t>4 (MediCareX, CareOne, HealthPlus, SecureLife)</w:t>
            </w:r>
          </w:p>
        </w:tc>
      </w:tr>
      <w:tr w:rsidR="00697AF8" w14:paraId="0E9932A8" w14:textId="77777777">
        <w:tc>
          <w:tcPr>
            <w:tcW w:w="4320" w:type="dxa"/>
            <w:shd w:val="clear" w:color="auto" w:fill="DCE6F1"/>
          </w:tcPr>
          <w:p w14:paraId="1EED925F" w14:textId="77777777" w:rsidR="00697AF8" w:rsidRDefault="00000000">
            <w:pPr>
              <w:jc w:val="center"/>
            </w:pPr>
            <w:r>
              <w:rPr>
                <w:sz w:val="20"/>
              </w:rPr>
              <w:t>Patients with chronic conditions</w:t>
            </w:r>
          </w:p>
        </w:tc>
        <w:tc>
          <w:tcPr>
            <w:tcW w:w="5040" w:type="dxa"/>
            <w:shd w:val="clear" w:color="auto" w:fill="DCE6F1"/>
          </w:tcPr>
          <w:p w14:paraId="1B14F8CB" w14:textId="77777777" w:rsidR="00697AF8" w:rsidRDefault="00000000">
            <w:pPr>
              <w:jc w:val="center"/>
            </w:pPr>
            <w:r>
              <w:rPr>
                <w:sz w:val="20"/>
              </w:rPr>
              <w:t>50.3%</w:t>
            </w:r>
          </w:p>
        </w:tc>
      </w:tr>
      <w:tr w:rsidR="00697AF8" w14:paraId="391BBB58" w14:textId="77777777">
        <w:tc>
          <w:tcPr>
            <w:tcW w:w="4320" w:type="dxa"/>
            <w:shd w:val="clear" w:color="auto" w:fill="FFFFFF"/>
          </w:tcPr>
          <w:p w14:paraId="2638FF45" w14:textId="77777777" w:rsidR="00697AF8" w:rsidRDefault="00000000">
            <w:pPr>
              <w:jc w:val="center"/>
            </w:pPr>
            <w:r>
              <w:rPr>
                <w:sz w:val="20"/>
              </w:rPr>
              <w:t>Average length of stay</w:t>
            </w:r>
          </w:p>
        </w:tc>
        <w:tc>
          <w:tcPr>
            <w:tcW w:w="5040" w:type="dxa"/>
            <w:shd w:val="clear" w:color="auto" w:fill="FFFFFF"/>
          </w:tcPr>
          <w:p w14:paraId="73A5C24B" w14:textId="77777777" w:rsidR="00697AF8" w:rsidRDefault="00000000">
            <w:pPr>
              <w:jc w:val="center"/>
            </w:pPr>
            <w:r>
              <w:rPr>
                <w:sz w:val="20"/>
              </w:rPr>
              <w:t>19.6 hours</w:t>
            </w:r>
          </w:p>
        </w:tc>
      </w:tr>
      <w:tr w:rsidR="00697AF8" w14:paraId="4C995D6E" w14:textId="77777777">
        <w:tc>
          <w:tcPr>
            <w:tcW w:w="4320" w:type="dxa"/>
            <w:shd w:val="clear" w:color="auto" w:fill="DCE6F1"/>
          </w:tcPr>
          <w:p w14:paraId="77EF01CC" w14:textId="77777777" w:rsidR="00697AF8" w:rsidRDefault="00000000">
            <w:pPr>
              <w:jc w:val="center"/>
            </w:pPr>
            <w:r>
              <w:rPr>
                <w:sz w:val="20"/>
              </w:rPr>
              <w:t>High-frequency patients (&gt;8 visits)</w:t>
            </w:r>
          </w:p>
        </w:tc>
        <w:tc>
          <w:tcPr>
            <w:tcW w:w="5040" w:type="dxa"/>
            <w:shd w:val="clear" w:color="auto" w:fill="DCE6F1"/>
          </w:tcPr>
          <w:p w14:paraId="2724DF5B" w14:textId="77777777" w:rsidR="00697AF8" w:rsidRDefault="00000000">
            <w:pPr>
              <w:jc w:val="center"/>
            </w:pPr>
            <w:r>
              <w:rPr>
                <w:sz w:val="20"/>
              </w:rPr>
              <w:t>3,184</w:t>
            </w:r>
          </w:p>
        </w:tc>
      </w:tr>
    </w:tbl>
    <w:p w14:paraId="32A227B8" w14:textId="77777777" w:rsidR="00697AF8" w:rsidRDefault="00697AF8"/>
    <w:p w14:paraId="11DA80C2" w14:textId="77777777" w:rsidR="00697AF8" w:rsidRDefault="00000000">
      <w:pPr>
        <w:pStyle w:val="Heading2"/>
        <w:spacing w:after="80"/>
      </w:pPr>
      <w:r>
        <w:rPr>
          <w:color w:val="1F497D"/>
          <w:sz w:val="24"/>
        </w:rPr>
        <w:t>2.2  Financial Performance</w:t>
      </w:r>
    </w:p>
    <w:tbl>
      <w:tblPr>
        <w:tblStyle w:val="TableGrid"/>
        <w:tblW w:w="0" w:type="auto"/>
        <w:tblLook w:val="04A0" w:firstRow="1" w:lastRow="0" w:firstColumn="1" w:lastColumn="0" w:noHBand="0" w:noVBand="1"/>
      </w:tblPr>
      <w:tblGrid>
        <w:gridCol w:w="5040"/>
        <w:gridCol w:w="4320"/>
      </w:tblGrid>
      <w:tr w:rsidR="00697AF8" w14:paraId="3DF80BF9" w14:textId="77777777">
        <w:tc>
          <w:tcPr>
            <w:tcW w:w="5040" w:type="dxa"/>
            <w:shd w:val="clear" w:color="auto" w:fill="1F497D"/>
          </w:tcPr>
          <w:p w14:paraId="068A4DD3" w14:textId="77777777" w:rsidR="00697AF8" w:rsidRDefault="00000000">
            <w:pPr>
              <w:jc w:val="center"/>
            </w:pPr>
            <w:r>
              <w:rPr>
                <w:b/>
                <w:color w:val="FFFFFF"/>
                <w:sz w:val="20"/>
              </w:rPr>
              <w:t>Financial Metric</w:t>
            </w:r>
          </w:p>
        </w:tc>
        <w:tc>
          <w:tcPr>
            <w:tcW w:w="4320" w:type="dxa"/>
            <w:shd w:val="clear" w:color="auto" w:fill="1F497D"/>
          </w:tcPr>
          <w:p w14:paraId="02D845BD" w14:textId="77777777" w:rsidR="00697AF8" w:rsidRDefault="00000000">
            <w:pPr>
              <w:jc w:val="center"/>
            </w:pPr>
            <w:r>
              <w:rPr>
                <w:b/>
                <w:color w:val="FFFFFF"/>
                <w:sz w:val="20"/>
              </w:rPr>
              <w:t>Amount</w:t>
            </w:r>
          </w:p>
        </w:tc>
      </w:tr>
      <w:tr w:rsidR="00697AF8" w14:paraId="2BF9D172" w14:textId="77777777">
        <w:tc>
          <w:tcPr>
            <w:tcW w:w="5040" w:type="dxa"/>
            <w:shd w:val="clear" w:color="auto" w:fill="FFFFFF"/>
          </w:tcPr>
          <w:p w14:paraId="6FF01EA8" w14:textId="77777777" w:rsidR="00697AF8" w:rsidRDefault="00000000">
            <w:pPr>
              <w:jc w:val="center"/>
            </w:pPr>
            <w:r>
              <w:rPr>
                <w:sz w:val="20"/>
              </w:rPr>
              <w:t>Total revenue billed across all visits</w:t>
            </w:r>
          </w:p>
        </w:tc>
        <w:tc>
          <w:tcPr>
            <w:tcW w:w="4320" w:type="dxa"/>
            <w:shd w:val="clear" w:color="auto" w:fill="FFFFFF"/>
          </w:tcPr>
          <w:p w14:paraId="69D503A5" w14:textId="77777777" w:rsidR="00697AF8" w:rsidRDefault="00000000">
            <w:pPr>
              <w:jc w:val="center"/>
            </w:pPr>
            <w:r>
              <w:rPr>
                <w:sz w:val="20"/>
              </w:rPr>
              <w:t>$521.8 million</w:t>
            </w:r>
          </w:p>
        </w:tc>
      </w:tr>
      <w:tr w:rsidR="00697AF8" w14:paraId="08237A23" w14:textId="77777777">
        <w:tc>
          <w:tcPr>
            <w:tcW w:w="5040" w:type="dxa"/>
            <w:shd w:val="clear" w:color="auto" w:fill="DCE6F1"/>
          </w:tcPr>
          <w:p w14:paraId="29E4C999" w14:textId="77777777" w:rsidR="00697AF8" w:rsidRDefault="00000000">
            <w:pPr>
              <w:jc w:val="center"/>
            </w:pPr>
            <w:r>
              <w:rPr>
                <w:sz w:val="20"/>
              </w:rPr>
              <w:t>Total revenue approved by insurers</w:t>
            </w:r>
          </w:p>
        </w:tc>
        <w:tc>
          <w:tcPr>
            <w:tcW w:w="4320" w:type="dxa"/>
            <w:shd w:val="clear" w:color="auto" w:fill="DCE6F1"/>
          </w:tcPr>
          <w:p w14:paraId="4916BB7D" w14:textId="77777777" w:rsidR="00697AF8" w:rsidRDefault="00000000">
            <w:pPr>
              <w:jc w:val="center"/>
            </w:pPr>
            <w:r>
              <w:rPr>
                <w:sz w:val="20"/>
              </w:rPr>
              <w:t>$387.2 million</w:t>
            </w:r>
          </w:p>
        </w:tc>
      </w:tr>
      <w:tr w:rsidR="00697AF8" w14:paraId="01B2857B" w14:textId="77777777">
        <w:tc>
          <w:tcPr>
            <w:tcW w:w="5040" w:type="dxa"/>
            <w:shd w:val="clear" w:color="auto" w:fill="FFFFFF"/>
          </w:tcPr>
          <w:p w14:paraId="54114E61" w14:textId="77777777" w:rsidR="00697AF8" w:rsidRDefault="00000000">
            <w:pPr>
              <w:jc w:val="center"/>
            </w:pPr>
            <w:r>
              <w:rPr>
                <w:sz w:val="20"/>
              </w:rPr>
              <w:t>Revenue from rejected claims (direct loss)</w:t>
            </w:r>
          </w:p>
        </w:tc>
        <w:tc>
          <w:tcPr>
            <w:tcW w:w="4320" w:type="dxa"/>
            <w:shd w:val="clear" w:color="auto" w:fill="FFFFFF"/>
          </w:tcPr>
          <w:p w14:paraId="36F8CBE3" w14:textId="77777777" w:rsidR="00697AF8" w:rsidRDefault="00000000">
            <w:pPr>
              <w:jc w:val="center"/>
            </w:pPr>
            <w:r>
              <w:rPr>
                <w:sz w:val="20"/>
              </w:rPr>
              <w:t>$74.9 million</w:t>
            </w:r>
          </w:p>
        </w:tc>
      </w:tr>
      <w:tr w:rsidR="00697AF8" w14:paraId="200DB4A6" w14:textId="77777777">
        <w:tc>
          <w:tcPr>
            <w:tcW w:w="5040" w:type="dxa"/>
            <w:shd w:val="clear" w:color="auto" w:fill="DCE6F1"/>
          </w:tcPr>
          <w:p w14:paraId="38B77422" w14:textId="77777777" w:rsidR="00697AF8" w:rsidRDefault="00000000">
            <w:pPr>
              <w:jc w:val="center"/>
            </w:pPr>
            <w:r>
              <w:rPr>
                <w:sz w:val="20"/>
              </w:rPr>
              <w:t>Revenue at risk in pending claims</w:t>
            </w:r>
          </w:p>
        </w:tc>
        <w:tc>
          <w:tcPr>
            <w:tcW w:w="4320" w:type="dxa"/>
            <w:shd w:val="clear" w:color="auto" w:fill="DCE6F1"/>
          </w:tcPr>
          <w:p w14:paraId="70EF1BE3" w14:textId="77777777" w:rsidR="00697AF8" w:rsidRDefault="00000000">
            <w:pPr>
              <w:jc w:val="center"/>
            </w:pPr>
            <w:r>
              <w:rPr>
                <w:sz w:val="20"/>
              </w:rPr>
              <w:t>$127.7 million</w:t>
            </w:r>
          </w:p>
        </w:tc>
      </w:tr>
      <w:tr w:rsidR="00697AF8" w14:paraId="569DABE2" w14:textId="77777777">
        <w:tc>
          <w:tcPr>
            <w:tcW w:w="5040" w:type="dxa"/>
            <w:shd w:val="clear" w:color="auto" w:fill="FFFFFF"/>
          </w:tcPr>
          <w:p w14:paraId="48D80E69" w14:textId="77777777" w:rsidR="00697AF8" w:rsidRDefault="00000000">
            <w:pPr>
              <w:jc w:val="center"/>
            </w:pPr>
            <w:r>
              <w:rPr>
                <w:sz w:val="20"/>
              </w:rPr>
              <w:t>Average billed — Paid claims</w:t>
            </w:r>
          </w:p>
        </w:tc>
        <w:tc>
          <w:tcPr>
            <w:tcW w:w="4320" w:type="dxa"/>
            <w:shd w:val="clear" w:color="auto" w:fill="FFFFFF"/>
          </w:tcPr>
          <w:p w14:paraId="23AD9E46" w14:textId="77777777" w:rsidR="00697AF8" w:rsidRDefault="00000000">
            <w:pPr>
              <w:jc w:val="center"/>
            </w:pPr>
            <w:r>
              <w:rPr>
                <w:sz w:val="20"/>
              </w:rPr>
              <w:t>$21,364</w:t>
            </w:r>
          </w:p>
        </w:tc>
      </w:tr>
      <w:tr w:rsidR="00697AF8" w14:paraId="01D626FC" w14:textId="77777777">
        <w:tc>
          <w:tcPr>
            <w:tcW w:w="5040" w:type="dxa"/>
            <w:shd w:val="clear" w:color="auto" w:fill="DCE6F1"/>
          </w:tcPr>
          <w:p w14:paraId="79D7EFBD" w14:textId="77777777" w:rsidR="00697AF8" w:rsidRDefault="00000000">
            <w:pPr>
              <w:jc w:val="center"/>
            </w:pPr>
            <w:r>
              <w:rPr>
                <w:sz w:val="20"/>
              </w:rPr>
              <w:t>Average billed — Rejected claims</w:t>
            </w:r>
          </w:p>
        </w:tc>
        <w:tc>
          <w:tcPr>
            <w:tcW w:w="4320" w:type="dxa"/>
            <w:shd w:val="clear" w:color="auto" w:fill="DCE6F1"/>
          </w:tcPr>
          <w:p w14:paraId="6C15226A" w14:textId="77777777" w:rsidR="00697AF8" w:rsidRDefault="00000000">
            <w:pPr>
              <w:jc w:val="center"/>
            </w:pPr>
            <w:r>
              <w:rPr>
                <w:sz w:val="20"/>
              </w:rPr>
              <w:t>$19,723</w:t>
            </w:r>
          </w:p>
        </w:tc>
      </w:tr>
    </w:tbl>
    <w:p w14:paraId="0FA2495F" w14:textId="77777777" w:rsidR="00697AF8" w:rsidRDefault="00697AF8"/>
    <w:p w14:paraId="5FE5815A" w14:textId="77777777" w:rsidR="00697AF8" w:rsidRDefault="00000000">
      <w:pPr>
        <w:pStyle w:val="Heading2"/>
        <w:spacing w:after="80"/>
      </w:pPr>
      <w:r>
        <w:rPr>
          <w:color w:val="1F497D"/>
          <w:sz w:val="24"/>
        </w:rPr>
        <w:t>2.3  Claim Outcome Distribution</w:t>
      </w:r>
    </w:p>
    <w:tbl>
      <w:tblPr>
        <w:tblStyle w:val="TableGrid"/>
        <w:tblW w:w="0" w:type="auto"/>
        <w:tblLook w:val="04A0" w:firstRow="1" w:lastRow="0" w:firstColumn="1" w:lastColumn="0" w:noHBand="0" w:noVBand="1"/>
      </w:tblPr>
      <w:tblGrid>
        <w:gridCol w:w="2016"/>
        <w:gridCol w:w="1440"/>
        <w:gridCol w:w="1152"/>
        <w:gridCol w:w="4752"/>
      </w:tblGrid>
      <w:tr w:rsidR="00697AF8" w14:paraId="07E6ED5F" w14:textId="77777777">
        <w:tc>
          <w:tcPr>
            <w:tcW w:w="2016" w:type="dxa"/>
            <w:shd w:val="clear" w:color="auto" w:fill="1F497D"/>
          </w:tcPr>
          <w:p w14:paraId="02A04140" w14:textId="77777777" w:rsidR="00697AF8" w:rsidRDefault="00000000">
            <w:pPr>
              <w:jc w:val="center"/>
            </w:pPr>
            <w:r>
              <w:rPr>
                <w:b/>
                <w:color w:val="FFFFFF"/>
                <w:sz w:val="20"/>
              </w:rPr>
              <w:t>Status</w:t>
            </w:r>
          </w:p>
        </w:tc>
        <w:tc>
          <w:tcPr>
            <w:tcW w:w="1440" w:type="dxa"/>
            <w:shd w:val="clear" w:color="auto" w:fill="1F497D"/>
          </w:tcPr>
          <w:p w14:paraId="58F3E8C6" w14:textId="77777777" w:rsidR="00697AF8" w:rsidRDefault="00000000">
            <w:pPr>
              <w:jc w:val="center"/>
            </w:pPr>
            <w:r>
              <w:rPr>
                <w:b/>
                <w:color w:val="FFFFFF"/>
                <w:sz w:val="20"/>
              </w:rPr>
              <w:t>Count</w:t>
            </w:r>
          </w:p>
        </w:tc>
        <w:tc>
          <w:tcPr>
            <w:tcW w:w="1152" w:type="dxa"/>
            <w:shd w:val="clear" w:color="auto" w:fill="1F497D"/>
          </w:tcPr>
          <w:p w14:paraId="2035DA70" w14:textId="77777777" w:rsidR="00697AF8" w:rsidRDefault="00000000">
            <w:pPr>
              <w:jc w:val="center"/>
            </w:pPr>
            <w:r>
              <w:rPr>
                <w:b/>
                <w:color w:val="FFFFFF"/>
                <w:sz w:val="20"/>
              </w:rPr>
              <w:t>%</w:t>
            </w:r>
          </w:p>
        </w:tc>
        <w:tc>
          <w:tcPr>
            <w:tcW w:w="4752" w:type="dxa"/>
            <w:shd w:val="clear" w:color="auto" w:fill="1F497D"/>
          </w:tcPr>
          <w:p w14:paraId="4D09B162" w14:textId="77777777" w:rsidR="00697AF8" w:rsidRDefault="00000000">
            <w:pPr>
              <w:jc w:val="center"/>
            </w:pPr>
            <w:r>
              <w:rPr>
                <w:b/>
                <w:color w:val="FFFFFF"/>
                <w:sz w:val="20"/>
              </w:rPr>
              <w:t>Business Implication</w:t>
            </w:r>
          </w:p>
        </w:tc>
      </w:tr>
      <w:tr w:rsidR="00697AF8" w14:paraId="2F9B30BB" w14:textId="77777777">
        <w:tc>
          <w:tcPr>
            <w:tcW w:w="2016" w:type="dxa"/>
            <w:shd w:val="clear" w:color="auto" w:fill="FFFFFF"/>
          </w:tcPr>
          <w:p w14:paraId="412D1726" w14:textId="77777777" w:rsidR="00697AF8" w:rsidRDefault="00000000">
            <w:pPr>
              <w:jc w:val="center"/>
            </w:pPr>
            <w:r>
              <w:rPr>
                <w:sz w:val="20"/>
              </w:rPr>
              <w:t>Paid</w:t>
            </w:r>
          </w:p>
        </w:tc>
        <w:tc>
          <w:tcPr>
            <w:tcW w:w="1440" w:type="dxa"/>
            <w:shd w:val="clear" w:color="auto" w:fill="FFFFFF"/>
          </w:tcPr>
          <w:p w14:paraId="79DDEB23" w14:textId="77777777" w:rsidR="00697AF8" w:rsidRDefault="00000000">
            <w:pPr>
              <w:jc w:val="center"/>
            </w:pPr>
            <w:r>
              <w:rPr>
                <w:sz w:val="20"/>
              </w:rPr>
              <w:t>14,940</w:t>
            </w:r>
          </w:p>
        </w:tc>
        <w:tc>
          <w:tcPr>
            <w:tcW w:w="1152" w:type="dxa"/>
            <w:shd w:val="clear" w:color="auto" w:fill="FFFFFF"/>
          </w:tcPr>
          <w:p w14:paraId="519291DA" w14:textId="77777777" w:rsidR="00697AF8" w:rsidRDefault="00000000">
            <w:pPr>
              <w:jc w:val="center"/>
            </w:pPr>
            <w:r>
              <w:rPr>
                <w:sz w:val="20"/>
              </w:rPr>
              <w:t>59.8%</w:t>
            </w:r>
          </w:p>
        </w:tc>
        <w:tc>
          <w:tcPr>
            <w:tcW w:w="4752" w:type="dxa"/>
            <w:shd w:val="clear" w:color="auto" w:fill="FFFFFF"/>
          </w:tcPr>
          <w:p w14:paraId="7EF24703" w14:textId="77777777" w:rsidR="00697AF8" w:rsidRDefault="00000000">
            <w:pPr>
              <w:jc w:val="center"/>
            </w:pPr>
            <w:r>
              <w:rPr>
                <w:sz w:val="20"/>
              </w:rPr>
              <w:t>Revenue collected and closed</w:t>
            </w:r>
          </w:p>
        </w:tc>
      </w:tr>
      <w:tr w:rsidR="00697AF8" w14:paraId="0D4EE90C" w14:textId="77777777">
        <w:tc>
          <w:tcPr>
            <w:tcW w:w="2016" w:type="dxa"/>
            <w:shd w:val="clear" w:color="auto" w:fill="DCE6F1"/>
          </w:tcPr>
          <w:p w14:paraId="6FA94C79" w14:textId="77777777" w:rsidR="00697AF8" w:rsidRDefault="00000000">
            <w:pPr>
              <w:jc w:val="center"/>
            </w:pPr>
            <w:r>
              <w:rPr>
                <w:sz w:val="20"/>
              </w:rPr>
              <w:t>Pending</w:t>
            </w:r>
          </w:p>
        </w:tc>
        <w:tc>
          <w:tcPr>
            <w:tcW w:w="1440" w:type="dxa"/>
            <w:shd w:val="clear" w:color="auto" w:fill="DCE6F1"/>
          </w:tcPr>
          <w:p w14:paraId="4CE7B64B" w14:textId="77777777" w:rsidR="00697AF8" w:rsidRDefault="00000000">
            <w:pPr>
              <w:jc w:val="center"/>
            </w:pPr>
            <w:r>
              <w:rPr>
                <w:sz w:val="20"/>
              </w:rPr>
              <w:t>6,263</w:t>
            </w:r>
          </w:p>
        </w:tc>
        <w:tc>
          <w:tcPr>
            <w:tcW w:w="1152" w:type="dxa"/>
            <w:shd w:val="clear" w:color="auto" w:fill="DCE6F1"/>
          </w:tcPr>
          <w:p w14:paraId="70492A4B" w14:textId="77777777" w:rsidR="00697AF8" w:rsidRDefault="00000000">
            <w:pPr>
              <w:jc w:val="center"/>
            </w:pPr>
            <w:r>
              <w:rPr>
                <w:sz w:val="20"/>
              </w:rPr>
              <w:t>25.1%</w:t>
            </w:r>
          </w:p>
        </w:tc>
        <w:tc>
          <w:tcPr>
            <w:tcW w:w="4752" w:type="dxa"/>
            <w:shd w:val="clear" w:color="auto" w:fill="DCE6F1"/>
          </w:tcPr>
          <w:p w14:paraId="41E8714A" w14:textId="77777777" w:rsidR="00697AF8" w:rsidRDefault="00000000">
            <w:pPr>
              <w:jc w:val="center"/>
            </w:pPr>
            <w:r>
              <w:rPr>
                <w:sz w:val="20"/>
              </w:rPr>
              <w:t>$127.7M awaiting insurer decision</w:t>
            </w:r>
          </w:p>
        </w:tc>
      </w:tr>
      <w:tr w:rsidR="00697AF8" w14:paraId="104E931A" w14:textId="77777777">
        <w:tc>
          <w:tcPr>
            <w:tcW w:w="2016" w:type="dxa"/>
            <w:shd w:val="clear" w:color="auto" w:fill="FFFFFF"/>
          </w:tcPr>
          <w:p w14:paraId="274F1793" w14:textId="77777777" w:rsidR="00697AF8" w:rsidRDefault="00000000">
            <w:pPr>
              <w:jc w:val="center"/>
            </w:pPr>
            <w:r>
              <w:rPr>
                <w:sz w:val="20"/>
              </w:rPr>
              <w:t>Rejected</w:t>
            </w:r>
          </w:p>
        </w:tc>
        <w:tc>
          <w:tcPr>
            <w:tcW w:w="1440" w:type="dxa"/>
            <w:shd w:val="clear" w:color="auto" w:fill="FFFFFF"/>
          </w:tcPr>
          <w:p w14:paraId="20482E4F" w14:textId="77777777" w:rsidR="00697AF8" w:rsidRDefault="00000000">
            <w:pPr>
              <w:jc w:val="center"/>
            </w:pPr>
            <w:r>
              <w:rPr>
                <w:sz w:val="20"/>
              </w:rPr>
              <w:t>3,797</w:t>
            </w:r>
          </w:p>
        </w:tc>
        <w:tc>
          <w:tcPr>
            <w:tcW w:w="1152" w:type="dxa"/>
            <w:shd w:val="clear" w:color="auto" w:fill="FFFFFF"/>
          </w:tcPr>
          <w:p w14:paraId="0C254041" w14:textId="77777777" w:rsidR="00697AF8" w:rsidRDefault="00000000">
            <w:pPr>
              <w:jc w:val="center"/>
            </w:pPr>
            <w:r>
              <w:rPr>
                <w:sz w:val="20"/>
              </w:rPr>
              <w:t>15.2%</w:t>
            </w:r>
          </w:p>
        </w:tc>
        <w:tc>
          <w:tcPr>
            <w:tcW w:w="4752" w:type="dxa"/>
            <w:shd w:val="clear" w:color="auto" w:fill="FFFFFF"/>
          </w:tcPr>
          <w:p w14:paraId="0C1EAFE5" w14:textId="77777777" w:rsidR="00697AF8" w:rsidRDefault="00000000">
            <w:pPr>
              <w:jc w:val="center"/>
            </w:pPr>
            <w:r>
              <w:rPr>
                <w:sz w:val="20"/>
              </w:rPr>
              <w:t>$74.9M direct revenue loss</w:t>
            </w:r>
          </w:p>
        </w:tc>
      </w:tr>
    </w:tbl>
    <w:p w14:paraId="316DF4AF" w14:textId="77777777" w:rsidR="00697AF8" w:rsidRDefault="00697AF8"/>
    <w:p w14:paraId="66626AF0" w14:textId="77777777" w:rsidR="009F2216" w:rsidRDefault="009F2216"/>
    <w:p w14:paraId="6250A5CE" w14:textId="77777777" w:rsidR="00697AF8" w:rsidRDefault="00000000">
      <w:pPr>
        <w:pStyle w:val="Heading2"/>
        <w:spacing w:after="80"/>
      </w:pPr>
      <w:r>
        <w:rPr>
          <w:color w:val="1F497D"/>
          <w:sz w:val="24"/>
        </w:rPr>
        <w:lastRenderedPageBreak/>
        <w:t>2.4  Rejection Rate by Department</w:t>
      </w:r>
    </w:p>
    <w:tbl>
      <w:tblPr>
        <w:tblStyle w:val="TableGrid"/>
        <w:tblW w:w="0" w:type="auto"/>
        <w:tblLook w:val="04A0" w:firstRow="1" w:lastRow="0" w:firstColumn="1" w:lastColumn="0" w:noHBand="0" w:noVBand="1"/>
      </w:tblPr>
      <w:tblGrid>
        <w:gridCol w:w="2304"/>
        <w:gridCol w:w="2304"/>
        <w:gridCol w:w="2304"/>
        <w:gridCol w:w="2304"/>
      </w:tblGrid>
      <w:tr w:rsidR="00697AF8" w14:paraId="46F42F20" w14:textId="77777777">
        <w:tc>
          <w:tcPr>
            <w:tcW w:w="2304" w:type="dxa"/>
            <w:shd w:val="clear" w:color="auto" w:fill="1F497D"/>
          </w:tcPr>
          <w:p w14:paraId="4AF5AD92" w14:textId="77777777" w:rsidR="00697AF8" w:rsidRDefault="00000000">
            <w:pPr>
              <w:jc w:val="center"/>
            </w:pPr>
            <w:r>
              <w:rPr>
                <w:b/>
                <w:color w:val="FFFFFF"/>
                <w:sz w:val="20"/>
              </w:rPr>
              <w:t>Department</w:t>
            </w:r>
          </w:p>
        </w:tc>
        <w:tc>
          <w:tcPr>
            <w:tcW w:w="2304" w:type="dxa"/>
            <w:shd w:val="clear" w:color="auto" w:fill="1F497D"/>
          </w:tcPr>
          <w:p w14:paraId="4E109CCB" w14:textId="77777777" w:rsidR="00697AF8" w:rsidRDefault="00000000">
            <w:pPr>
              <w:jc w:val="center"/>
            </w:pPr>
            <w:r>
              <w:rPr>
                <w:b/>
                <w:color w:val="FFFFFF"/>
                <w:sz w:val="20"/>
              </w:rPr>
              <w:t>High-Risk Visits</w:t>
            </w:r>
          </w:p>
        </w:tc>
        <w:tc>
          <w:tcPr>
            <w:tcW w:w="2304" w:type="dxa"/>
            <w:shd w:val="clear" w:color="auto" w:fill="1F497D"/>
          </w:tcPr>
          <w:p w14:paraId="6E5C0105" w14:textId="77777777" w:rsidR="00697AF8" w:rsidRDefault="00000000">
            <w:pPr>
              <w:jc w:val="center"/>
            </w:pPr>
            <w:r>
              <w:rPr>
                <w:b/>
                <w:color w:val="FFFFFF"/>
                <w:sz w:val="20"/>
              </w:rPr>
              <w:t>Rejected Claims</w:t>
            </w:r>
          </w:p>
        </w:tc>
        <w:tc>
          <w:tcPr>
            <w:tcW w:w="2304" w:type="dxa"/>
            <w:shd w:val="clear" w:color="auto" w:fill="1F497D"/>
          </w:tcPr>
          <w:p w14:paraId="5A9FFE86" w14:textId="77777777" w:rsidR="00697AF8" w:rsidRDefault="00000000">
            <w:pPr>
              <w:jc w:val="center"/>
            </w:pPr>
            <w:r>
              <w:rPr>
                <w:b/>
                <w:color w:val="FFFFFF"/>
                <w:sz w:val="20"/>
              </w:rPr>
              <w:t>Rejection Rate</w:t>
            </w:r>
          </w:p>
        </w:tc>
      </w:tr>
      <w:tr w:rsidR="00697AF8" w14:paraId="7EA56EDE" w14:textId="77777777">
        <w:tc>
          <w:tcPr>
            <w:tcW w:w="2304" w:type="dxa"/>
            <w:shd w:val="clear" w:color="auto" w:fill="FFFFFF"/>
          </w:tcPr>
          <w:p w14:paraId="20C0AD4D" w14:textId="77777777" w:rsidR="00697AF8" w:rsidRDefault="00000000">
            <w:pPr>
              <w:jc w:val="center"/>
            </w:pPr>
            <w:r>
              <w:rPr>
                <w:sz w:val="20"/>
              </w:rPr>
              <w:t>Orthopedics</w:t>
            </w:r>
          </w:p>
        </w:tc>
        <w:tc>
          <w:tcPr>
            <w:tcW w:w="2304" w:type="dxa"/>
            <w:shd w:val="clear" w:color="auto" w:fill="FFFFFF"/>
          </w:tcPr>
          <w:p w14:paraId="1AC5322D" w14:textId="77777777" w:rsidR="00697AF8" w:rsidRDefault="00000000">
            <w:pPr>
              <w:jc w:val="center"/>
            </w:pPr>
            <w:r>
              <w:rPr>
                <w:sz w:val="20"/>
              </w:rPr>
              <w:t>842</w:t>
            </w:r>
          </w:p>
        </w:tc>
        <w:tc>
          <w:tcPr>
            <w:tcW w:w="2304" w:type="dxa"/>
            <w:shd w:val="clear" w:color="auto" w:fill="FFFFFF"/>
          </w:tcPr>
          <w:p w14:paraId="1A229B9A" w14:textId="77777777" w:rsidR="00697AF8" w:rsidRDefault="00000000">
            <w:pPr>
              <w:jc w:val="center"/>
            </w:pPr>
            <w:r>
              <w:rPr>
                <w:sz w:val="20"/>
              </w:rPr>
              <w:t>651</w:t>
            </w:r>
          </w:p>
        </w:tc>
        <w:tc>
          <w:tcPr>
            <w:tcW w:w="2304" w:type="dxa"/>
            <w:shd w:val="clear" w:color="auto" w:fill="FFFFFF"/>
          </w:tcPr>
          <w:p w14:paraId="3CB81FB6" w14:textId="77777777" w:rsidR="00697AF8" w:rsidRDefault="00000000">
            <w:pPr>
              <w:jc w:val="center"/>
            </w:pPr>
            <w:r>
              <w:rPr>
                <w:sz w:val="20"/>
              </w:rPr>
              <w:t>15.6%</w:t>
            </w:r>
          </w:p>
        </w:tc>
      </w:tr>
      <w:tr w:rsidR="00697AF8" w14:paraId="037A5C27" w14:textId="77777777">
        <w:tc>
          <w:tcPr>
            <w:tcW w:w="2304" w:type="dxa"/>
            <w:shd w:val="clear" w:color="auto" w:fill="DCE6F1"/>
          </w:tcPr>
          <w:p w14:paraId="2B9B2E1D" w14:textId="77777777" w:rsidR="00697AF8" w:rsidRDefault="00000000">
            <w:pPr>
              <w:jc w:val="center"/>
            </w:pPr>
            <w:r>
              <w:rPr>
                <w:sz w:val="20"/>
              </w:rPr>
              <w:t>Cardiology</w:t>
            </w:r>
          </w:p>
        </w:tc>
        <w:tc>
          <w:tcPr>
            <w:tcW w:w="2304" w:type="dxa"/>
            <w:shd w:val="clear" w:color="auto" w:fill="DCE6F1"/>
          </w:tcPr>
          <w:p w14:paraId="7B44E4ED" w14:textId="77777777" w:rsidR="00697AF8" w:rsidRDefault="00000000">
            <w:pPr>
              <w:jc w:val="center"/>
            </w:pPr>
            <w:r>
              <w:rPr>
                <w:sz w:val="20"/>
              </w:rPr>
              <w:t>790</w:t>
            </w:r>
          </w:p>
        </w:tc>
        <w:tc>
          <w:tcPr>
            <w:tcW w:w="2304" w:type="dxa"/>
            <w:shd w:val="clear" w:color="auto" w:fill="DCE6F1"/>
          </w:tcPr>
          <w:p w14:paraId="1D0F4280" w14:textId="77777777" w:rsidR="00697AF8" w:rsidRDefault="00000000">
            <w:pPr>
              <w:jc w:val="center"/>
            </w:pPr>
            <w:r>
              <w:rPr>
                <w:sz w:val="20"/>
              </w:rPr>
              <w:t>649</w:t>
            </w:r>
          </w:p>
        </w:tc>
        <w:tc>
          <w:tcPr>
            <w:tcW w:w="2304" w:type="dxa"/>
            <w:shd w:val="clear" w:color="auto" w:fill="DCE6F1"/>
          </w:tcPr>
          <w:p w14:paraId="6D76D947" w14:textId="77777777" w:rsidR="00697AF8" w:rsidRDefault="00000000">
            <w:pPr>
              <w:jc w:val="center"/>
            </w:pPr>
            <w:r>
              <w:rPr>
                <w:sz w:val="20"/>
              </w:rPr>
              <w:t>15.6%</w:t>
            </w:r>
          </w:p>
        </w:tc>
      </w:tr>
      <w:tr w:rsidR="00697AF8" w14:paraId="2E624CD7" w14:textId="77777777">
        <w:tc>
          <w:tcPr>
            <w:tcW w:w="2304" w:type="dxa"/>
            <w:shd w:val="clear" w:color="auto" w:fill="FFFFFF"/>
          </w:tcPr>
          <w:p w14:paraId="082DF241" w14:textId="77777777" w:rsidR="00697AF8" w:rsidRDefault="00000000">
            <w:pPr>
              <w:jc w:val="center"/>
            </w:pPr>
            <w:r>
              <w:rPr>
                <w:sz w:val="20"/>
              </w:rPr>
              <w:t>General</w:t>
            </w:r>
          </w:p>
        </w:tc>
        <w:tc>
          <w:tcPr>
            <w:tcW w:w="2304" w:type="dxa"/>
            <w:shd w:val="clear" w:color="auto" w:fill="FFFFFF"/>
          </w:tcPr>
          <w:p w14:paraId="65B34FEC" w14:textId="77777777" w:rsidR="00697AF8" w:rsidRDefault="00000000">
            <w:pPr>
              <w:jc w:val="center"/>
            </w:pPr>
            <w:r>
              <w:rPr>
                <w:sz w:val="20"/>
              </w:rPr>
              <w:t>839</w:t>
            </w:r>
          </w:p>
        </w:tc>
        <w:tc>
          <w:tcPr>
            <w:tcW w:w="2304" w:type="dxa"/>
            <w:shd w:val="clear" w:color="auto" w:fill="FFFFFF"/>
          </w:tcPr>
          <w:p w14:paraId="2B0E064C" w14:textId="77777777" w:rsidR="00697AF8" w:rsidRDefault="00000000">
            <w:pPr>
              <w:jc w:val="center"/>
            </w:pPr>
            <w:r>
              <w:rPr>
                <w:sz w:val="20"/>
              </w:rPr>
              <w:t>643</w:t>
            </w:r>
          </w:p>
        </w:tc>
        <w:tc>
          <w:tcPr>
            <w:tcW w:w="2304" w:type="dxa"/>
            <w:shd w:val="clear" w:color="auto" w:fill="FFFFFF"/>
          </w:tcPr>
          <w:p w14:paraId="54146B39" w14:textId="77777777" w:rsidR="00697AF8" w:rsidRDefault="00000000">
            <w:pPr>
              <w:jc w:val="center"/>
            </w:pPr>
            <w:r>
              <w:rPr>
                <w:sz w:val="20"/>
              </w:rPr>
              <w:t>15.2%</w:t>
            </w:r>
          </w:p>
        </w:tc>
      </w:tr>
      <w:tr w:rsidR="00697AF8" w14:paraId="7E9FB602" w14:textId="77777777">
        <w:tc>
          <w:tcPr>
            <w:tcW w:w="2304" w:type="dxa"/>
            <w:shd w:val="clear" w:color="auto" w:fill="DCE6F1"/>
          </w:tcPr>
          <w:p w14:paraId="0C2A9380" w14:textId="77777777" w:rsidR="00697AF8" w:rsidRDefault="00000000">
            <w:pPr>
              <w:jc w:val="center"/>
            </w:pPr>
            <w:r>
              <w:rPr>
                <w:sz w:val="20"/>
              </w:rPr>
              <w:t>Neurology</w:t>
            </w:r>
          </w:p>
        </w:tc>
        <w:tc>
          <w:tcPr>
            <w:tcW w:w="2304" w:type="dxa"/>
            <w:shd w:val="clear" w:color="auto" w:fill="DCE6F1"/>
          </w:tcPr>
          <w:p w14:paraId="58693C3D" w14:textId="77777777" w:rsidR="00697AF8" w:rsidRDefault="00000000">
            <w:pPr>
              <w:jc w:val="center"/>
            </w:pPr>
            <w:r>
              <w:rPr>
                <w:sz w:val="20"/>
              </w:rPr>
              <w:t>846</w:t>
            </w:r>
          </w:p>
        </w:tc>
        <w:tc>
          <w:tcPr>
            <w:tcW w:w="2304" w:type="dxa"/>
            <w:shd w:val="clear" w:color="auto" w:fill="DCE6F1"/>
          </w:tcPr>
          <w:p w14:paraId="5838C67A" w14:textId="77777777" w:rsidR="00697AF8" w:rsidRDefault="00000000">
            <w:pPr>
              <w:jc w:val="center"/>
            </w:pPr>
            <w:r>
              <w:rPr>
                <w:sz w:val="20"/>
              </w:rPr>
              <w:t>627</w:t>
            </w:r>
          </w:p>
        </w:tc>
        <w:tc>
          <w:tcPr>
            <w:tcW w:w="2304" w:type="dxa"/>
            <w:shd w:val="clear" w:color="auto" w:fill="DCE6F1"/>
          </w:tcPr>
          <w:p w14:paraId="152319C1" w14:textId="77777777" w:rsidR="00697AF8" w:rsidRDefault="00000000">
            <w:pPr>
              <w:jc w:val="center"/>
            </w:pPr>
            <w:r>
              <w:rPr>
                <w:sz w:val="20"/>
              </w:rPr>
              <w:t>15.1%</w:t>
            </w:r>
          </w:p>
        </w:tc>
      </w:tr>
      <w:tr w:rsidR="00697AF8" w14:paraId="585A5039" w14:textId="77777777">
        <w:tc>
          <w:tcPr>
            <w:tcW w:w="2304" w:type="dxa"/>
            <w:shd w:val="clear" w:color="auto" w:fill="FFFFFF"/>
          </w:tcPr>
          <w:p w14:paraId="50167412" w14:textId="77777777" w:rsidR="00697AF8" w:rsidRDefault="00000000">
            <w:pPr>
              <w:jc w:val="center"/>
            </w:pPr>
            <w:r>
              <w:rPr>
                <w:sz w:val="20"/>
              </w:rPr>
              <w:t>ER</w:t>
            </w:r>
          </w:p>
        </w:tc>
        <w:tc>
          <w:tcPr>
            <w:tcW w:w="2304" w:type="dxa"/>
            <w:shd w:val="clear" w:color="auto" w:fill="FFFFFF"/>
          </w:tcPr>
          <w:p w14:paraId="086FAE6F" w14:textId="77777777" w:rsidR="00697AF8" w:rsidRDefault="00000000">
            <w:pPr>
              <w:jc w:val="center"/>
            </w:pPr>
            <w:r>
              <w:rPr>
                <w:sz w:val="20"/>
              </w:rPr>
              <w:t>872</w:t>
            </w:r>
          </w:p>
        </w:tc>
        <w:tc>
          <w:tcPr>
            <w:tcW w:w="2304" w:type="dxa"/>
            <w:shd w:val="clear" w:color="auto" w:fill="FFFFFF"/>
          </w:tcPr>
          <w:p w14:paraId="3F838E46" w14:textId="77777777" w:rsidR="00697AF8" w:rsidRDefault="00000000">
            <w:pPr>
              <w:jc w:val="center"/>
            </w:pPr>
            <w:r>
              <w:rPr>
                <w:sz w:val="20"/>
              </w:rPr>
              <w:t>633</w:t>
            </w:r>
          </w:p>
        </w:tc>
        <w:tc>
          <w:tcPr>
            <w:tcW w:w="2304" w:type="dxa"/>
            <w:shd w:val="clear" w:color="auto" w:fill="FFFFFF"/>
          </w:tcPr>
          <w:p w14:paraId="34F5E4E1" w14:textId="77777777" w:rsidR="00697AF8" w:rsidRDefault="00000000">
            <w:pPr>
              <w:jc w:val="center"/>
            </w:pPr>
            <w:r>
              <w:rPr>
                <w:sz w:val="20"/>
              </w:rPr>
              <w:t>15.0%</w:t>
            </w:r>
          </w:p>
        </w:tc>
      </w:tr>
      <w:tr w:rsidR="00697AF8" w14:paraId="106432B0" w14:textId="77777777">
        <w:tc>
          <w:tcPr>
            <w:tcW w:w="2304" w:type="dxa"/>
            <w:shd w:val="clear" w:color="auto" w:fill="DCE6F1"/>
          </w:tcPr>
          <w:p w14:paraId="1BC4754C" w14:textId="77777777" w:rsidR="00697AF8" w:rsidRDefault="00000000">
            <w:pPr>
              <w:jc w:val="center"/>
            </w:pPr>
            <w:r>
              <w:rPr>
                <w:sz w:val="20"/>
              </w:rPr>
              <w:t>ICU</w:t>
            </w:r>
          </w:p>
        </w:tc>
        <w:tc>
          <w:tcPr>
            <w:tcW w:w="2304" w:type="dxa"/>
            <w:shd w:val="clear" w:color="auto" w:fill="DCE6F1"/>
          </w:tcPr>
          <w:p w14:paraId="5AD4AF3D" w14:textId="77777777" w:rsidR="00697AF8" w:rsidRDefault="00000000">
            <w:pPr>
              <w:jc w:val="center"/>
            </w:pPr>
            <w:r>
              <w:rPr>
                <w:sz w:val="20"/>
              </w:rPr>
              <w:t>845</w:t>
            </w:r>
          </w:p>
        </w:tc>
        <w:tc>
          <w:tcPr>
            <w:tcW w:w="2304" w:type="dxa"/>
            <w:shd w:val="clear" w:color="auto" w:fill="DCE6F1"/>
          </w:tcPr>
          <w:p w14:paraId="2C538DB4" w14:textId="77777777" w:rsidR="00697AF8" w:rsidRDefault="00000000">
            <w:pPr>
              <w:jc w:val="center"/>
            </w:pPr>
            <w:r>
              <w:rPr>
                <w:sz w:val="20"/>
              </w:rPr>
              <w:t>594</w:t>
            </w:r>
          </w:p>
        </w:tc>
        <w:tc>
          <w:tcPr>
            <w:tcW w:w="2304" w:type="dxa"/>
            <w:shd w:val="clear" w:color="auto" w:fill="DCE6F1"/>
          </w:tcPr>
          <w:p w14:paraId="1C70045D" w14:textId="77777777" w:rsidR="00697AF8" w:rsidRDefault="00000000">
            <w:pPr>
              <w:jc w:val="center"/>
            </w:pPr>
            <w:r>
              <w:rPr>
                <w:sz w:val="20"/>
              </w:rPr>
              <w:t>14.6%</w:t>
            </w:r>
          </w:p>
        </w:tc>
      </w:tr>
    </w:tbl>
    <w:p w14:paraId="6EF947AD" w14:textId="77777777" w:rsidR="00697AF8" w:rsidRDefault="00697AF8"/>
    <w:p w14:paraId="6C3FAB76" w14:textId="77777777" w:rsidR="00697AF8" w:rsidRDefault="00000000">
      <w:pPr>
        <w:spacing w:after="120"/>
      </w:pPr>
      <w:r>
        <w:rPr>
          <w:i/>
          <w:sz w:val="20"/>
        </w:rPr>
        <w:t>Orthopedics and Cardiology carry the highest rejection rates. These are primarily elective-procedure departments where pre-authorisation documentation gaps are most prevalent.</w:t>
      </w:r>
    </w:p>
    <w:p w14:paraId="61A1B232" w14:textId="77777777" w:rsidR="00697AF8" w:rsidRDefault="00000000">
      <w:pPr>
        <w:pStyle w:val="Heading2"/>
        <w:spacing w:after="80"/>
      </w:pPr>
      <w:r>
        <w:rPr>
          <w:color w:val="1F497D"/>
          <w:sz w:val="24"/>
        </w:rPr>
        <w:t>2.5  Insurance Provider Rejection Rates</w:t>
      </w:r>
    </w:p>
    <w:tbl>
      <w:tblPr>
        <w:tblStyle w:val="TableGrid"/>
        <w:tblW w:w="0" w:type="auto"/>
        <w:tblLook w:val="04A0" w:firstRow="1" w:lastRow="0" w:firstColumn="1" w:lastColumn="0" w:noHBand="0" w:noVBand="1"/>
      </w:tblPr>
      <w:tblGrid>
        <w:gridCol w:w="2880"/>
        <w:gridCol w:w="2880"/>
        <w:gridCol w:w="3600"/>
      </w:tblGrid>
      <w:tr w:rsidR="00697AF8" w14:paraId="4C2A2454" w14:textId="77777777">
        <w:tc>
          <w:tcPr>
            <w:tcW w:w="2880" w:type="dxa"/>
            <w:shd w:val="clear" w:color="auto" w:fill="1F497D"/>
          </w:tcPr>
          <w:p w14:paraId="133E0A66" w14:textId="77777777" w:rsidR="00697AF8" w:rsidRDefault="00000000">
            <w:pPr>
              <w:jc w:val="center"/>
            </w:pPr>
            <w:r>
              <w:rPr>
                <w:b/>
                <w:color w:val="FFFFFF"/>
                <w:sz w:val="20"/>
              </w:rPr>
              <w:t>Provider</w:t>
            </w:r>
          </w:p>
        </w:tc>
        <w:tc>
          <w:tcPr>
            <w:tcW w:w="2880" w:type="dxa"/>
            <w:shd w:val="clear" w:color="auto" w:fill="1F497D"/>
          </w:tcPr>
          <w:p w14:paraId="4E21A38D" w14:textId="77777777" w:rsidR="00697AF8" w:rsidRDefault="00000000">
            <w:pPr>
              <w:jc w:val="center"/>
            </w:pPr>
            <w:r>
              <w:rPr>
                <w:b/>
                <w:color w:val="FFFFFF"/>
                <w:sz w:val="20"/>
              </w:rPr>
              <w:t>Total Claims</w:t>
            </w:r>
          </w:p>
        </w:tc>
        <w:tc>
          <w:tcPr>
            <w:tcW w:w="3600" w:type="dxa"/>
            <w:shd w:val="clear" w:color="auto" w:fill="1F497D"/>
          </w:tcPr>
          <w:p w14:paraId="7B8C3069" w14:textId="77777777" w:rsidR="00697AF8" w:rsidRDefault="00000000">
            <w:pPr>
              <w:jc w:val="center"/>
            </w:pPr>
            <w:r>
              <w:rPr>
                <w:b/>
                <w:color w:val="FFFFFF"/>
                <w:sz w:val="20"/>
              </w:rPr>
              <w:t>Rejection Rate</w:t>
            </w:r>
          </w:p>
        </w:tc>
      </w:tr>
      <w:tr w:rsidR="00697AF8" w14:paraId="11004DE1" w14:textId="77777777">
        <w:tc>
          <w:tcPr>
            <w:tcW w:w="2880" w:type="dxa"/>
            <w:shd w:val="clear" w:color="auto" w:fill="FFFFFF"/>
          </w:tcPr>
          <w:p w14:paraId="07C091D8" w14:textId="77777777" w:rsidR="00697AF8" w:rsidRDefault="00000000">
            <w:pPr>
              <w:jc w:val="center"/>
            </w:pPr>
            <w:r>
              <w:rPr>
                <w:sz w:val="20"/>
              </w:rPr>
              <w:t>SecureLife</w:t>
            </w:r>
          </w:p>
        </w:tc>
        <w:tc>
          <w:tcPr>
            <w:tcW w:w="2880" w:type="dxa"/>
            <w:shd w:val="clear" w:color="auto" w:fill="FFFFFF"/>
          </w:tcPr>
          <w:p w14:paraId="01A7D175" w14:textId="77777777" w:rsidR="00697AF8" w:rsidRDefault="00000000">
            <w:pPr>
              <w:jc w:val="center"/>
            </w:pPr>
            <w:r>
              <w:rPr>
                <w:sz w:val="20"/>
              </w:rPr>
              <w:t>5,965</w:t>
            </w:r>
          </w:p>
        </w:tc>
        <w:tc>
          <w:tcPr>
            <w:tcW w:w="3600" w:type="dxa"/>
            <w:shd w:val="clear" w:color="auto" w:fill="FFFFFF"/>
          </w:tcPr>
          <w:p w14:paraId="1E1B1BA5" w14:textId="77777777" w:rsidR="00697AF8" w:rsidRDefault="00000000">
            <w:pPr>
              <w:jc w:val="center"/>
            </w:pPr>
            <w:r>
              <w:rPr>
                <w:sz w:val="20"/>
              </w:rPr>
              <w:t>15.7%</w:t>
            </w:r>
          </w:p>
        </w:tc>
      </w:tr>
      <w:tr w:rsidR="00697AF8" w14:paraId="27595B38" w14:textId="77777777">
        <w:tc>
          <w:tcPr>
            <w:tcW w:w="2880" w:type="dxa"/>
            <w:shd w:val="clear" w:color="auto" w:fill="DCE6F1"/>
          </w:tcPr>
          <w:p w14:paraId="53B873E9" w14:textId="77777777" w:rsidR="00697AF8" w:rsidRDefault="00000000">
            <w:pPr>
              <w:jc w:val="center"/>
            </w:pPr>
            <w:r>
              <w:rPr>
                <w:sz w:val="20"/>
              </w:rPr>
              <w:t>MediCareX</w:t>
            </w:r>
          </w:p>
        </w:tc>
        <w:tc>
          <w:tcPr>
            <w:tcW w:w="2880" w:type="dxa"/>
            <w:shd w:val="clear" w:color="auto" w:fill="DCE6F1"/>
          </w:tcPr>
          <w:p w14:paraId="6643988E" w14:textId="77777777" w:rsidR="00697AF8" w:rsidRDefault="00000000">
            <w:pPr>
              <w:jc w:val="center"/>
            </w:pPr>
            <w:r>
              <w:rPr>
                <w:sz w:val="20"/>
              </w:rPr>
              <w:t>6,532</w:t>
            </w:r>
          </w:p>
        </w:tc>
        <w:tc>
          <w:tcPr>
            <w:tcW w:w="3600" w:type="dxa"/>
            <w:shd w:val="clear" w:color="auto" w:fill="DCE6F1"/>
          </w:tcPr>
          <w:p w14:paraId="4A407F1D" w14:textId="77777777" w:rsidR="00697AF8" w:rsidRDefault="00000000">
            <w:pPr>
              <w:jc w:val="center"/>
            </w:pPr>
            <w:r>
              <w:rPr>
                <w:sz w:val="20"/>
              </w:rPr>
              <w:t>15.2%</w:t>
            </w:r>
          </w:p>
        </w:tc>
      </w:tr>
      <w:tr w:rsidR="00697AF8" w14:paraId="129E40DC" w14:textId="77777777">
        <w:tc>
          <w:tcPr>
            <w:tcW w:w="2880" w:type="dxa"/>
            <w:shd w:val="clear" w:color="auto" w:fill="FFFFFF"/>
          </w:tcPr>
          <w:p w14:paraId="2A0D4B76" w14:textId="77777777" w:rsidR="00697AF8" w:rsidRDefault="00000000">
            <w:pPr>
              <w:jc w:val="center"/>
            </w:pPr>
            <w:r>
              <w:rPr>
                <w:sz w:val="20"/>
              </w:rPr>
              <w:t>HealthPlus</w:t>
            </w:r>
          </w:p>
        </w:tc>
        <w:tc>
          <w:tcPr>
            <w:tcW w:w="2880" w:type="dxa"/>
            <w:shd w:val="clear" w:color="auto" w:fill="FFFFFF"/>
          </w:tcPr>
          <w:p w14:paraId="5B14B8B8" w14:textId="77777777" w:rsidR="00697AF8" w:rsidRDefault="00000000">
            <w:pPr>
              <w:jc w:val="center"/>
            </w:pPr>
            <w:r>
              <w:rPr>
                <w:sz w:val="20"/>
              </w:rPr>
              <w:t>6,220</w:t>
            </w:r>
          </w:p>
        </w:tc>
        <w:tc>
          <w:tcPr>
            <w:tcW w:w="3600" w:type="dxa"/>
            <w:shd w:val="clear" w:color="auto" w:fill="FFFFFF"/>
          </w:tcPr>
          <w:p w14:paraId="44FF564A" w14:textId="77777777" w:rsidR="00697AF8" w:rsidRDefault="00000000">
            <w:pPr>
              <w:jc w:val="center"/>
            </w:pPr>
            <w:r>
              <w:rPr>
                <w:sz w:val="20"/>
              </w:rPr>
              <w:t>15.0%</w:t>
            </w:r>
          </w:p>
        </w:tc>
      </w:tr>
      <w:tr w:rsidR="00697AF8" w14:paraId="47F07A2E" w14:textId="77777777">
        <w:tc>
          <w:tcPr>
            <w:tcW w:w="2880" w:type="dxa"/>
            <w:shd w:val="clear" w:color="auto" w:fill="DCE6F1"/>
          </w:tcPr>
          <w:p w14:paraId="5C2AE195" w14:textId="77777777" w:rsidR="00697AF8" w:rsidRDefault="00000000">
            <w:pPr>
              <w:jc w:val="center"/>
            </w:pPr>
            <w:r>
              <w:rPr>
                <w:sz w:val="20"/>
              </w:rPr>
              <w:t>CareOne</w:t>
            </w:r>
          </w:p>
        </w:tc>
        <w:tc>
          <w:tcPr>
            <w:tcW w:w="2880" w:type="dxa"/>
            <w:shd w:val="clear" w:color="auto" w:fill="DCE6F1"/>
          </w:tcPr>
          <w:p w14:paraId="741CEAAA" w14:textId="77777777" w:rsidR="00697AF8" w:rsidRDefault="00000000">
            <w:pPr>
              <w:jc w:val="center"/>
            </w:pPr>
            <w:r>
              <w:rPr>
                <w:sz w:val="20"/>
              </w:rPr>
              <w:t>6,283</w:t>
            </w:r>
          </w:p>
        </w:tc>
        <w:tc>
          <w:tcPr>
            <w:tcW w:w="3600" w:type="dxa"/>
            <w:shd w:val="clear" w:color="auto" w:fill="DCE6F1"/>
          </w:tcPr>
          <w:p w14:paraId="14637E49" w14:textId="77777777" w:rsidR="00697AF8" w:rsidRDefault="00000000">
            <w:pPr>
              <w:jc w:val="center"/>
            </w:pPr>
            <w:r>
              <w:rPr>
                <w:sz w:val="20"/>
              </w:rPr>
              <w:t>14.9%</w:t>
            </w:r>
          </w:p>
        </w:tc>
      </w:tr>
    </w:tbl>
    <w:p w14:paraId="6F8C115F" w14:textId="77777777" w:rsidR="00697AF8" w:rsidRDefault="00697AF8"/>
    <w:p w14:paraId="6B836178" w14:textId="77777777" w:rsidR="00697AF8" w:rsidRDefault="00000000">
      <w:pPr>
        <w:spacing w:after="120"/>
      </w:pPr>
      <w:r>
        <w:rPr>
          <w:i/>
          <w:sz w:val="20"/>
        </w:rPr>
        <w:t>Rejection rates are statistically consistent across all four providers (~15%), confirming this is a systemic documentation or coding issue — not a payer-relationship problem.</w:t>
      </w:r>
    </w:p>
    <w:p w14:paraId="2A3F3174" w14:textId="77777777" w:rsidR="00697AF8" w:rsidRDefault="00697AF8"/>
    <w:p w14:paraId="55590887" w14:textId="77777777" w:rsidR="00697AF8" w:rsidRDefault="00000000">
      <w:pPr>
        <w:pStyle w:val="Heading1"/>
        <w:spacing w:before="200" w:after="80"/>
      </w:pPr>
      <w:r>
        <w:rPr>
          <w:color w:val="1F497D"/>
          <w:sz w:val="30"/>
        </w:rPr>
        <w:t>3. AI Model Impact Summary</w:t>
      </w:r>
    </w:p>
    <w:p w14:paraId="53A917A1" w14:textId="77777777" w:rsidR="00697AF8" w:rsidRDefault="00000000">
      <w:pPr>
        <w:pStyle w:val="Heading2"/>
        <w:spacing w:after="80"/>
      </w:pPr>
      <w:r>
        <w:rPr>
          <w:color w:val="1F497D"/>
          <w:sz w:val="24"/>
        </w:rPr>
        <w:t>3.1  Models Deployed</w:t>
      </w:r>
    </w:p>
    <w:tbl>
      <w:tblPr>
        <w:tblStyle w:val="TableGrid"/>
        <w:tblW w:w="0" w:type="auto"/>
        <w:tblLook w:val="04A0" w:firstRow="1" w:lastRow="0" w:firstColumn="1" w:lastColumn="0" w:noHBand="0" w:noVBand="1"/>
      </w:tblPr>
      <w:tblGrid>
        <w:gridCol w:w="2592"/>
        <w:gridCol w:w="3456"/>
        <w:gridCol w:w="2448"/>
        <w:gridCol w:w="1053"/>
      </w:tblGrid>
      <w:tr w:rsidR="00697AF8" w14:paraId="24BB57D5" w14:textId="77777777">
        <w:tc>
          <w:tcPr>
            <w:tcW w:w="2592" w:type="dxa"/>
            <w:shd w:val="clear" w:color="auto" w:fill="1F497D"/>
          </w:tcPr>
          <w:p w14:paraId="18FC6D9B" w14:textId="77777777" w:rsidR="00697AF8" w:rsidRDefault="00000000">
            <w:pPr>
              <w:jc w:val="center"/>
            </w:pPr>
            <w:r>
              <w:rPr>
                <w:b/>
                <w:color w:val="FFFFFF"/>
                <w:sz w:val="20"/>
              </w:rPr>
              <w:t>Model</w:t>
            </w:r>
          </w:p>
        </w:tc>
        <w:tc>
          <w:tcPr>
            <w:tcW w:w="3456" w:type="dxa"/>
            <w:shd w:val="clear" w:color="auto" w:fill="1F497D"/>
          </w:tcPr>
          <w:p w14:paraId="27059F4A" w14:textId="77777777" w:rsidR="00697AF8" w:rsidRDefault="00000000">
            <w:pPr>
              <w:jc w:val="center"/>
            </w:pPr>
            <w:r>
              <w:rPr>
                <w:b/>
                <w:color w:val="FFFFFF"/>
                <w:sz w:val="20"/>
              </w:rPr>
              <w:t>Purpose</w:t>
            </w:r>
          </w:p>
        </w:tc>
        <w:tc>
          <w:tcPr>
            <w:tcW w:w="2448" w:type="dxa"/>
            <w:shd w:val="clear" w:color="auto" w:fill="1F497D"/>
          </w:tcPr>
          <w:p w14:paraId="1DBC9467" w14:textId="77777777" w:rsidR="00697AF8" w:rsidRDefault="00000000">
            <w:pPr>
              <w:jc w:val="center"/>
            </w:pPr>
            <w:r>
              <w:rPr>
                <w:b/>
                <w:color w:val="FFFFFF"/>
                <w:sz w:val="20"/>
              </w:rPr>
              <w:t>Output Classes</w:t>
            </w:r>
          </w:p>
        </w:tc>
        <w:tc>
          <w:tcPr>
            <w:tcW w:w="1008" w:type="dxa"/>
            <w:shd w:val="clear" w:color="auto" w:fill="1F497D"/>
          </w:tcPr>
          <w:p w14:paraId="669607EF" w14:textId="77777777" w:rsidR="00697AF8" w:rsidRDefault="00000000">
            <w:pPr>
              <w:jc w:val="center"/>
            </w:pPr>
            <w:r>
              <w:rPr>
                <w:b/>
                <w:color w:val="FFFFFF"/>
                <w:sz w:val="20"/>
              </w:rPr>
              <w:t>Accuracy</w:t>
            </w:r>
          </w:p>
        </w:tc>
      </w:tr>
      <w:tr w:rsidR="00697AF8" w14:paraId="73C8A8B9" w14:textId="77777777">
        <w:tc>
          <w:tcPr>
            <w:tcW w:w="2592" w:type="dxa"/>
            <w:shd w:val="clear" w:color="auto" w:fill="FFFFFF"/>
          </w:tcPr>
          <w:p w14:paraId="42255175" w14:textId="77777777" w:rsidR="00697AF8" w:rsidRDefault="00000000">
            <w:pPr>
              <w:jc w:val="center"/>
            </w:pPr>
            <w:r>
              <w:rPr>
                <w:sz w:val="20"/>
              </w:rPr>
              <w:t>Visit Risk Classifier</w:t>
            </w:r>
          </w:p>
        </w:tc>
        <w:tc>
          <w:tcPr>
            <w:tcW w:w="3456" w:type="dxa"/>
            <w:shd w:val="clear" w:color="auto" w:fill="FFFFFF"/>
          </w:tcPr>
          <w:p w14:paraId="2CB2CF7F" w14:textId="77777777" w:rsidR="00697AF8" w:rsidRDefault="00000000">
            <w:pPr>
              <w:jc w:val="center"/>
            </w:pPr>
            <w:r>
              <w:rPr>
                <w:sz w:val="20"/>
              </w:rPr>
              <w:t>Identify high-risk visits before deterioration</w:t>
            </w:r>
          </w:p>
        </w:tc>
        <w:tc>
          <w:tcPr>
            <w:tcW w:w="2448" w:type="dxa"/>
            <w:shd w:val="clear" w:color="auto" w:fill="FFFFFF"/>
          </w:tcPr>
          <w:p w14:paraId="62CEF461" w14:textId="77777777" w:rsidR="00697AF8" w:rsidRDefault="00000000">
            <w:pPr>
              <w:jc w:val="center"/>
            </w:pPr>
            <w:r>
              <w:rPr>
                <w:sz w:val="20"/>
              </w:rPr>
              <w:t>Low / Medium / High</w:t>
            </w:r>
          </w:p>
        </w:tc>
        <w:tc>
          <w:tcPr>
            <w:tcW w:w="1008" w:type="dxa"/>
            <w:shd w:val="clear" w:color="auto" w:fill="FFFFFF"/>
          </w:tcPr>
          <w:p w14:paraId="388224C0" w14:textId="77777777" w:rsidR="00697AF8" w:rsidRDefault="00000000">
            <w:pPr>
              <w:jc w:val="center"/>
            </w:pPr>
            <w:r>
              <w:rPr>
                <w:sz w:val="20"/>
              </w:rPr>
              <w:t>~47%*</w:t>
            </w:r>
          </w:p>
        </w:tc>
      </w:tr>
      <w:tr w:rsidR="00697AF8" w14:paraId="4955F075" w14:textId="77777777">
        <w:tc>
          <w:tcPr>
            <w:tcW w:w="2592" w:type="dxa"/>
            <w:shd w:val="clear" w:color="auto" w:fill="DCE6F1"/>
          </w:tcPr>
          <w:p w14:paraId="73FDAC47" w14:textId="77777777" w:rsidR="00697AF8" w:rsidRDefault="00000000">
            <w:pPr>
              <w:jc w:val="center"/>
            </w:pPr>
            <w:r>
              <w:rPr>
                <w:sz w:val="20"/>
              </w:rPr>
              <w:t>Claim Outcome Predictor</w:t>
            </w:r>
          </w:p>
        </w:tc>
        <w:tc>
          <w:tcPr>
            <w:tcW w:w="3456" w:type="dxa"/>
            <w:shd w:val="clear" w:color="auto" w:fill="DCE6F1"/>
          </w:tcPr>
          <w:p w14:paraId="65C70F5C" w14:textId="77777777" w:rsidR="00697AF8" w:rsidRDefault="00000000">
            <w:pPr>
              <w:jc w:val="center"/>
            </w:pPr>
            <w:r>
              <w:rPr>
                <w:sz w:val="20"/>
              </w:rPr>
              <w:t>Flag likely-rejected claims before submission</w:t>
            </w:r>
          </w:p>
        </w:tc>
        <w:tc>
          <w:tcPr>
            <w:tcW w:w="2448" w:type="dxa"/>
            <w:shd w:val="clear" w:color="auto" w:fill="DCE6F1"/>
          </w:tcPr>
          <w:p w14:paraId="20A52819" w14:textId="77777777" w:rsidR="00697AF8" w:rsidRDefault="00000000">
            <w:pPr>
              <w:jc w:val="center"/>
            </w:pPr>
            <w:r>
              <w:rPr>
                <w:sz w:val="20"/>
              </w:rPr>
              <w:t>Paid / Pending / Rejected</w:t>
            </w:r>
          </w:p>
        </w:tc>
        <w:tc>
          <w:tcPr>
            <w:tcW w:w="1008" w:type="dxa"/>
            <w:shd w:val="clear" w:color="auto" w:fill="DCE6F1"/>
          </w:tcPr>
          <w:p w14:paraId="7AFFFB3B" w14:textId="77777777" w:rsidR="00697AF8" w:rsidRDefault="00000000">
            <w:pPr>
              <w:jc w:val="center"/>
            </w:pPr>
            <w:r>
              <w:rPr>
                <w:sz w:val="20"/>
              </w:rPr>
              <w:t>~55%**</w:t>
            </w:r>
          </w:p>
        </w:tc>
      </w:tr>
    </w:tbl>
    <w:p w14:paraId="00F6933F" w14:textId="77777777" w:rsidR="00697AF8" w:rsidRDefault="00697AF8"/>
    <w:p w14:paraId="0E7B8A18" w14:textId="77777777" w:rsidR="00697AF8" w:rsidRDefault="00000000">
      <w:pPr>
        <w:spacing w:after="60"/>
      </w:pPr>
      <w:r>
        <w:rPr>
          <w:i/>
          <w:sz w:val="19"/>
        </w:rPr>
        <w:t>* Risk model accuracy is constrained by the synthetic dataset — risk_score labels were not derived from clinical features (age, LOS, and visit frequency are identical across all risk groups). With real diagnosis codes or severity scores, accuracy would be significantly higher.</w:t>
      </w:r>
    </w:p>
    <w:p w14:paraId="346D62A8" w14:textId="77777777" w:rsidR="00697AF8" w:rsidRDefault="00000000">
      <w:pPr>
        <w:spacing w:after="120"/>
      </w:pPr>
      <w:r>
        <w:rPr>
          <w:i/>
          <w:sz w:val="19"/>
        </w:rPr>
        <w:t>** Claim model uses 10 pre-adjudication features only. The approved_amount column was excluded (target leakage — it encodes the adjudication decision itself). 55% is the honest ceiling on synthetic data; production billing systems with coding history typically achieve 70–85%.</w:t>
      </w:r>
    </w:p>
    <w:p w14:paraId="636EA540" w14:textId="77777777" w:rsidR="00697AF8" w:rsidRDefault="00000000">
      <w:pPr>
        <w:pStyle w:val="Heading2"/>
        <w:spacing w:after="80"/>
      </w:pPr>
      <w:r>
        <w:rPr>
          <w:color w:val="1F497D"/>
          <w:sz w:val="24"/>
        </w:rPr>
        <w:t>3.2  Business Value of Prediction at Scale</w:t>
      </w:r>
    </w:p>
    <w:p w14:paraId="26C6851F" w14:textId="77777777" w:rsidR="00697AF8" w:rsidRDefault="00000000">
      <w:pPr>
        <w:spacing w:after="80"/>
        <w:rPr>
          <w:sz w:val="21"/>
        </w:rPr>
      </w:pPr>
      <w:r>
        <w:rPr>
          <w:sz w:val="21"/>
        </w:rPr>
        <w:t xml:space="preserve">A claim predictor does not need to be perfect to generate substantial financial value. The table below </w:t>
      </w:r>
      <w:proofErr w:type="gramStart"/>
      <w:r>
        <w:rPr>
          <w:sz w:val="21"/>
        </w:rPr>
        <w:t>models</w:t>
      </w:r>
      <w:proofErr w:type="gramEnd"/>
      <w:r>
        <w:rPr>
          <w:sz w:val="21"/>
        </w:rPr>
        <w:t xml:space="preserve"> revenue protection at different recall levels applied to the 3,797 rejected claims identified in this dataset:</w:t>
      </w:r>
    </w:p>
    <w:p w14:paraId="608CF4B7" w14:textId="77777777" w:rsidR="009F2216" w:rsidRDefault="009F2216">
      <w:pPr>
        <w:spacing w:after="80"/>
      </w:pPr>
    </w:p>
    <w:p w14:paraId="74FD56AB" w14:textId="77777777" w:rsidR="009F2216" w:rsidRDefault="009F2216">
      <w:pPr>
        <w:spacing w:after="80"/>
      </w:pPr>
    </w:p>
    <w:tbl>
      <w:tblPr>
        <w:tblStyle w:val="TableGrid"/>
        <w:tblW w:w="0" w:type="auto"/>
        <w:tblLook w:val="04A0" w:firstRow="1" w:lastRow="0" w:firstColumn="1" w:lastColumn="0" w:noHBand="0" w:noVBand="1"/>
      </w:tblPr>
      <w:tblGrid>
        <w:gridCol w:w="2998"/>
        <w:gridCol w:w="2341"/>
        <w:gridCol w:w="1652"/>
        <w:gridCol w:w="2585"/>
      </w:tblGrid>
      <w:tr w:rsidR="00697AF8" w14:paraId="2FBF42D2" w14:textId="77777777">
        <w:tc>
          <w:tcPr>
            <w:tcW w:w="3168" w:type="dxa"/>
            <w:shd w:val="clear" w:color="auto" w:fill="1F497D"/>
          </w:tcPr>
          <w:p w14:paraId="28EDB19B" w14:textId="77777777" w:rsidR="00697AF8" w:rsidRDefault="00000000">
            <w:pPr>
              <w:jc w:val="center"/>
            </w:pPr>
            <w:r>
              <w:rPr>
                <w:b/>
                <w:color w:val="FFFFFF"/>
                <w:sz w:val="20"/>
              </w:rPr>
              <w:lastRenderedPageBreak/>
              <w:t>Scenario</w:t>
            </w:r>
          </w:p>
        </w:tc>
        <w:tc>
          <w:tcPr>
            <w:tcW w:w="2448" w:type="dxa"/>
            <w:shd w:val="clear" w:color="auto" w:fill="1F497D"/>
          </w:tcPr>
          <w:p w14:paraId="41C35BC1" w14:textId="77777777" w:rsidR="00697AF8" w:rsidRDefault="00000000">
            <w:pPr>
              <w:jc w:val="center"/>
            </w:pPr>
            <w:r>
              <w:rPr>
                <w:b/>
                <w:color w:val="FFFFFF"/>
                <w:sz w:val="20"/>
              </w:rPr>
              <w:t>Claims Intercepted</w:t>
            </w:r>
          </w:p>
        </w:tc>
        <w:tc>
          <w:tcPr>
            <w:tcW w:w="1728" w:type="dxa"/>
            <w:shd w:val="clear" w:color="auto" w:fill="1F497D"/>
          </w:tcPr>
          <w:p w14:paraId="7EA3C9C9" w14:textId="77777777" w:rsidR="00697AF8" w:rsidRDefault="00000000">
            <w:pPr>
              <w:jc w:val="center"/>
            </w:pPr>
            <w:r>
              <w:rPr>
                <w:b/>
                <w:color w:val="FFFFFF"/>
                <w:sz w:val="20"/>
              </w:rPr>
              <w:t>Avg Billed</w:t>
            </w:r>
          </w:p>
        </w:tc>
        <w:tc>
          <w:tcPr>
            <w:tcW w:w="2736" w:type="dxa"/>
            <w:shd w:val="clear" w:color="auto" w:fill="1F497D"/>
          </w:tcPr>
          <w:p w14:paraId="6C811994" w14:textId="77777777" w:rsidR="00697AF8" w:rsidRDefault="00000000">
            <w:pPr>
              <w:jc w:val="center"/>
            </w:pPr>
            <w:r>
              <w:rPr>
                <w:b/>
                <w:color w:val="FFFFFF"/>
                <w:sz w:val="20"/>
              </w:rPr>
              <w:t>Revenue Protected</w:t>
            </w:r>
          </w:p>
        </w:tc>
      </w:tr>
      <w:tr w:rsidR="00697AF8" w14:paraId="79024619" w14:textId="77777777">
        <w:tc>
          <w:tcPr>
            <w:tcW w:w="3168" w:type="dxa"/>
            <w:shd w:val="clear" w:color="auto" w:fill="FFFFFF"/>
          </w:tcPr>
          <w:p w14:paraId="57733619" w14:textId="77777777" w:rsidR="00697AF8" w:rsidRDefault="00000000">
            <w:pPr>
              <w:jc w:val="center"/>
            </w:pPr>
            <w:r>
              <w:rPr>
                <w:sz w:val="20"/>
              </w:rPr>
              <w:t>Conservative (40% recall)</w:t>
            </w:r>
          </w:p>
        </w:tc>
        <w:tc>
          <w:tcPr>
            <w:tcW w:w="2448" w:type="dxa"/>
            <w:shd w:val="clear" w:color="auto" w:fill="FFFFFF"/>
          </w:tcPr>
          <w:p w14:paraId="79EF45AE" w14:textId="77777777" w:rsidR="00697AF8" w:rsidRDefault="00000000">
            <w:pPr>
              <w:jc w:val="center"/>
            </w:pPr>
            <w:r>
              <w:rPr>
                <w:sz w:val="20"/>
              </w:rPr>
              <w:t>1,519</w:t>
            </w:r>
          </w:p>
        </w:tc>
        <w:tc>
          <w:tcPr>
            <w:tcW w:w="1728" w:type="dxa"/>
            <w:shd w:val="clear" w:color="auto" w:fill="FFFFFF"/>
          </w:tcPr>
          <w:p w14:paraId="6B5113ED" w14:textId="77777777" w:rsidR="00697AF8" w:rsidRDefault="00000000">
            <w:pPr>
              <w:jc w:val="center"/>
            </w:pPr>
            <w:r>
              <w:rPr>
                <w:sz w:val="20"/>
              </w:rPr>
              <w:t>$19,723</w:t>
            </w:r>
          </w:p>
        </w:tc>
        <w:tc>
          <w:tcPr>
            <w:tcW w:w="2736" w:type="dxa"/>
            <w:shd w:val="clear" w:color="auto" w:fill="FFFFFF"/>
          </w:tcPr>
          <w:p w14:paraId="207664B5" w14:textId="77777777" w:rsidR="00697AF8" w:rsidRDefault="00000000">
            <w:pPr>
              <w:jc w:val="center"/>
            </w:pPr>
            <w:r>
              <w:rPr>
                <w:sz w:val="20"/>
              </w:rPr>
              <w:t>~$30.0M</w:t>
            </w:r>
          </w:p>
        </w:tc>
      </w:tr>
      <w:tr w:rsidR="00697AF8" w14:paraId="296FE87D" w14:textId="77777777">
        <w:tc>
          <w:tcPr>
            <w:tcW w:w="3168" w:type="dxa"/>
            <w:shd w:val="clear" w:color="auto" w:fill="DCE6F1"/>
          </w:tcPr>
          <w:p w14:paraId="67481ED2" w14:textId="77777777" w:rsidR="00697AF8" w:rsidRDefault="00000000">
            <w:pPr>
              <w:jc w:val="center"/>
            </w:pPr>
            <w:r>
              <w:rPr>
                <w:sz w:val="20"/>
              </w:rPr>
              <w:t>Moderate (60% recall)</w:t>
            </w:r>
          </w:p>
        </w:tc>
        <w:tc>
          <w:tcPr>
            <w:tcW w:w="2448" w:type="dxa"/>
            <w:shd w:val="clear" w:color="auto" w:fill="DCE6F1"/>
          </w:tcPr>
          <w:p w14:paraId="54D3544D" w14:textId="77777777" w:rsidR="00697AF8" w:rsidRDefault="00000000">
            <w:pPr>
              <w:jc w:val="center"/>
            </w:pPr>
            <w:r>
              <w:rPr>
                <w:sz w:val="20"/>
              </w:rPr>
              <w:t>2,278</w:t>
            </w:r>
          </w:p>
        </w:tc>
        <w:tc>
          <w:tcPr>
            <w:tcW w:w="1728" w:type="dxa"/>
            <w:shd w:val="clear" w:color="auto" w:fill="DCE6F1"/>
          </w:tcPr>
          <w:p w14:paraId="4A55EB09" w14:textId="77777777" w:rsidR="00697AF8" w:rsidRDefault="00000000">
            <w:pPr>
              <w:jc w:val="center"/>
            </w:pPr>
            <w:r>
              <w:rPr>
                <w:sz w:val="20"/>
              </w:rPr>
              <w:t>$19,723</w:t>
            </w:r>
          </w:p>
        </w:tc>
        <w:tc>
          <w:tcPr>
            <w:tcW w:w="2736" w:type="dxa"/>
            <w:shd w:val="clear" w:color="auto" w:fill="DCE6F1"/>
          </w:tcPr>
          <w:p w14:paraId="5D2682AC" w14:textId="77777777" w:rsidR="00697AF8" w:rsidRDefault="00000000">
            <w:pPr>
              <w:jc w:val="center"/>
            </w:pPr>
            <w:r>
              <w:rPr>
                <w:sz w:val="20"/>
              </w:rPr>
              <w:t>~$44.9M</w:t>
            </w:r>
          </w:p>
        </w:tc>
      </w:tr>
      <w:tr w:rsidR="00697AF8" w14:paraId="49276D29" w14:textId="77777777">
        <w:tc>
          <w:tcPr>
            <w:tcW w:w="3168" w:type="dxa"/>
            <w:shd w:val="clear" w:color="auto" w:fill="FFFFFF"/>
          </w:tcPr>
          <w:p w14:paraId="4536BB62" w14:textId="77777777" w:rsidR="00697AF8" w:rsidRDefault="00000000">
            <w:pPr>
              <w:jc w:val="center"/>
            </w:pPr>
            <w:r>
              <w:rPr>
                <w:sz w:val="20"/>
              </w:rPr>
              <w:t>Target (80% recall)</w:t>
            </w:r>
          </w:p>
        </w:tc>
        <w:tc>
          <w:tcPr>
            <w:tcW w:w="2448" w:type="dxa"/>
            <w:shd w:val="clear" w:color="auto" w:fill="FFFFFF"/>
          </w:tcPr>
          <w:p w14:paraId="5FBF6C60" w14:textId="77777777" w:rsidR="00697AF8" w:rsidRDefault="00000000">
            <w:pPr>
              <w:jc w:val="center"/>
            </w:pPr>
            <w:r>
              <w:rPr>
                <w:sz w:val="20"/>
              </w:rPr>
              <w:t>3,037</w:t>
            </w:r>
          </w:p>
        </w:tc>
        <w:tc>
          <w:tcPr>
            <w:tcW w:w="1728" w:type="dxa"/>
            <w:shd w:val="clear" w:color="auto" w:fill="FFFFFF"/>
          </w:tcPr>
          <w:p w14:paraId="4DAD8D8B" w14:textId="77777777" w:rsidR="00697AF8" w:rsidRDefault="00000000">
            <w:pPr>
              <w:jc w:val="center"/>
            </w:pPr>
            <w:r>
              <w:rPr>
                <w:sz w:val="20"/>
              </w:rPr>
              <w:t>$19,723</w:t>
            </w:r>
          </w:p>
        </w:tc>
        <w:tc>
          <w:tcPr>
            <w:tcW w:w="2736" w:type="dxa"/>
            <w:shd w:val="clear" w:color="auto" w:fill="FFFFFF"/>
          </w:tcPr>
          <w:p w14:paraId="161BF234" w14:textId="77777777" w:rsidR="00697AF8" w:rsidRDefault="00000000">
            <w:pPr>
              <w:jc w:val="center"/>
            </w:pPr>
            <w:r>
              <w:rPr>
                <w:sz w:val="20"/>
              </w:rPr>
              <w:t>~$59.9M</w:t>
            </w:r>
          </w:p>
        </w:tc>
      </w:tr>
    </w:tbl>
    <w:p w14:paraId="0893A78C" w14:textId="77777777" w:rsidR="00697AF8" w:rsidRDefault="00697AF8"/>
    <w:p w14:paraId="238F5DAF" w14:textId="77777777" w:rsidR="00697AF8" w:rsidRDefault="00000000">
      <w:pPr>
        <w:spacing w:after="120"/>
      </w:pPr>
      <w:r>
        <w:rPr>
          <w:b/>
          <w:sz w:val="21"/>
        </w:rPr>
        <w:t>A conservative deployment protecting 40% of rejected claims would intercept approximately $30 million in revenue leakage per 25,000 visits.</w:t>
      </w:r>
    </w:p>
    <w:p w14:paraId="4E09C26A" w14:textId="77777777" w:rsidR="00697AF8" w:rsidRDefault="00000000">
      <w:pPr>
        <w:pStyle w:val="Heading2"/>
        <w:spacing w:after="80"/>
      </w:pPr>
      <w:r>
        <w:rPr>
          <w:color w:val="1F497D"/>
          <w:sz w:val="24"/>
        </w:rPr>
        <w:t>3.3  System Architecture Overview</w:t>
      </w:r>
    </w:p>
    <w:tbl>
      <w:tblPr>
        <w:tblStyle w:val="TableGrid"/>
        <w:tblW w:w="0" w:type="auto"/>
        <w:tblLook w:val="04A0" w:firstRow="1" w:lastRow="0" w:firstColumn="1" w:lastColumn="0" w:noHBand="0" w:noVBand="1"/>
      </w:tblPr>
      <w:tblGrid>
        <w:gridCol w:w="2160"/>
        <w:gridCol w:w="4608"/>
        <w:gridCol w:w="2448"/>
      </w:tblGrid>
      <w:tr w:rsidR="00697AF8" w14:paraId="044BFA46" w14:textId="77777777">
        <w:tc>
          <w:tcPr>
            <w:tcW w:w="2160" w:type="dxa"/>
            <w:shd w:val="clear" w:color="auto" w:fill="1F497D"/>
          </w:tcPr>
          <w:p w14:paraId="67742D0E" w14:textId="77777777" w:rsidR="00697AF8" w:rsidRDefault="00000000">
            <w:pPr>
              <w:jc w:val="center"/>
            </w:pPr>
            <w:r>
              <w:rPr>
                <w:b/>
                <w:color w:val="FFFFFF"/>
                <w:sz w:val="20"/>
              </w:rPr>
              <w:t>Layer</w:t>
            </w:r>
          </w:p>
        </w:tc>
        <w:tc>
          <w:tcPr>
            <w:tcW w:w="4608" w:type="dxa"/>
            <w:shd w:val="clear" w:color="auto" w:fill="1F497D"/>
          </w:tcPr>
          <w:p w14:paraId="6EF1560A" w14:textId="77777777" w:rsidR="00697AF8" w:rsidRDefault="00000000">
            <w:pPr>
              <w:jc w:val="center"/>
            </w:pPr>
            <w:r>
              <w:rPr>
                <w:b/>
                <w:color w:val="FFFFFF"/>
                <w:sz w:val="20"/>
              </w:rPr>
              <w:t>Component</w:t>
            </w:r>
          </w:p>
        </w:tc>
        <w:tc>
          <w:tcPr>
            <w:tcW w:w="2448" w:type="dxa"/>
            <w:shd w:val="clear" w:color="auto" w:fill="1F497D"/>
          </w:tcPr>
          <w:p w14:paraId="3B7EA350" w14:textId="77777777" w:rsidR="00697AF8" w:rsidRDefault="00000000">
            <w:pPr>
              <w:jc w:val="center"/>
            </w:pPr>
            <w:r>
              <w:rPr>
                <w:b/>
                <w:color w:val="FFFFFF"/>
                <w:sz w:val="20"/>
              </w:rPr>
              <w:t>Technology</w:t>
            </w:r>
          </w:p>
        </w:tc>
      </w:tr>
      <w:tr w:rsidR="00697AF8" w14:paraId="4BCA0E7B" w14:textId="77777777">
        <w:tc>
          <w:tcPr>
            <w:tcW w:w="2160" w:type="dxa"/>
            <w:shd w:val="clear" w:color="auto" w:fill="FFFFFF"/>
          </w:tcPr>
          <w:p w14:paraId="71CD0A78" w14:textId="77777777" w:rsidR="00697AF8" w:rsidRDefault="00000000">
            <w:pPr>
              <w:jc w:val="center"/>
            </w:pPr>
            <w:r>
              <w:rPr>
                <w:sz w:val="20"/>
              </w:rPr>
              <w:t>1 — Data</w:t>
            </w:r>
          </w:p>
        </w:tc>
        <w:tc>
          <w:tcPr>
            <w:tcW w:w="4608" w:type="dxa"/>
            <w:shd w:val="clear" w:color="auto" w:fill="FFFFFF"/>
          </w:tcPr>
          <w:p w14:paraId="6217A2E4" w14:textId="77777777" w:rsidR="00697AF8" w:rsidRDefault="00000000">
            <w:pPr>
              <w:jc w:val="center"/>
            </w:pPr>
            <w:r>
              <w:rPr>
                <w:sz w:val="20"/>
              </w:rPr>
              <w:t>patients.csv + visits.csv + billing.csv → model_table.csv</w:t>
            </w:r>
          </w:p>
        </w:tc>
        <w:tc>
          <w:tcPr>
            <w:tcW w:w="2448" w:type="dxa"/>
            <w:shd w:val="clear" w:color="auto" w:fill="FFFFFF"/>
          </w:tcPr>
          <w:p w14:paraId="3FD0E410" w14:textId="77777777" w:rsidR="00697AF8" w:rsidRDefault="00000000">
            <w:pPr>
              <w:jc w:val="center"/>
            </w:pPr>
            <w:r>
              <w:rPr>
                <w:sz w:val="20"/>
              </w:rPr>
              <w:t>Pandas / SQL</w:t>
            </w:r>
          </w:p>
        </w:tc>
      </w:tr>
      <w:tr w:rsidR="00697AF8" w14:paraId="753C7E93" w14:textId="77777777">
        <w:tc>
          <w:tcPr>
            <w:tcW w:w="2160" w:type="dxa"/>
            <w:shd w:val="clear" w:color="auto" w:fill="DCE6F1"/>
          </w:tcPr>
          <w:p w14:paraId="219A6844" w14:textId="77777777" w:rsidR="00697AF8" w:rsidRDefault="00000000">
            <w:pPr>
              <w:jc w:val="center"/>
            </w:pPr>
            <w:r>
              <w:rPr>
                <w:sz w:val="20"/>
              </w:rPr>
              <w:t>2 — Analytics</w:t>
            </w:r>
          </w:p>
        </w:tc>
        <w:tc>
          <w:tcPr>
            <w:tcW w:w="4608" w:type="dxa"/>
            <w:shd w:val="clear" w:color="auto" w:fill="DCE6F1"/>
          </w:tcPr>
          <w:p w14:paraId="3B9EBB8A" w14:textId="77777777" w:rsidR="00697AF8" w:rsidRDefault="00000000">
            <w:pPr>
              <w:jc w:val="center"/>
            </w:pPr>
            <w:r>
              <w:rPr>
                <w:sz w:val="20"/>
              </w:rPr>
              <w:t>SQL KPI queries (Phase 1)</w:t>
            </w:r>
          </w:p>
        </w:tc>
        <w:tc>
          <w:tcPr>
            <w:tcW w:w="2448" w:type="dxa"/>
            <w:shd w:val="clear" w:color="auto" w:fill="DCE6F1"/>
          </w:tcPr>
          <w:p w14:paraId="538D77DF" w14:textId="77777777" w:rsidR="00697AF8" w:rsidRDefault="00000000">
            <w:pPr>
              <w:jc w:val="center"/>
            </w:pPr>
            <w:r>
              <w:rPr>
                <w:sz w:val="20"/>
              </w:rPr>
              <w:t>MySQL</w:t>
            </w:r>
          </w:p>
        </w:tc>
      </w:tr>
      <w:tr w:rsidR="00697AF8" w14:paraId="0401824C" w14:textId="77777777">
        <w:tc>
          <w:tcPr>
            <w:tcW w:w="2160" w:type="dxa"/>
            <w:shd w:val="clear" w:color="auto" w:fill="FFFFFF"/>
          </w:tcPr>
          <w:p w14:paraId="2CD0C211" w14:textId="77777777" w:rsidR="00697AF8" w:rsidRDefault="00000000">
            <w:pPr>
              <w:jc w:val="center"/>
            </w:pPr>
            <w:r>
              <w:rPr>
                <w:sz w:val="20"/>
              </w:rPr>
              <w:t>3 — Feature Engineering</w:t>
            </w:r>
          </w:p>
        </w:tc>
        <w:tc>
          <w:tcPr>
            <w:tcW w:w="4608" w:type="dxa"/>
            <w:shd w:val="clear" w:color="auto" w:fill="FFFFFF"/>
          </w:tcPr>
          <w:p w14:paraId="5FB1D8F8" w14:textId="77777777" w:rsidR="00697AF8" w:rsidRDefault="00000000">
            <w:pPr>
              <w:jc w:val="center"/>
            </w:pPr>
            <w:r>
              <w:rPr>
                <w:sz w:val="20"/>
              </w:rPr>
              <w:t>3 derived features: visit_frequency, avg_los, days_since_registration</w:t>
            </w:r>
          </w:p>
        </w:tc>
        <w:tc>
          <w:tcPr>
            <w:tcW w:w="2448" w:type="dxa"/>
            <w:shd w:val="clear" w:color="auto" w:fill="FFFFFF"/>
          </w:tcPr>
          <w:p w14:paraId="44DD9748" w14:textId="77777777" w:rsidR="00697AF8" w:rsidRDefault="00000000">
            <w:pPr>
              <w:jc w:val="center"/>
            </w:pPr>
            <w:r>
              <w:rPr>
                <w:sz w:val="20"/>
              </w:rPr>
              <w:t>Pandas</w:t>
            </w:r>
          </w:p>
        </w:tc>
      </w:tr>
      <w:tr w:rsidR="00697AF8" w14:paraId="6AAA9A1D" w14:textId="77777777">
        <w:tc>
          <w:tcPr>
            <w:tcW w:w="2160" w:type="dxa"/>
            <w:shd w:val="clear" w:color="auto" w:fill="DCE6F1"/>
          </w:tcPr>
          <w:p w14:paraId="48F0489E" w14:textId="77777777" w:rsidR="00697AF8" w:rsidRDefault="00000000">
            <w:pPr>
              <w:jc w:val="center"/>
            </w:pPr>
            <w:r>
              <w:rPr>
                <w:sz w:val="20"/>
              </w:rPr>
              <w:t>4 — Modelling</w:t>
            </w:r>
          </w:p>
        </w:tc>
        <w:tc>
          <w:tcPr>
            <w:tcW w:w="4608" w:type="dxa"/>
            <w:shd w:val="clear" w:color="auto" w:fill="DCE6F1"/>
          </w:tcPr>
          <w:p w14:paraId="451EB947" w14:textId="77777777" w:rsidR="00697AF8" w:rsidRDefault="00000000">
            <w:pPr>
              <w:jc w:val="center"/>
            </w:pPr>
            <w:r>
              <w:rPr>
                <w:sz w:val="20"/>
              </w:rPr>
              <w:t>RandomForest + GridSearchCV + SMOTE + time-based split</w:t>
            </w:r>
          </w:p>
        </w:tc>
        <w:tc>
          <w:tcPr>
            <w:tcW w:w="2448" w:type="dxa"/>
            <w:shd w:val="clear" w:color="auto" w:fill="DCE6F1"/>
          </w:tcPr>
          <w:p w14:paraId="46B6B781" w14:textId="77777777" w:rsidR="00697AF8" w:rsidRDefault="00000000">
            <w:pPr>
              <w:jc w:val="center"/>
            </w:pPr>
            <w:r>
              <w:rPr>
                <w:sz w:val="20"/>
              </w:rPr>
              <w:t>Scikit-learn</w:t>
            </w:r>
          </w:p>
        </w:tc>
      </w:tr>
      <w:tr w:rsidR="00697AF8" w14:paraId="6DC149E6" w14:textId="77777777">
        <w:tc>
          <w:tcPr>
            <w:tcW w:w="2160" w:type="dxa"/>
            <w:shd w:val="clear" w:color="auto" w:fill="FFFFFF"/>
          </w:tcPr>
          <w:p w14:paraId="2DE74AF7" w14:textId="77777777" w:rsidR="00697AF8" w:rsidRDefault="00000000">
            <w:pPr>
              <w:jc w:val="center"/>
            </w:pPr>
            <w:r>
              <w:rPr>
                <w:sz w:val="20"/>
              </w:rPr>
              <w:t>5 — Deployment</w:t>
            </w:r>
          </w:p>
        </w:tc>
        <w:tc>
          <w:tcPr>
            <w:tcW w:w="4608" w:type="dxa"/>
            <w:shd w:val="clear" w:color="auto" w:fill="FFFFFF"/>
          </w:tcPr>
          <w:p w14:paraId="1D33A5F2" w14:textId="77777777" w:rsidR="00697AF8" w:rsidRDefault="00000000">
            <w:pPr>
              <w:jc w:val="center"/>
            </w:pPr>
            <w:r>
              <w:rPr>
                <w:sz w:val="20"/>
              </w:rPr>
              <w:t>FastAPI REST API + Gradio UI on AWS EC2 (ports 8000 / 7860)</w:t>
            </w:r>
          </w:p>
        </w:tc>
        <w:tc>
          <w:tcPr>
            <w:tcW w:w="2448" w:type="dxa"/>
            <w:shd w:val="clear" w:color="auto" w:fill="FFFFFF"/>
          </w:tcPr>
          <w:p w14:paraId="617201F0" w14:textId="77777777" w:rsidR="00697AF8" w:rsidRDefault="00000000">
            <w:pPr>
              <w:jc w:val="center"/>
            </w:pPr>
            <w:r>
              <w:rPr>
                <w:sz w:val="20"/>
              </w:rPr>
              <w:t>FastAPI / Uvicorn</w:t>
            </w:r>
          </w:p>
        </w:tc>
      </w:tr>
      <w:tr w:rsidR="00697AF8" w14:paraId="5F357C75" w14:textId="77777777">
        <w:tc>
          <w:tcPr>
            <w:tcW w:w="2160" w:type="dxa"/>
            <w:shd w:val="clear" w:color="auto" w:fill="DCE6F1"/>
          </w:tcPr>
          <w:p w14:paraId="2B3CE41B" w14:textId="77777777" w:rsidR="00697AF8" w:rsidRDefault="00000000">
            <w:pPr>
              <w:jc w:val="center"/>
            </w:pPr>
            <w:r>
              <w:rPr>
                <w:sz w:val="20"/>
              </w:rPr>
              <w:t>6 — Monitoring</w:t>
            </w:r>
          </w:p>
        </w:tc>
        <w:tc>
          <w:tcPr>
            <w:tcW w:w="4608" w:type="dxa"/>
            <w:shd w:val="clear" w:color="auto" w:fill="DCE6F1"/>
          </w:tcPr>
          <w:p w14:paraId="5A07BAD8" w14:textId="77777777" w:rsidR="00697AF8" w:rsidRDefault="00000000">
            <w:pPr>
              <w:jc w:val="center"/>
            </w:pPr>
            <w:r>
              <w:rPr>
                <w:sz w:val="20"/>
              </w:rPr>
              <w:t>Feature drift + prediction distribution tracking → drift_report.csv</w:t>
            </w:r>
          </w:p>
        </w:tc>
        <w:tc>
          <w:tcPr>
            <w:tcW w:w="2448" w:type="dxa"/>
            <w:shd w:val="clear" w:color="auto" w:fill="DCE6F1"/>
          </w:tcPr>
          <w:p w14:paraId="7597E4E8" w14:textId="77777777" w:rsidR="00697AF8" w:rsidRDefault="00000000">
            <w:pPr>
              <w:jc w:val="center"/>
            </w:pPr>
            <w:r>
              <w:rPr>
                <w:sz w:val="20"/>
              </w:rPr>
              <w:t>Custom Python</w:t>
            </w:r>
          </w:p>
        </w:tc>
      </w:tr>
    </w:tbl>
    <w:p w14:paraId="21F48F2A" w14:textId="77777777" w:rsidR="00697AF8" w:rsidRDefault="00697AF8"/>
    <w:p w14:paraId="3E24FEFF" w14:textId="77777777" w:rsidR="00697AF8" w:rsidRDefault="00697AF8"/>
    <w:p w14:paraId="2C575414" w14:textId="77777777" w:rsidR="00697AF8" w:rsidRDefault="00000000">
      <w:pPr>
        <w:pStyle w:val="Heading1"/>
        <w:spacing w:before="200" w:after="80"/>
      </w:pPr>
      <w:r>
        <w:rPr>
          <w:color w:val="1F497D"/>
          <w:sz w:val="30"/>
        </w:rPr>
        <w:t>4. Business Recommendations</w:t>
      </w:r>
    </w:p>
    <w:p w14:paraId="2D415C22" w14:textId="77777777" w:rsidR="00697AF8" w:rsidRDefault="00000000">
      <w:pPr>
        <w:pStyle w:val="Heading2"/>
        <w:spacing w:after="80"/>
      </w:pPr>
      <w:r>
        <w:rPr>
          <w:color w:val="1F497D"/>
          <w:sz w:val="24"/>
        </w:rPr>
        <w:t>4.1  Immediate Actions (0–3 months)</w:t>
      </w:r>
    </w:p>
    <w:p w14:paraId="3F784829" w14:textId="77777777" w:rsidR="00697AF8" w:rsidRDefault="00000000">
      <w:pPr>
        <w:pStyle w:val="ListBullet"/>
        <w:spacing w:after="60"/>
      </w:pPr>
      <w:r>
        <w:rPr>
          <w:b/>
          <w:sz w:val="21"/>
        </w:rPr>
        <w:t xml:space="preserve">Priority — Pre-submission claim screening: </w:t>
      </w:r>
      <w:r>
        <w:rPr>
          <w:sz w:val="21"/>
        </w:rPr>
        <w:t>Deploy the Claim Outcome Predictor as a pre-submission filter in the billing workflow. Flag predicted-Rejected claims for coder review before transmission to the payer. Start with Orthopedics and Cardiology (highest rejection rates at 15.6%).</w:t>
      </w:r>
    </w:p>
    <w:p w14:paraId="04753580" w14:textId="77777777" w:rsidR="00697AF8" w:rsidRDefault="00000000">
      <w:pPr>
        <w:pStyle w:val="ListBullet"/>
        <w:spacing w:after="60"/>
      </w:pPr>
      <w:r>
        <w:rPr>
          <w:b/>
          <w:sz w:val="21"/>
        </w:rPr>
        <w:t xml:space="preserve">Cash flow — Pending claims review: </w:t>
      </w:r>
      <w:r>
        <w:rPr>
          <w:sz w:val="21"/>
        </w:rPr>
        <w:t>Apply the claim model to all 6,263 pending claims to prioritise follow-up. The $127.7M in pending status represents the highest near-term cash flow opportunity.</w:t>
      </w:r>
    </w:p>
    <w:p w14:paraId="1F92127E" w14:textId="77777777" w:rsidR="00697AF8" w:rsidRDefault="00000000">
      <w:pPr>
        <w:pStyle w:val="ListBullet"/>
        <w:spacing w:after="60"/>
      </w:pPr>
      <w:r>
        <w:rPr>
          <w:b/>
          <w:sz w:val="21"/>
        </w:rPr>
        <w:t xml:space="preserve">Process — Denial root-cause audit: </w:t>
      </w:r>
      <w:r>
        <w:rPr>
          <w:sz w:val="21"/>
        </w:rPr>
        <w:t>The uniform ~15% rejection rate across all four insurance providers confirms a systemic documentation or coding issue. Audit the top rejection codes in Orthopedics and Cardiology to identify the highest-frequency correctable patterns.</w:t>
      </w:r>
    </w:p>
    <w:p w14:paraId="41DC3EF2" w14:textId="77777777" w:rsidR="00697AF8" w:rsidRDefault="00697AF8"/>
    <w:p w14:paraId="39679538" w14:textId="77777777" w:rsidR="00697AF8" w:rsidRDefault="00000000">
      <w:pPr>
        <w:pStyle w:val="Heading2"/>
        <w:spacing w:after="80"/>
      </w:pPr>
      <w:r>
        <w:rPr>
          <w:color w:val="1F497D"/>
          <w:sz w:val="24"/>
        </w:rPr>
        <w:t>4.2  Medium-Term Investments (3–12 months)</w:t>
      </w:r>
    </w:p>
    <w:p w14:paraId="55D44DE0" w14:textId="77777777" w:rsidR="00697AF8" w:rsidRDefault="00000000">
      <w:pPr>
        <w:pStyle w:val="ListBullet"/>
        <w:spacing w:after="60"/>
      </w:pPr>
      <w:r>
        <w:rPr>
          <w:b/>
          <w:sz w:val="21"/>
        </w:rPr>
        <w:t xml:space="preserve">Clinical data enrichment: </w:t>
      </w:r>
      <w:r>
        <w:rPr>
          <w:sz w:val="21"/>
        </w:rPr>
        <w:t>Integrate ICD diagnosis codes, comorbidity scores, and vital signs into the risk model. The AI infrastructure is already production-ready; enriched labels will unlock clinically meaningful risk predictions.</w:t>
      </w:r>
    </w:p>
    <w:p w14:paraId="4CBC5D9F" w14:textId="77777777" w:rsidR="00697AF8" w:rsidRDefault="00000000">
      <w:pPr>
        <w:pStyle w:val="ListBullet"/>
        <w:spacing w:after="60"/>
      </w:pPr>
      <w:r>
        <w:rPr>
          <w:b/>
          <w:sz w:val="21"/>
        </w:rPr>
        <w:t xml:space="preserve">Live system integration: </w:t>
      </w:r>
      <w:r>
        <w:rPr>
          <w:sz w:val="21"/>
        </w:rPr>
        <w:t>Connect the FastAPI service to the hospital's live EHR system (Epic/Cerner) for real-time inference at the point of billing. The current API accepts JSON input and requires no architectural changes.</w:t>
      </w:r>
    </w:p>
    <w:p w14:paraId="71606F08" w14:textId="77777777" w:rsidR="00697AF8" w:rsidRDefault="00000000">
      <w:pPr>
        <w:pStyle w:val="ListBullet"/>
        <w:spacing w:after="60"/>
      </w:pPr>
      <w:r>
        <w:rPr>
          <w:b/>
          <w:sz w:val="21"/>
        </w:rPr>
        <w:lastRenderedPageBreak/>
        <w:t xml:space="preserve">Automated drift monitoring: </w:t>
      </w:r>
      <w:r>
        <w:rPr>
          <w:sz w:val="21"/>
        </w:rPr>
        <w:t>Configure AWS CloudWatch alerts on drift_report.csv output. Alert when any feature mean deviates &gt;10% from training baseline to protect model accuracy without manual oversight.</w:t>
      </w:r>
    </w:p>
    <w:p w14:paraId="1B9070AE" w14:textId="77777777" w:rsidR="00697AF8" w:rsidRDefault="00697AF8"/>
    <w:p w14:paraId="0F3F96E9" w14:textId="77777777" w:rsidR="00697AF8" w:rsidRDefault="00000000">
      <w:pPr>
        <w:pStyle w:val="Heading2"/>
        <w:spacing w:after="80"/>
      </w:pPr>
      <w:r>
        <w:rPr>
          <w:color w:val="1F497D"/>
          <w:sz w:val="24"/>
        </w:rPr>
        <w:t>4.3  Strategic Scaling (12+ months)</w:t>
      </w:r>
    </w:p>
    <w:p w14:paraId="158D1801" w14:textId="77777777" w:rsidR="00697AF8" w:rsidRDefault="00000000">
      <w:pPr>
        <w:pStyle w:val="ListBullet"/>
        <w:spacing w:after="60"/>
      </w:pPr>
      <w:r>
        <w:rPr>
          <w:b/>
          <w:sz w:val="21"/>
        </w:rPr>
        <w:t xml:space="preserve">Revenue forecasting: </w:t>
      </w:r>
      <w:r>
        <w:rPr>
          <w:sz w:val="21"/>
        </w:rPr>
        <w:t>Extend the claim model to predict billed_amount (regression) alongside claim status, enabling CFO-level revenue forecasting per billing cycle.</w:t>
      </w:r>
    </w:p>
    <w:p w14:paraId="60DE8A0B" w14:textId="77777777" w:rsidR="00697AF8" w:rsidRDefault="00000000">
      <w:pPr>
        <w:pStyle w:val="ListBullet"/>
        <w:spacing w:after="60"/>
      </w:pPr>
      <w:r>
        <w:rPr>
          <w:b/>
          <w:sz w:val="21"/>
        </w:rPr>
        <w:t xml:space="preserve">Explainability for coders: </w:t>
      </w:r>
      <w:r>
        <w:rPr>
          <w:sz w:val="21"/>
        </w:rPr>
        <w:t>Add a SHAP-based explanation endpoint (/explain) that gives billing coders the specific feature driving a Rejected prediction — enabling targeted correction, not just a flag.</w:t>
      </w:r>
    </w:p>
    <w:p w14:paraId="5462C43A" w14:textId="77777777" w:rsidR="00697AF8" w:rsidRDefault="00000000">
      <w:pPr>
        <w:pStyle w:val="ListBullet"/>
        <w:spacing w:after="60"/>
      </w:pPr>
      <w:r>
        <w:rPr>
          <w:b/>
          <w:sz w:val="21"/>
        </w:rPr>
        <w:t xml:space="preserve">Multi-hospital SaaS: </w:t>
      </w:r>
      <w:r>
        <w:rPr>
          <w:sz w:val="21"/>
        </w:rPr>
        <w:t>The current API architecture supports multi-tenant deployment with minimal changes. Packaging this as a shared service across a hospital network multiplies the ROI.</w:t>
      </w:r>
    </w:p>
    <w:p w14:paraId="6C0EC50D" w14:textId="77777777" w:rsidR="00697AF8" w:rsidRDefault="00697AF8"/>
    <w:p w14:paraId="0DAA77B7" w14:textId="77777777" w:rsidR="00697AF8" w:rsidRDefault="00000000">
      <w:pPr>
        <w:pStyle w:val="Heading1"/>
        <w:spacing w:before="200" w:after="80"/>
      </w:pPr>
      <w:r>
        <w:rPr>
          <w:color w:val="1F497D"/>
          <w:sz w:val="30"/>
        </w:rPr>
        <w:t>5. Governance &amp; Compliance</w:t>
      </w:r>
    </w:p>
    <w:tbl>
      <w:tblPr>
        <w:tblStyle w:val="TableGrid"/>
        <w:tblW w:w="0" w:type="auto"/>
        <w:tblLook w:val="04A0" w:firstRow="1" w:lastRow="0" w:firstColumn="1" w:lastColumn="0" w:noHBand="0" w:noVBand="1"/>
      </w:tblPr>
      <w:tblGrid>
        <w:gridCol w:w="2880"/>
        <w:gridCol w:w="6480"/>
      </w:tblGrid>
      <w:tr w:rsidR="00697AF8" w14:paraId="1052E62E" w14:textId="77777777">
        <w:tc>
          <w:tcPr>
            <w:tcW w:w="2880" w:type="dxa"/>
            <w:shd w:val="clear" w:color="auto" w:fill="1F497D"/>
          </w:tcPr>
          <w:p w14:paraId="5FBF61D9" w14:textId="77777777" w:rsidR="00697AF8" w:rsidRDefault="00000000">
            <w:pPr>
              <w:jc w:val="center"/>
            </w:pPr>
            <w:r>
              <w:rPr>
                <w:b/>
                <w:color w:val="FFFFFF"/>
                <w:sz w:val="20"/>
              </w:rPr>
              <w:t>Governance Area</w:t>
            </w:r>
          </w:p>
        </w:tc>
        <w:tc>
          <w:tcPr>
            <w:tcW w:w="6480" w:type="dxa"/>
            <w:shd w:val="clear" w:color="auto" w:fill="1F497D"/>
          </w:tcPr>
          <w:p w14:paraId="4C19AEC7" w14:textId="77777777" w:rsidR="00697AF8" w:rsidRDefault="00000000">
            <w:pPr>
              <w:jc w:val="center"/>
            </w:pPr>
            <w:r>
              <w:rPr>
                <w:b/>
                <w:color w:val="FFFFFF"/>
                <w:sz w:val="20"/>
              </w:rPr>
              <w:t>Measure Implemented</w:t>
            </w:r>
          </w:p>
        </w:tc>
      </w:tr>
      <w:tr w:rsidR="00697AF8" w14:paraId="14952137" w14:textId="77777777">
        <w:tc>
          <w:tcPr>
            <w:tcW w:w="2880" w:type="dxa"/>
            <w:shd w:val="clear" w:color="auto" w:fill="FFFFFF"/>
          </w:tcPr>
          <w:p w14:paraId="57553D0A" w14:textId="77777777" w:rsidR="00697AF8" w:rsidRDefault="00000000">
            <w:pPr>
              <w:jc w:val="center"/>
            </w:pPr>
            <w:r>
              <w:rPr>
                <w:sz w:val="20"/>
              </w:rPr>
              <w:t>Audit trail</w:t>
            </w:r>
          </w:p>
        </w:tc>
        <w:tc>
          <w:tcPr>
            <w:tcW w:w="6480" w:type="dxa"/>
            <w:shd w:val="clear" w:color="auto" w:fill="FFFFFF"/>
          </w:tcPr>
          <w:p w14:paraId="7C1389A9" w14:textId="77777777" w:rsidR="00697AF8" w:rsidRDefault="00000000">
            <w:pPr>
              <w:jc w:val="center"/>
            </w:pPr>
            <w:r>
              <w:rPr>
                <w:sz w:val="20"/>
              </w:rPr>
              <w:t>Every prediction logged to risk_predictions_log.csv / claim_predictions_log.csv with timestamp and features</w:t>
            </w:r>
          </w:p>
        </w:tc>
      </w:tr>
      <w:tr w:rsidR="00697AF8" w14:paraId="023E19B1" w14:textId="77777777">
        <w:tc>
          <w:tcPr>
            <w:tcW w:w="2880" w:type="dxa"/>
            <w:shd w:val="clear" w:color="auto" w:fill="DCE6F1"/>
          </w:tcPr>
          <w:p w14:paraId="38280888" w14:textId="77777777" w:rsidR="00697AF8" w:rsidRDefault="00000000">
            <w:pPr>
              <w:jc w:val="center"/>
            </w:pPr>
            <w:r>
              <w:rPr>
                <w:sz w:val="20"/>
              </w:rPr>
              <w:t>Model versioning</w:t>
            </w:r>
          </w:p>
        </w:tc>
        <w:tc>
          <w:tcPr>
            <w:tcW w:w="6480" w:type="dxa"/>
            <w:shd w:val="clear" w:color="auto" w:fill="DCE6F1"/>
          </w:tcPr>
          <w:p w14:paraId="72DC232B" w14:textId="77777777" w:rsidR="00697AF8" w:rsidRDefault="00000000">
            <w:pPr>
              <w:jc w:val="center"/>
            </w:pPr>
            <w:r>
              <w:rPr>
                <w:sz w:val="20"/>
              </w:rPr>
              <w:t>Models saved as versioned .pkl files; Git-tagged at submission-final for full reproducibility</w:t>
            </w:r>
          </w:p>
        </w:tc>
      </w:tr>
      <w:tr w:rsidR="00697AF8" w14:paraId="4F4117A8" w14:textId="77777777">
        <w:tc>
          <w:tcPr>
            <w:tcW w:w="2880" w:type="dxa"/>
            <w:shd w:val="clear" w:color="auto" w:fill="FFFFFF"/>
          </w:tcPr>
          <w:p w14:paraId="236C5286" w14:textId="77777777" w:rsidR="00697AF8" w:rsidRDefault="00000000">
            <w:pPr>
              <w:jc w:val="center"/>
            </w:pPr>
            <w:r>
              <w:rPr>
                <w:sz w:val="20"/>
              </w:rPr>
              <w:t>Drift detection</w:t>
            </w:r>
          </w:p>
        </w:tc>
        <w:tc>
          <w:tcPr>
            <w:tcW w:w="6480" w:type="dxa"/>
            <w:shd w:val="clear" w:color="auto" w:fill="FFFFFF"/>
          </w:tcPr>
          <w:p w14:paraId="0DA6B381" w14:textId="77777777" w:rsidR="00697AF8" w:rsidRDefault="00000000">
            <w:pPr>
              <w:jc w:val="center"/>
            </w:pPr>
            <w:r>
              <w:rPr>
                <w:sz w:val="20"/>
              </w:rPr>
              <w:t>Automated monitoring compares live prediction logs to training baseline; outputs drift_report.csv and JSON</w:t>
            </w:r>
          </w:p>
        </w:tc>
      </w:tr>
      <w:tr w:rsidR="00697AF8" w14:paraId="5D3A46CE" w14:textId="77777777">
        <w:tc>
          <w:tcPr>
            <w:tcW w:w="2880" w:type="dxa"/>
            <w:shd w:val="clear" w:color="auto" w:fill="DCE6F1"/>
          </w:tcPr>
          <w:p w14:paraId="0F355FED" w14:textId="77777777" w:rsidR="00697AF8" w:rsidRDefault="00000000">
            <w:pPr>
              <w:jc w:val="center"/>
            </w:pPr>
            <w:r>
              <w:rPr>
                <w:sz w:val="20"/>
              </w:rPr>
              <w:t>Leakage prevention</w:t>
            </w:r>
          </w:p>
        </w:tc>
        <w:tc>
          <w:tcPr>
            <w:tcW w:w="6480" w:type="dxa"/>
            <w:shd w:val="clear" w:color="auto" w:fill="DCE6F1"/>
          </w:tcPr>
          <w:p w14:paraId="0DADBD0D" w14:textId="77777777" w:rsidR="00697AF8" w:rsidRDefault="00000000">
            <w:pPr>
              <w:jc w:val="center"/>
            </w:pPr>
            <w:r>
              <w:rPr>
                <w:sz w:val="20"/>
              </w:rPr>
              <w:t>approved_amount excluded from training; time-based 80/20 split prevents future-data leakage</w:t>
            </w:r>
          </w:p>
        </w:tc>
      </w:tr>
      <w:tr w:rsidR="00697AF8" w14:paraId="6FD688E2" w14:textId="77777777">
        <w:tc>
          <w:tcPr>
            <w:tcW w:w="2880" w:type="dxa"/>
            <w:shd w:val="clear" w:color="auto" w:fill="FFFFFF"/>
          </w:tcPr>
          <w:p w14:paraId="1FBB37B0" w14:textId="77777777" w:rsidR="00697AF8" w:rsidRDefault="00000000">
            <w:pPr>
              <w:jc w:val="center"/>
            </w:pPr>
            <w:r>
              <w:rPr>
                <w:sz w:val="20"/>
              </w:rPr>
              <w:t>Class imbalance</w:t>
            </w:r>
          </w:p>
        </w:tc>
        <w:tc>
          <w:tcPr>
            <w:tcW w:w="6480" w:type="dxa"/>
            <w:shd w:val="clear" w:color="auto" w:fill="FFFFFF"/>
          </w:tcPr>
          <w:p w14:paraId="6C540F29" w14:textId="77777777" w:rsidR="00697AF8" w:rsidRDefault="00000000">
            <w:pPr>
              <w:jc w:val="center"/>
            </w:pPr>
            <w:r>
              <w:rPr>
                <w:sz w:val="20"/>
              </w:rPr>
              <w:t>class_weight=balanced on all models; SMOTE resampling applied in Phase 4 evaluation</w:t>
            </w:r>
          </w:p>
        </w:tc>
      </w:tr>
      <w:tr w:rsidR="00697AF8" w14:paraId="174C02CD" w14:textId="77777777">
        <w:tc>
          <w:tcPr>
            <w:tcW w:w="2880" w:type="dxa"/>
            <w:shd w:val="clear" w:color="auto" w:fill="DCE6F1"/>
          </w:tcPr>
          <w:p w14:paraId="144E4303" w14:textId="77777777" w:rsidR="00697AF8" w:rsidRDefault="00000000">
            <w:pPr>
              <w:jc w:val="center"/>
            </w:pPr>
            <w:r>
              <w:rPr>
                <w:sz w:val="20"/>
              </w:rPr>
              <w:t>Deployment security</w:t>
            </w:r>
          </w:p>
        </w:tc>
        <w:tc>
          <w:tcPr>
            <w:tcW w:w="6480" w:type="dxa"/>
            <w:shd w:val="clear" w:color="auto" w:fill="DCE6F1"/>
          </w:tcPr>
          <w:p w14:paraId="196D75C7" w14:textId="77777777" w:rsidR="00697AF8" w:rsidRDefault="00000000">
            <w:pPr>
              <w:jc w:val="center"/>
            </w:pPr>
            <w:r>
              <w:rPr>
                <w:sz w:val="20"/>
              </w:rPr>
              <w:t>AWS EC2 security groups restrict inbound access to ports 22 (SSH), 8000 (API), 7860 (UI) only</w:t>
            </w:r>
          </w:p>
        </w:tc>
      </w:tr>
    </w:tbl>
    <w:p w14:paraId="5A142C17" w14:textId="77777777" w:rsidR="00697AF8" w:rsidRDefault="00697AF8"/>
    <w:p w14:paraId="52EC6258" w14:textId="77777777" w:rsidR="00697AF8" w:rsidRDefault="00697AF8"/>
    <w:p w14:paraId="5185AAB3" w14:textId="77777777" w:rsidR="00697AF8" w:rsidRDefault="00000000">
      <w:pPr>
        <w:pStyle w:val="Heading1"/>
        <w:spacing w:before="200" w:after="80"/>
      </w:pPr>
      <w:r>
        <w:rPr>
          <w:color w:val="1F497D"/>
          <w:sz w:val="30"/>
        </w:rPr>
        <w:t>6. Conclusion</w:t>
      </w:r>
    </w:p>
    <w:p w14:paraId="0FF281FA" w14:textId="77777777" w:rsidR="00697AF8" w:rsidRDefault="00000000">
      <w:pPr>
        <w:spacing w:after="120"/>
      </w:pPr>
      <w:r>
        <w:rPr>
          <w:sz w:val="21"/>
        </w:rPr>
        <w:t>The Hospital Operations and Revenue Risk Intelligence Platform demonstrates that a well-governed AI system can deliver measurable financial impact in healthcare revenue cycle management. With $74.9 million in directly rejected claims and $127.7 million in pending adjudication across 25,000 visits, even a moderate AI-assisted interception rate of 60% would protect approximately $45 million per billing cycle.</w:t>
      </w:r>
    </w:p>
    <w:p w14:paraId="65710B57" w14:textId="77777777" w:rsidR="00697AF8" w:rsidRDefault="00000000">
      <w:pPr>
        <w:spacing w:after="120"/>
      </w:pPr>
      <w:r>
        <w:rPr>
          <w:sz w:val="21"/>
        </w:rPr>
        <w:t>The honest model performance metrics — 55% claim accuracy and 47% risk accuracy — reflect the constraints of synthetic labels, not architectural limitations. The FastAPI service, monitoring pipeline, audit framework, and AWS deployment are production-ready and designed to improve progressively as real clinical data replaces synthetic placeholders.</w:t>
      </w:r>
    </w:p>
    <w:p w14:paraId="3CCCF94C" w14:textId="77777777" w:rsidR="00697AF8" w:rsidRDefault="00000000">
      <w:pPr>
        <w:spacing w:after="120"/>
      </w:pPr>
      <w:r>
        <w:rPr>
          <w:b/>
          <w:sz w:val="21"/>
        </w:rPr>
        <w:t>Leadership sponsorship of three immediate actions — pre-submission claim screening in Orthopedics and Cardiology, pending claims prioritisation, and a denial documentation audit — would deliver measurable ROI within the first quarter of deployment.</w:t>
      </w:r>
    </w:p>
    <w:p w14:paraId="1E84B9A5" w14:textId="77777777" w:rsidR="00697AF8" w:rsidRDefault="00697AF8"/>
    <w:p w14:paraId="64D2AB08" w14:textId="77777777" w:rsidR="00697AF8" w:rsidRDefault="00000000">
      <w:pPr>
        <w:jc w:val="center"/>
      </w:pPr>
      <w:r>
        <w:rPr>
          <w:i/>
          <w:color w:val="808080"/>
          <w:sz w:val="20"/>
        </w:rPr>
        <w:t>— End of Report —</w:t>
      </w:r>
    </w:p>
    <w:sectPr w:rsidR="00697AF8"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9799863">
    <w:abstractNumId w:val="8"/>
  </w:num>
  <w:num w:numId="2" w16cid:durableId="906722075">
    <w:abstractNumId w:val="6"/>
  </w:num>
  <w:num w:numId="3" w16cid:durableId="157622097">
    <w:abstractNumId w:val="5"/>
  </w:num>
  <w:num w:numId="4" w16cid:durableId="1281768162">
    <w:abstractNumId w:val="4"/>
  </w:num>
  <w:num w:numId="5" w16cid:durableId="558563561">
    <w:abstractNumId w:val="7"/>
  </w:num>
  <w:num w:numId="6" w16cid:durableId="64188648">
    <w:abstractNumId w:val="3"/>
  </w:num>
  <w:num w:numId="7" w16cid:durableId="1866557692">
    <w:abstractNumId w:val="2"/>
  </w:num>
  <w:num w:numId="8" w16cid:durableId="374623150">
    <w:abstractNumId w:val="1"/>
  </w:num>
  <w:num w:numId="9" w16cid:durableId="1926574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7AF8"/>
    <w:rsid w:val="009F2216"/>
    <w:rsid w:val="00AA1D8D"/>
    <w:rsid w:val="00B47730"/>
    <w:rsid w:val="00CB0664"/>
    <w:rsid w:val="00D32E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C4BFF4"/>
  <w14:defaultImageDpi w14:val="300"/>
  <w15:docId w15:val="{5B38CCF8-935B-497C-AFC1-BA3EE0E68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1326</Words>
  <Characters>7563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Prakash R</cp:lastModifiedBy>
  <cp:revision>2</cp:revision>
  <dcterms:created xsi:type="dcterms:W3CDTF">2013-12-23T23:15:00Z</dcterms:created>
  <dcterms:modified xsi:type="dcterms:W3CDTF">2026-03-22T10:26:00Z</dcterms:modified>
  <cp:category/>
</cp:coreProperties>
</file>