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4FC6" w14:textId="42BF0546" w:rsidR="007E67DF" w:rsidRDefault="00000000">
      <w:pPr>
        <w:pStyle w:val="Title"/>
      </w:pPr>
      <w:r>
        <w:t>Explainability &amp; Model Interpretation Report</w:t>
      </w:r>
    </w:p>
    <w:p w14:paraId="720F462E" w14:textId="77777777" w:rsidR="007E67DF" w:rsidRDefault="00000000">
      <w:r>
        <w:t>This document provides a detailed explainability analysis of both the Risk Prediction Model and Claim Outcome Model developed as part of the Hospital Operations &amp; Revenue Risk Intelligence Platform. It integrates insights from model evaluation reports and aligns with real-world business interpretation requirements.</w:t>
      </w:r>
      <w:r>
        <w:br/>
      </w:r>
    </w:p>
    <w:p w14:paraId="6FBD4B66" w14:textId="77777777" w:rsidR="000A284D" w:rsidRDefault="000A284D" w:rsidP="000A284D">
      <w:pPr>
        <w:contextualSpacing/>
      </w:pPr>
      <w:r>
        <w:t>Hospital Data Sources</w:t>
      </w:r>
    </w:p>
    <w:p w14:paraId="4C0288A2" w14:textId="77777777" w:rsidR="000A284D" w:rsidRDefault="000A284D" w:rsidP="000A284D">
      <w:pPr>
        <w:contextualSpacing/>
      </w:pPr>
      <w:r>
        <w:t>(patients.csv / visits.csv / billing.csv)</w:t>
      </w:r>
    </w:p>
    <w:p w14:paraId="7D085425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439105E7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2D9C4F81" w14:textId="77777777" w:rsidR="000A284D" w:rsidRDefault="000A284D" w:rsidP="000A284D">
      <w:pPr>
        <w:contextualSpacing/>
      </w:pPr>
      <w:r>
        <w:t>Phase 1 — SQL Analytics</w:t>
      </w:r>
    </w:p>
    <w:p w14:paraId="5EC0215A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0BCC69A4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3BFD7A4A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Phase 2 </w:t>
      </w:r>
      <w:r>
        <w:rPr>
          <w:rFonts w:hint="eastAsia"/>
        </w:rPr>
        <w:t>—</w:t>
      </w:r>
      <w:r>
        <w:rPr>
          <w:rFonts w:hint="eastAsia"/>
        </w:rPr>
        <w:t xml:space="preserve"> EDA &amp; Feature </w:t>
      </w:r>
      <w:proofErr w:type="gramStart"/>
      <w:r>
        <w:rPr>
          <w:rFonts w:hint="eastAsia"/>
        </w:rPr>
        <w:t xml:space="preserve">Engineering  </w:t>
      </w:r>
      <w:r>
        <w:rPr>
          <w:rFonts w:hint="eastAsia"/>
        </w:rPr>
        <w:t>→</w:t>
      </w:r>
      <w:proofErr w:type="gramEnd"/>
      <w:r>
        <w:rPr>
          <w:rFonts w:hint="eastAsia"/>
        </w:rPr>
        <w:t xml:space="preserve">  model_table.csv</w:t>
      </w:r>
    </w:p>
    <w:p w14:paraId="45495118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28B8CE67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54D3003C" w14:textId="77777777" w:rsidR="000A284D" w:rsidRDefault="000A284D" w:rsidP="000A284D">
      <w:pPr>
        <w:contextualSpacing/>
      </w:pPr>
      <w:r>
        <w:t>Phase 3 — ML Model Training</w:t>
      </w:r>
    </w:p>
    <w:p w14:paraId="3DBCEE31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risk_model.pkl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sklearn Pipeline + RandomForest)</w:t>
      </w:r>
    </w:p>
    <w:p w14:paraId="140A92F6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claim_model.pkl  (</w:t>
      </w:r>
      <w:proofErr w:type="gramEnd"/>
      <w:r>
        <w:rPr>
          <w:rFonts w:hint="eastAsia"/>
        </w:rPr>
        <w:t>raw RandomForestClassifier)</w:t>
      </w:r>
    </w:p>
    <w:p w14:paraId="536816D1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5B4029EA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4794D59E" w14:textId="77777777" w:rsidR="000A284D" w:rsidRDefault="000A284D" w:rsidP="000A284D">
      <w:pPr>
        <w:contextualSpacing/>
      </w:pPr>
      <w:r>
        <w:t>Phase 4 — Model Evaluation &amp; Explainability (SHAP, Fairness)</w:t>
      </w:r>
    </w:p>
    <w:p w14:paraId="6233CCD5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7845F273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2E731546" w14:textId="77777777" w:rsidR="000A284D" w:rsidRDefault="000A284D" w:rsidP="000A284D">
      <w:pPr>
        <w:contextualSpacing/>
      </w:pPr>
      <w:r>
        <w:t>Phase 5 — FastAPI Service (main.py + schemas.py + utils.py)</w:t>
      </w:r>
    </w:p>
    <w:p w14:paraId="1003DCB3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POST /predict_risk</w:t>
      </w:r>
    </w:p>
    <w:p w14:paraId="7F367054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POST /predict_claim</w:t>
      </w:r>
    </w:p>
    <w:p w14:paraId="66803449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Gradio UI (ui.py)</w:t>
      </w:r>
    </w:p>
    <w:p w14:paraId="68630A1C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3A87B534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033F6E5A" w14:textId="77777777" w:rsidR="000A284D" w:rsidRDefault="000A284D" w:rsidP="000A284D">
      <w:pPr>
        <w:contextualSpacing/>
      </w:pPr>
      <w:r>
        <w:t>Phase 6 — Monitoring &amp; Drift Detection</w:t>
      </w:r>
    </w:p>
    <w:p w14:paraId="337919BC" w14:textId="72D3927E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monitoring.py  (</w:t>
      </w:r>
      <w:proofErr w:type="gramEnd"/>
      <w:r>
        <w:rPr>
          <w:rFonts w:hint="eastAsia"/>
        </w:rPr>
        <w:t>online feature + prediction drift)</w:t>
      </w:r>
    </w:p>
    <w:p w14:paraId="47DD0D20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advanced_monitoring.py</w:t>
      </w:r>
      <w:proofErr w:type="gramStart"/>
      <w:r>
        <w:rPr>
          <w:rFonts w:hint="eastAsia"/>
        </w:rPr>
        <w:t xml:space="preserve">   (</w:t>
      </w:r>
      <w:proofErr w:type="gramEnd"/>
      <w:r>
        <w:rPr>
          <w:rFonts w:hint="eastAsia"/>
        </w:rPr>
        <w:t>batch dataset drift)</w:t>
      </w:r>
    </w:p>
    <w:p w14:paraId="6397D118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│</w:t>
      </w:r>
    </w:p>
    <w:p w14:paraId="523D81CD" w14:textId="77777777" w:rsidR="000A284D" w:rsidRDefault="000A284D" w:rsidP="000A284D">
      <w:pPr>
        <w:contextualSpacing/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▼</w:t>
      </w:r>
    </w:p>
    <w:p w14:paraId="4BB0E8C1" w14:textId="1CA96786" w:rsidR="000A284D" w:rsidRDefault="000A284D" w:rsidP="000A284D">
      <w:pPr>
        <w:contextualSpacing/>
      </w:pPr>
      <w:r>
        <w:t>Hospital Dashboards / Internal Applications</w:t>
      </w:r>
    </w:p>
    <w:p w14:paraId="4F043817" w14:textId="77777777" w:rsidR="007E67DF" w:rsidRDefault="00000000">
      <w:pPr>
        <w:pStyle w:val="Heading1"/>
      </w:pPr>
      <w:r>
        <w:lastRenderedPageBreak/>
        <w:t>1. Risk Model Explainability</w:t>
      </w:r>
    </w:p>
    <w:p w14:paraId="6FE89B0D" w14:textId="77777777" w:rsidR="007E67DF" w:rsidRDefault="00000000">
      <w:r>
        <w:t>The Risk Model predicts patient visit risk categories (Low, Medium, High). Based on evaluation results (~47% accuracy), the model demonstrates limited discriminative capability due to weak feature-label relationships.</w:t>
      </w:r>
    </w:p>
    <w:p w14:paraId="4991339D" w14:textId="77777777" w:rsidR="007E67DF" w:rsidRDefault="00000000">
      <w:r>
        <w:t>Key Observations:</w:t>
      </w:r>
    </w:p>
    <w:p w14:paraId="6275EB78" w14:textId="77777777" w:rsidR="007E67DF" w:rsidRDefault="00000000">
      <w:r>
        <w:t>- Feature distributions across risk classes are nearly identical.</w:t>
      </w:r>
    </w:p>
    <w:p w14:paraId="60D747D6" w14:textId="77777777" w:rsidR="007E67DF" w:rsidRDefault="00000000">
      <w:r>
        <w:t>- No strong predictive signal exists in available features.</w:t>
      </w:r>
    </w:p>
    <w:p w14:paraId="3DEBD680" w14:textId="77777777" w:rsidR="007E67DF" w:rsidRDefault="00000000">
      <w:r>
        <w:t>- Model primarily learns class imbalance patterns rather than true risk differentiation.</w:t>
      </w:r>
    </w:p>
    <w:p w14:paraId="1B90CCB6" w14:textId="77777777" w:rsidR="007E67DF" w:rsidRDefault="00000000">
      <w:r>
        <w:t>Feature Behavior Analysis:</w:t>
      </w:r>
    </w:p>
    <w:p w14:paraId="1D0A1E49" w14:textId="77777777" w:rsidR="007E67DF" w:rsidRDefault="00000000">
      <w:r>
        <w:t>- Length of Stay, Visit Frequency, and Age show minimal variation across classes.</w:t>
      </w:r>
    </w:p>
    <w:p w14:paraId="2838AAE4" w14:textId="77777777" w:rsidR="007E67DF" w:rsidRDefault="00000000">
      <w:r>
        <w:t>- Chronic flag distribution is nearly uniform (~50% across all classes).</w:t>
      </w:r>
    </w:p>
    <w:p w14:paraId="2100B489" w14:textId="77777777" w:rsidR="007E67DF" w:rsidRDefault="00000000">
      <w:r>
        <w:t>- Department and visit type provide weak contextual signals but insufficient separation.</w:t>
      </w:r>
    </w:p>
    <w:p w14:paraId="331ABF17" w14:textId="77777777" w:rsidR="007E67DF" w:rsidRDefault="00000000">
      <w:r>
        <w:t>Interpretation:</w:t>
      </w:r>
    </w:p>
    <w:p w14:paraId="2421AE99" w14:textId="77777777" w:rsidR="007E67DF" w:rsidRDefault="00000000">
      <w:r>
        <w:t>The model relies on combinations of weak operational indicators rather than strong predictors. This explains the moderate accuracy and confusion between Medium and High risk classes.</w:t>
      </w:r>
    </w:p>
    <w:p w14:paraId="3B33E3DF" w14:textId="77777777" w:rsidR="007E67DF" w:rsidRDefault="00000000">
      <w:r>
        <w:t>Conclusion:</w:t>
      </w:r>
    </w:p>
    <w:p w14:paraId="50B9B601" w14:textId="77777777" w:rsidR="007E67DF" w:rsidRDefault="00000000">
      <w:r>
        <w:t>The Risk Model reflects the limitations of the dataset rather than model design. Additional clinical features (diagnosis codes, severity scores) are required for meaningful explainability.</w:t>
      </w:r>
    </w:p>
    <w:p w14:paraId="7F8835F3" w14:textId="77777777" w:rsidR="007E67DF" w:rsidRDefault="00000000">
      <w:pPr>
        <w:pStyle w:val="Heading1"/>
      </w:pPr>
      <w:r>
        <w:t>2. Claim Model Explainability</w:t>
      </w:r>
    </w:p>
    <w:p w14:paraId="278AB991" w14:textId="77777777" w:rsidR="007E67DF" w:rsidRDefault="00000000">
      <w:r>
        <w:t>The Claim Model predicts claim outcomes (Paid, Pending, Rejected) with ~55–62% accuracy after removing data leakage features.</w:t>
      </w:r>
    </w:p>
    <w:p w14:paraId="0FFDC71F" w14:textId="77777777" w:rsidR="007E67DF" w:rsidRDefault="00000000">
      <w:r>
        <w:t>Key Observations:</w:t>
      </w:r>
    </w:p>
    <w:p w14:paraId="15CCA2C4" w14:textId="77777777" w:rsidR="007E67DF" w:rsidRDefault="00000000">
      <w:r>
        <w:t>- Financial and operational features provide meaningful predictive signals.</w:t>
      </w:r>
    </w:p>
    <w:p w14:paraId="668CFD03" w14:textId="77777777" w:rsidR="007E67DF" w:rsidRDefault="00000000">
      <w:r>
        <w:t>- Model avoids leakage by excluding approved_amount and payment_days.</w:t>
      </w:r>
    </w:p>
    <w:p w14:paraId="49D344B1" w14:textId="77777777" w:rsidR="007E67DF" w:rsidRDefault="00000000">
      <w:r>
        <w:t>- Performance reflects real-world constraints of pre-claim prediction.</w:t>
      </w:r>
    </w:p>
    <w:p w14:paraId="48FF03A8" w14:textId="77777777" w:rsidR="007E67DF" w:rsidRDefault="00000000">
      <w:r>
        <w:t>Feature Importance Insights:</w:t>
      </w:r>
    </w:p>
    <w:p w14:paraId="7A3C1733" w14:textId="77777777" w:rsidR="007E67DF" w:rsidRDefault="00000000">
      <w:r>
        <w:t>- Billed Amount: Strong indicator of claim scrutiny and rejection probability.</w:t>
      </w:r>
    </w:p>
    <w:p w14:paraId="6E52F131" w14:textId="77777777" w:rsidR="007E67DF" w:rsidRDefault="00000000">
      <w:r>
        <w:lastRenderedPageBreak/>
        <w:t>- Provider Rejection Rate: Captures historical payer behavior.</w:t>
      </w:r>
    </w:p>
    <w:p w14:paraId="7EFBD3C4" w14:textId="77777777" w:rsidR="007E67DF" w:rsidRDefault="00000000">
      <w:r>
        <w:t>- Visit Frequency &amp; LOS: Represent patient complexity and cost exposure.</w:t>
      </w:r>
    </w:p>
    <w:p w14:paraId="1DF806DB" w14:textId="77777777" w:rsidR="007E67DF" w:rsidRDefault="00000000">
      <w:r>
        <w:t>Interpretation:</w:t>
      </w:r>
    </w:p>
    <w:p w14:paraId="4F2BD4C0" w14:textId="77777777" w:rsidR="007E67DF" w:rsidRDefault="00000000">
      <w:r>
        <w:t>Unlike the risk model, the claim model benefits from financial features that directly influence claim outcomes. This results in improved explainability and practical utility.</w:t>
      </w:r>
    </w:p>
    <w:p w14:paraId="5F8DB7BE" w14:textId="77777777" w:rsidR="007E67DF" w:rsidRDefault="00000000">
      <w:r>
        <w:t>Conclusion:</w:t>
      </w:r>
    </w:p>
    <w:p w14:paraId="5ACEE6BD" w14:textId="77777777" w:rsidR="007E67DF" w:rsidRDefault="00000000">
      <w:r>
        <w:t>The Claim Model demonstrates realistic and interpretable behavior aligned with hospital billing processes.</w:t>
      </w:r>
    </w:p>
    <w:p w14:paraId="4E76BE05" w14:textId="77777777" w:rsidR="007E67DF" w:rsidRDefault="00000000">
      <w:pPr>
        <w:pStyle w:val="Heading1"/>
      </w:pPr>
      <w:r>
        <w:t>3. Comparative Explainability Analysis</w:t>
      </w:r>
    </w:p>
    <w:p w14:paraId="3C64AC18" w14:textId="77777777" w:rsidR="007E67DF" w:rsidRDefault="00000000">
      <w:r>
        <w:t>A clear contrast exists between the two models:</w:t>
      </w:r>
    </w:p>
    <w:p w14:paraId="7D2AEC3B" w14:textId="77777777" w:rsidR="007E67DF" w:rsidRDefault="00000000">
      <w:r>
        <w:t>- Risk Model: Weak features → low explainability → lower accuracy.</w:t>
      </w:r>
    </w:p>
    <w:p w14:paraId="72B599A1" w14:textId="77777777" w:rsidR="007E67DF" w:rsidRDefault="00000000">
      <w:r>
        <w:t>- Claim Model: Strong financial features → high explainability → better performance.</w:t>
      </w:r>
    </w:p>
    <w:p w14:paraId="3BD39B9E" w14:textId="77777777" w:rsidR="007E67DF" w:rsidRDefault="00000000">
      <w:r>
        <w:t>This difference highlights the importance of feature relevance in machine learning systems.</w:t>
      </w:r>
    </w:p>
    <w:p w14:paraId="4005C60E" w14:textId="77777777" w:rsidR="007E67DF" w:rsidRDefault="00000000">
      <w:pPr>
        <w:pStyle w:val="Heading1"/>
      </w:pPr>
      <w:r>
        <w:t>4. Fairness &amp; Bias Considerations</w:t>
      </w:r>
    </w:p>
    <w:p w14:paraId="388BCFC4" w14:textId="77777777" w:rsidR="007E67DF" w:rsidRDefault="00000000">
      <w:r>
        <w:t>Analysis across demographic attributes (gender, department) indicates no major bias patterns. Predictions are distributed consistently across groups, suggesting stable model behavior.</w:t>
      </w:r>
    </w:p>
    <w:p w14:paraId="66AE7362" w14:textId="77777777" w:rsidR="007E67DF" w:rsidRDefault="00000000">
      <w:pPr>
        <w:pStyle w:val="Heading1"/>
      </w:pPr>
      <w:r>
        <w:t>5. Business Interpretation</w:t>
      </w:r>
    </w:p>
    <w:p w14:paraId="4D8D66FE" w14:textId="77777777" w:rsidR="007E67DF" w:rsidRDefault="00000000">
      <w:r>
        <w:t>Risk Model:</w:t>
      </w:r>
    </w:p>
    <w:p w14:paraId="44B509CC" w14:textId="77777777" w:rsidR="007E67DF" w:rsidRDefault="00000000">
      <w:r>
        <w:t>- Supports operational awareness despite limited precision.</w:t>
      </w:r>
    </w:p>
    <w:p w14:paraId="7045A3AF" w14:textId="77777777" w:rsidR="007E67DF" w:rsidRDefault="00000000">
      <w:r>
        <w:t>- Helps flag potential high-risk visits for monitoring.</w:t>
      </w:r>
    </w:p>
    <w:p w14:paraId="3AA562D7" w14:textId="77777777" w:rsidR="007E67DF" w:rsidRDefault="00000000">
      <w:r>
        <w:t>Claim Model:</w:t>
      </w:r>
    </w:p>
    <w:p w14:paraId="75CDAC17" w14:textId="77777777" w:rsidR="007E67DF" w:rsidRDefault="00000000">
      <w:r>
        <w:t>- Enables early identification of rejected claims.</w:t>
      </w:r>
    </w:p>
    <w:p w14:paraId="6E4FF453" w14:textId="77777777" w:rsidR="007E67DF" w:rsidRDefault="00000000">
      <w:r>
        <w:t>- Supports proactive financial intervention and revenue optimization.</w:t>
      </w:r>
    </w:p>
    <w:p w14:paraId="0C5D0BAB" w14:textId="77777777" w:rsidR="007E67DF" w:rsidRDefault="00000000">
      <w:pPr>
        <w:pStyle w:val="Heading1"/>
      </w:pPr>
      <w:r>
        <w:t>6. Final Conclusion</w:t>
      </w:r>
    </w:p>
    <w:p w14:paraId="689547CE" w14:textId="77777777" w:rsidR="007E67DF" w:rsidRDefault="00000000">
      <w:r>
        <w:t xml:space="preserve">The explainability analysis confirms that model performance is directly tied to feature quality. The Risk Model is constrained by weak signals in synthetic data, while the Claim </w:t>
      </w:r>
      <w:r>
        <w:lastRenderedPageBreak/>
        <w:t>Model benefits from meaningful financial features. Both models are interpretable and aligned with business objectives, but future improvements should focus on enriching feature sets to enhance predictive power.</w:t>
      </w:r>
    </w:p>
    <w:sectPr w:rsidR="007E67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49353">
    <w:abstractNumId w:val="8"/>
  </w:num>
  <w:num w:numId="2" w16cid:durableId="1782264514">
    <w:abstractNumId w:val="6"/>
  </w:num>
  <w:num w:numId="3" w16cid:durableId="1797404553">
    <w:abstractNumId w:val="5"/>
  </w:num>
  <w:num w:numId="4" w16cid:durableId="295572541">
    <w:abstractNumId w:val="4"/>
  </w:num>
  <w:num w:numId="5" w16cid:durableId="733623782">
    <w:abstractNumId w:val="7"/>
  </w:num>
  <w:num w:numId="6" w16cid:durableId="1738284843">
    <w:abstractNumId w:val="3"/>
  </w:num>
  <w:num w:numId="7" w16cid:durableId="668096224">
    <w:abstractNumId w:val="2"/>
  </w:num>
  <w:num w:numId="8" w16cid:durableId="1780830599">
    <w:abstractNumId w:val="1"/>
  </w:num>
  <w:num w:numId="9" w16cid:durableId="164323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84D"/>
    <w:rsid w:val="0015074B"/>
    <w:rsid w:val="0029639D"/>
    <w:rsid w:val="00326F90"/>
    <w:rsid w:val="005C539D"/>
    <w:rsid w:val="007E67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F2779"/>
  <w14:defaultImageDpi w14:val="300"/>
  <w15:docId w15:val="{5C5BC79E-9262-408F-A86D-A3A67912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2026-03-22T10:12:00Z</dcterms:modified>
  <cp:category/>
</cp:coreProperties>
</file>