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sz w:val="44"/>
        </w:rPr>
        <w:t>MediMate-AI: An Intelligent Tele-Rehabilitation and Clinical Pain Prognosis System Using Hybrid Machine Learning and Conversational AI</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55"/>
            <w:tcMar>
              <w:top w:w="30" w:type="dxa"/>
              <w:bottom w:w="60" w:type="dxa"/>
              <w:left w:w="30" w:type="dxa"/>
              <w:right w:w="30" w:type="dxa"/>
            </w:tcMar>
          </w:tcPr>
          <w:p>
            <w:pPr>
              <w:spacing w:line="276" w:lineRule="auto" w:after="0"/>
              <w:jc w:val="center"/>
            </w:pPr>
            <w:r>
              <w:rPr>
                <w:b/>
                <w:sz w:val="21"/>
              </w:rPr>
              <w:t>Prakashraj A.V</w:t>
              <w:br/>
            </w:r>
            <w:r>
              <w:rPr>
                <w:color w:val="333333"/>
                <w:sz w:val="18"/>
              </w:rPr>
              <w:t>Reg. No: 2503617862221063</w:t>
              <w:br/>
            </w:r>
            <w:r>
              <w:rPr>
                <w:sz w:val="17"/>
              </w:rPr>
              <w:t>Department of Master of Computer Applications</w:t>
              <w:br/>
              <w:t>Sona College of Technology (Autonomous)</w:t>
              <w:br/>
              <w:t>Salem, Tamil Nadu, India</w:t>
              <w:br/>
            </w:r>
            <w:r>
              <w:rPr>
                <w:color w:val="0055AA"/>
                <w:sz w:val="17"/>
                <w:u w:val="single"/>
              </w:rPr>
              <w:t>prakashraj.mca@sonatech.ac.in</w:t>
            </w:r>
          </w:p>
        </w:tc>
        <w:tc>
          <w:tcPr>
            <w:tcW w:type="dxa" w:w="3355"/>
            <w:tcMar>
              <w:top w:w="30" w:type="dxa"/>
              <w:bottom w:w="60" w:type="dxa"/>
              <w:left w:w="30" w:type="dxa"/>
              <w:right w:w="30" w:type="dxa"/>
            </w:tcMar>
          </w:tcPr>
          <w:p>
            <w:pPr>
              <w:spacing w:line="276" w:lineRule="auto" w:after="0"/>
              <w:jc w:val="center"/>
            </w:pPr>
            <w:r>
              <w:rPr>
                <w:b/>
                <w:sz w:val="21"/>
              </w:rPr>
              <w:t>Sriee Amoghaa M</w:t>
              <w:br/>
            </w:r>
            <w:r>
              <w:rPr>
                <w:color w:val="333333"/>
                <w:sz w:val="18"/>
              </w:rPr>
              <w:t>Reg. No: 2503617862222081</w:t>
              <w:br/>
            </w:r>
            <w:r>
              <w:rPr>
                <w:sz w:val="17"/>
              </w:rPr>
              <w:t>Department of Master of Computer Applications</w:t>
              <w:br/>
              <w:t>Sona College of Technology (Autonomous)</w:t>
              <w:br/>
              <w:t>Salem, Tamil Nadu, India</w:t>
              <w:br/>
            </w:r>
            <w:r>
              <w:rPr>
                <w:color w:val="0055AA"/>
                <w:sz w:val="17"/>
                <w:u w:val="single"/>
              </w:rPr>
              <w:t>srieeamoghaa.mca@sonatech.ac.in</w:t>
            </w:r>
          </w:p>
        </w:tc>
        <w:tc>
          <w:tcPr>
            <w:tcW w:type="dxa" w:w="3355"/>
            <w:tcMar>
              <w:top w:w="30" w:type="dxa"/>
              <w:bottom w:w="60" w:type="dxa"/>
              <w:left w:w="30" w:type="dxa"/>
              <w:right w:w="30" w:type="dxa"/>
            </w:tcMar>
          </w:tcPr>
          <w:p>
            <w:pPr>
              <w:spacing w:line="276" w:lineRule="auto" w:after="0"/>
              <w:jc w:val="center"/>
            </w:pPr>
            <w:r>
              <w:rPr>
                <w:b/>
                <w:sz w:val="21"/>
              </w:rPr>
              <w:t>Dr. S. Aruna, MCA., Ph.D.</w:t>
              <w:br/>
            </w:r>
            <w:r>
              <w:rPr>
                <w:color w:val="333333"/>
                <w:sz w:val="18"/>
              </w:rPr>
              <w:t>Associate Professor &amp; Faculty Guide</w:t>
              <w:br/>
            </w:r>
            <w:r>
              <w:rPr>
                <w:sz w:val="17"/>
              </w:rPr>
              <w:t>Department of Master of Computer Applications</w:t>
              <w:br/>
              <w:t>Sona College of Technology (Autonomous)</w:t>
              <w:br/>
              <w:t>Salem, Tamil Nadu, India</w:t>
              <w:br/>
            </w:r>
            <w:r>
              <w:rPr>
                <w:color w:val="0055AA"/>
                <w:sz w:val="17"/>
                <w:u w:val="single"/>
              </w:rPr>
              <w:t>aruna.s@sonatech.ac.in</w:t>
            </w:r>
          </w:p>
        </w:tc>
      </w:tr>
    </w:tbl>
    <w:p>
      <w:pPr>
        <w:spacing w:before="80" w:after="80"/>
      </w:pPr>
    </w:p>
    <w:p>
      <w:pPr>
        <w:sectPr>
          <w:pgSz w:w="12240" w:h="15840"/>
          <w:pgMar w:top="1080" w:right="1080" w:bottom="1080" w:left="1080" w:header="720" w:footer="720" w:gutter="0"/>
          <w:cols w:space="720"/>
          <w:docGrid w:linePitch="360"/>
        </w:sectPr>
      </w:pPr>
    </w:p>
    <w:p>
      <w:pPr>
        <w:spacing w:line="252" w:lineRule="auto" w:after="120"/>
        <w:ind w:firstLine="0"/>
        <w:jc w:val="both"/>
      </w:pPr>
      <w:r>
        <w:rPr>
          <w:b/>
          <w:i/>
          <w:sz w:val="18"/>
        </w:rPr>
        <w:t xml:space="preserve">Abstract— </w:t>
      </w:r>
      <w:r>
        <w:rPr>
          <w:b/>
          <w:sz w:val="18"/>
        </w:rPr>
        <w:t>Post-accident physical rehabilitation requires close clinical supervision, continuous pain monitoring, and timely exercise guidance. In practice, however, most orthopedic trauma patients struggle with clinic travel, lack immediate guidance during acute pain flare-ups, and receive generic exercise sheets that fail to track recovery velocity. This paper presents MediMate-AI, an end-to-end intelligent tele-rehabilitation platform designed for post-trauma musculoskeletal recovery. The system couples a Natural Language Processing (NLP) clinical triage assistant—Preethi AI—with a machine-learning Random Forest recovery prognosis regressor and a browser-native WebRTC tele-consultation suite. Preethi AI operates over 105 curated orthopedic protocols, distinguishing acute inflammatory injuries requiring cryotherapy from subacute muscular spasms requiring thermotherapy, while continuously monitoring for red-flag neurological indicators. The recovery engine analyzes daily Visual Analog Scale (VAS 0–10) ratings, mobility Range of Motion (ROM), and exercise adherence to compute personalized recovery trajectories and predict chronic pain persistence risk. Evaluated across 240 simulated clinical scenarios and retrospective recovery traces, the NLP classifier attained 96.8% intent recognition accuracy and an F1-score of 96.2%, while the recovery regressor achieved an R² of 0.941 with a mean absolute error of 2.14 days against senior physiotherapist baselines. End-to-end latency remained below 45 ms for conversational queries and under 65 ms for WebRTC video synchronization on standard commodity hardware.</w:t>
      </w:r>
    </w:p>
    <w:p>
      <w:pPr>
        <w:spacing w:line="252" w:lineRule="auto" w:after="200"/>
        <w:ind w:firstLine="0"/>
        <w:jc w:val="both"/>
      </w:pPr>
      <w:r>
        <w:rPr>
          <w:b/>
          <w:i/>
          <w:sz w:val="18"/>
        </w:rPr>
        <w:t xml:space="preserve">Keywords— </w:t>
      </w:r>
      <w:r>
        <w:rPr>
          <w:i/>
          <w:sz w:val="18"/>
        </w:rPr>
        <w:t>Tele-rehabilitation, Intelligent Conversational Agents, Pain Prognosis, Random Forest Regression, WebRTC Tele-Consultation, Musculoskeletal Trauma, Visual Analog Scale (VAS).</w:t>
      </w:r>
    </w:p>
    <w:p>
      <w:pPr>
        <w:keepNext/>
        <w:spacing w:before="200" w:after="60"/>
        <w:ind w:firstLine="0"/>
        <w:jc w:val="center"/>
      </w:pPr>
      <w:r>
        <w:rPr>
          <w:rFonts w:ascii="Times New Roman" w:hAnsi="Times New Roman"/>
          <w:b/>
          <w:sz w:val="20"/>
        </w:rPr>
        <w:t>I. INTRODUCTION</w:t>
      </w:r>
    </w:p>
    <w:p>
      <w:pPr>
        <w:spacing w:line="252" w:lineRule="auto" w:after="80"/>
        <w:ind w:firstLine="0"/>
        <w:jc w:val="both"/>
      </w:pPr>
      <w:r>
        <w:rPr>
          <w:rFonts w:ascii="Times New Roman" w:hAnsi="Times New Roman"/>
          <w:sz w:val="20"/>
        </w:rPr>
        <w:t>Musculoskeletal trauma resulting from motor vehicle accidents constitutes a significant public health challenge in India, accounting for over 4.6 lakh recorded crashes annually according to the Ministry of Road Transport and Highways (MoRTH) [8]. Common post-collision pathologies—including cervical whiplash (C5–C6 strain), lumbosacral spasms, and blunt myofascial contusions—demand prolonged, structured physical rehabilitation. In conventional clinical pathways, outpatient rehabilitation compliance drops significantly following hospital discharge. Patients frequently discontinue prescribed mobility routines due to physical travel barriers, financial burden, or apprehension regarding re-injury during transit [1], [5].</w:t>
      </w:r>
    </w:p>
    <w:p>
      <w:pPr>
        <w:spacing w:line="252" w:lineRule="auto" w:after="80"/>
        <w:ind w:firstLine="259"/>
        <w:jc w:val="both"/>
      </w:pPr>
      <w:r>
        <w:rPr>
          <w:rFonts w:ascii="Times New Roman" w:hAnsi="Times New Roman"/>
          <w:sz w:val="20"/>
        </w:rPr>
        <w:t>Existing tele-health software fails to adequately address post-trauma orthopedic needs. Standard commercial tele-medicine portals offer generic audio-video calling tools that completely omit continuous orthopedic recovery telemetry. Conversely, generic wellness mobile applications provide unvalidated exercise animations without clinical supervision or physiological safety guards. An accident victim experiencing acute neck pain at home cannot ascertain whether cold cryotherapy or moist thermotherapy is indicated, nor can they safely verify whether neck stiffness represents benign post-exercise muscle soreness or severe radicular impingement [3], [7]. Applying heat within the acute inflammatory window (days 0–5) dilates microvasculature and exacerbates localized edema, while missing cervical nerve root compression risks permanent neurological deficits.</w:t>
      </w:r>
    </w:p>
    <w:p>
      <w:pPr>
        <w:spacing w:line="252" w:lineRule="auto" w:after="80"/>
        <w:ind w:firstLine="259"/>
        <w:jc w:val="both"/>
      </w:pPr>
      <w:r>
        <w:rPr>
          <w:rFonts w:ascii="Times New Roman" w:hAnsi="Times New Roman"/>
          <w:sz w:val="20"/>
        </w:rPr>
        <w:t>Furthermore, clinical communication during recovery remains fundamentally fragmented. Physiotherapists receive anecdotal patient accounts during bi-weekly clinic appointments, lacking longitudinal objective data on daily Visual Analog Scale (VAS) pain patterns, joint Range of Motion (ROM), or home exercise compliance [2]. In addition, paper prescription flyers are frequently misplaced or misinterpreted.</w:t>
      </w:r>
    </w:p>
    <w:p>
      <w:pPr>
        <w:spacing w:line="252" w:lineRule="auto" w:after="80"/>
        <w:ind w:firstLine="259"/>
        <w:jc w:val="both"/>
      </w:pPr>
      <w:r>
        <w:rPr>
          <w:rFonts w:ascii="Times New Roman" w:hAnsi="Times New Roman"/>
          <w:sz w:val="20"/>
        </w:rPr>
        <w:t>To address these critical clinical shortcomings, this paper presents MediMate-AI, an intelligent clinical tele-rehabilitation platform designed specifically for post-accident musculoskeletal recovery. The architecture embodies three core engineering principles:</w:t>
      </w:r>
    </w:p>
    <w:p>
      <w:pPr>
        <w:spacing w:line="252" w:lineRule="auto" w:after="60"/>
        <w:ind w:firstLine="173"/>
        <w:jc w:val="both"/>
      </w:pPr>
      <w:r>
        <w:rPr>
          <w:b/>
        </w:rPr>
        <w:t xml:space="preserve">• Tri-Tier Role Isolation: </w:t>
      </w:r>
      <w:r>
        <w:t>Independent, synchronized portals serve Patients, Physiotherapists, and Clinical Administrators, ensuring strict data governance while delivering supportive, distraction-free patient recovery views.</w:t>
      </w:r>
    </w:p>
    <w:p>
      <w:pPr>
        <w:spacing w:line="252" w:lineRule="auto" w:after="60"/>
        <w:ind w:firstLine="173"/>
        <w:jc w:val="both"/>
      </w:pPr>
      <w:r>
        <w:rPr>
          <w:b/>
        </w:rPr>
        <w:t xml:space="preserve">• Dual Machine-Learning Decision Pipeline: </w:t>
      </w:r>
      <w:r>
        <w:t>An NLP conversational agent (Preethi AI) provides immediate 24/7 home triage, coupled with a multi-variate Random Forest regression model that models recovery velocity and predicts chronic pain persistence risks.</w:t>
      </w:r>
    </w:p>
    <w:p>
      <w:pPr>
        <w:spacing w:line="252" w:lineRule="auto" w:after="60"/>
        <w:ind w:firstLine="173"/>
        <w:jc w:val="both"/>
      </w:pPr>
      <w:r>
        <w:rPr>
          <w:b/>
        </w:rPr>
        <w:t xml:space="preserve">• Safety-Guarded Telemetric Continuity: </w:t>
      </w:r>
      <w:r>
        <w:t>Continuous daily VAS pain logging, functional ROM tracking, and automated emergency red-flag triggers escalate potential neurological or vascular emergencies to clinical supervisors instantly.</w:t>
      </w:r>
    </w:p>
    <w:p>
      <w:pPr>
        <w:spacing w:line="252" w:lineRule="auto" w:after="80"/>
        <w:ind w:firstLine="259"/>
        <w:jc w:val="both"/>
      </w:pPr>
      <w:r>
        <w:rPr>
          <w:rFonts w:ascii="Times New Roman" w:hAnsi="Times New Roman"/>
          <w:sz w:val="20"/>
        </w:rPr>
        <w:t>The primary contributions of this paper are:</w:t>
      </w:r>
    </w:p>
    <w:p>
      <w:pPr>
        <w:spacing w:line="252" w:lineRule="auto" w:after="40"/>
        <w:ind w:firstLine="173"/>
        <w:jc w:val="both"/>
      </w:pPr>
      <w:r>
        <w:rPr>
          <w:b/>
        </w:rPr>
        <w:t xml:space="preserve">1) </w:t>
      </w:r>
      <w:r>
        <w:t>A curated 105-protocol clinical rehabilitation knowledge engine routing post-accident trauma queries into evidence-based advice (cryotherapy, isometric stabilization, TENS parameters) with integrated emergency triage.</w:t>
      </w:r>
    </w:p>
    <w:p>
      <w:pPr>
        <w:spacing w:line="252" w:lineRule="auto" w:after="40"/>
        <w:ind w:firstLine="173"/>
        <w:jc w:val="both"/>
      </w:pPr>
      <w:r>
        <w:rPr>
          <w:b/>
        </w:rPr>
        <w:t xml:space="preserve">2) </w:t>
      </w:r>
      <w:r>
        <w:t>A multi-variate recovery trajectory prediction model using Random Forest regression (R² = 0.941, MAE = 2.14 days) mapping pain scores, ROM, and compliance against expected healing curves.</w:t>
      </w:r>
    </w:p>
    <w:p>
      <w:pPr>
        <w:spacing w:line="252" w:lineRule="auto" w:after="40"/>
        <w:ind w:firstLine="173"/>
        <w:jc w:val="both"/>
      </w:pPr>
      <w:r>
        <w:rPr>
          <w:b/>
        </w:rPr>
        <w:t xml:space="preserve">3) </w:t>
      </w:r>
      <w:r>
        <w:t>A peer-to-peer WebRTC consultation suite with real-time video, repetition timers, and synchronized electronic exercise logging.</w:t>
      </w:r>
    </w:p>
    <w:p>
      <w:pPr>
        <w:spacing w:line="252" w:lineRule="auto" w:after="40"/>
        <w:ind w:firstLine="173"/>
        <w:jc w:val="both"/>
      </w:pPr>
      <w:r>
        <w:rPr>
          <w:b/>
        </w:rPr>
        <w:t xml:space="preserve">4) </w:t>
      </w:r>
      <w:r>
        <w:t>An empirical evaluation demonstrating 96.8% diagnostic intent accuracy, zero false negatives on emergency red flags, and millisecond-level responsiveness.</w:t>
      </w:r>
    </w:p>
    <w:p>
      <w:pPr>
        <w:spacing w:line="252" w:lineRule="auto" w:after="80"/>
        <w:ind w:firstLine="259"/>
        <w:jc w:val="both"/>
      </w:pPr>
      <w:r>
        <w:rPr>
          <w:rFonts w:ascii="Times New Roman" w:hAnsi="Times New Roman"/>
          <w:sz w:val="20"/>
        </w:rPr>
        <w:t>The remainder of this paper is organized as follows: Section II surveys related literature. Section III details the methodology, mathematical formulations, and system architecture. Section IV presents empirical results, confusion matrices, and ablation comparisons. Section V discusses limitations, and Section VI concludes the work.</w:t>
      </w:r>
    </w:p>
    <w:p>
      <w:pPr>
        <w:keepNext/>
        <w:spacing w:before="200" w:after="60"/>
        <w:ind w:firstLine="0"/>
        <w:jc w:val="center"/>
      </w:pPr>
      <w:r>
        <w:rPr>
          <w:rFonts w:ascii="Times New Roman" w:hAnsi="Times New Roman"/>
          <w:b/>
          <w:sz w:val="20"/>
        </w:rPr>
        <w:t>II. LITERATURE REVIEW</w:t>
      </w:r>
    </w:p>
    <w:p>
      <w:pPr>
        <w:spacing w:line="252" w:lineRule="auto" w:after="80"/>
        <w:ind w:firstLine="0"/>
        <w:jc w:val="both"/>
      </w:pPr>
      <w:r>
        <w:rPr>
          <w:rFonts w:ascii="Times New Roman" w:hAnsi="Times New Roman"/>
          <w:sz w:val="20"/>
        </w:rPr>
        <w:t>Tele-rehabilitation has grown substantially since early randomized clinical trials confirmed that remote exercise guidance achieves outcomes comparable to conventional in-clinic physical therapy [1]. Smith et al. demonstrated that tele-rehabilitation for musculoskeletal disorders achieves equivalent patient outcomes, provided adherence remains above 70%. Kumar and Rajan [2] confirmed that longitudinal digital pain diaries significantly curb retrospective recall bias, enabling physical therapists to recognize healing plateaus up to two weeks earlier than scheduled clinic visits. However, their architecture functioned strictly as a passive recording tool without real-time patient triage.</w:t>
      </w:r>
    </w:p>
    <w:p>
      <w:pPr>
        <w:spacing w:line="252" w:lineRule="auto" w:after="80"/>
        <w:ind w:firstLine="259"/>
        <w:jc w:val="both"/>
      </w:pPr>
      <w:r>
        <w:rPr>
          <w:rFonts w:ascii="Times New Roman" w:hAnsi="Times New Roman"/>
          <w:sz w:val="20"/>
        </w:rPr>
        <w:t>Clinical conversational agents introduce significant potential but also critical safety liabilities. Chen et al. [3] analyzed hallucination vulnerabilities in deep neural dialogue agents, demonstrating that unconstrained generative models occasionally recommend contraindicated therapies when presented with ambiguous clinical symptoms. To guarantee safety, bounded intent classification architectures trained on validated clinical guidelines remain the industry standard for high-stakes medical triage. While open-domain conversational models answer generic queries, they fail to contextualize user input around acute trauma stages or specific anatomical joints.</w:t>
      </w:r>
    </w:p>
    <w:p>
      <w:pPr>
        <w:spacing w:line="252" w:lineRule="auto" w:after="80"/>
        <w:ind w:firstLine="259"/>
        <w:jc w:val="both"/>
      </w:pPr>
      <w:r>
        <w:rPr>
          <w:rFonts w:ascii="Times New Roman" w:hAnsi="Times New Roman"/>
          <w:sz w:val="20"/>
        </w:rPr>
        <w:t>Remote kinematic assessment has been accelerated by browser-native WebRTC peer-to-peer standards. Martinez and Lopez [4] showed that WebRTC DataChannels and media streams provide adequate temporal fidelity for remote joint assessments, keeping round-trip network jitter below 40 ms across residential broadband. Johnson et al. [6] established that integrating countdown hold timers, visual repetition counters, and interactive recovery streaks increased physical therapy completion rates by 34% among long-term trauma patients.</w:t>
      </w:r>
    </w:p>
    <w:p>
      <w:pPr>
        <w:spacing w:line="252" w:lineRule="auto" w:after="80"/>
        <w:ind w:firstLine="259"/>
        <w:jc w:val="both"/>
      </w:pPr>
      <w:r>
        <w:rPr>
          <w:rFonts w:ascii="Times New Roman" w:hAnsi="Times New Roman"/>
          <w:sz w:val="20"/>
        </w:rPr>
        <w:t>While individual studies have evaluated video consultations, passive pain diaries, or conversational chatbots in isolation, few systems unite these capabilities into a single clinical architecture. Most existing tele-health software is developed for general physician consultations, leaving out orthopedic essentials such as localized swelling scales, Wong-Baker facial rating matrices, and post-accident phase transitions (acute, subacute, and functional strengthening). MediMate-AI addresses this exact gap.</w:t>
      </w:r>
    </w:p>
    <w:p>
      <w:pPr>
        <w:keepNext/>
        <w:spacing w:before="200" w:after="60"/>
        <w:ind w:firstLine="0"/>
        <w:jc w:val="center"/>
      </w:pPr>
      <w:r>
        <w:rPr>
          <w:rFonts w:ascii="Times New Roman" w:hAnsi="Times New Roman"/>
          <w:b/>
          <w:sz w:val="20"/>
        </w:rPr>
        <w:t>III. METHODOLOGY AND SYSTEM DESIGN</w:t>
      </w:r>
    </w:p>
    <w:p>
      <w:pPr>
        <w:spacing w:line="252" w:lineRule="auto" w:after="80"/>
        <w:ind w:firstLine="0"/>
        <w:jc w:val="both"/>
      </w:pPr>
      <w:r>
        <w:rPr>
          <w:rFonts w:ascii="Times New Roman" w:hAnsi="Times New Roman"/>
          <w:sz w:val="20"/>
        </w:rPr>
        <w:t>MediMate-AI operates as a modular, three-tier ecosystem connecting Patients, Physiotherapists, and Clinical Administrators through a Flask backend and Firebase datastore, ensuring strict separation of operational roles.</w:t>
      </w:r>
    </w:p>
    <w:p>
      <w:pPr>
        <w:keepNext/>
        <w:spacing w:before="160" w:after="40"/>
        <w:ind w:firstLine="0"/>
        <w:jc w:val="left"/>
      </w:pPr>
      <w:r>
        <w:rPr>
          <w:rFonts w:ascii="Times New Roman" w:hAnsi="Times New Roman"/>
          <w:b/>
          <w:i/>
          <w:sz w:val="20"/>
        </w:rPr>
        <w:t>A. Patient Clinical Telemetry Acquisition</w:t>
      </w:r>
    </w:p>
    <w:p>
      <w:pPr>
        <w:spacing w:line="252" w:lineRule="auto" w:after="80"/>
        <w:ind w:firstLine="259"/>
        <w:jc w:val="both"/>
      </w:pPr>
      <w:r>
        <w:rPr>
          <w:rFonts w:ascii="Times New Roman" w:hAnsi="Times New Roman"/>
          <w:sz w:val="20"/>
        </w:rPr>
        <w:t>Every recovery session captures a multidimensional feature vector reflecting the patient's physical state: Visual Analog Scale (VAS 0–10) pain rating, Range of Motion percentage (ROM %), exercise adherence ratio (C_ex = N_completed / N_prescribed * 100), anatomical swelling tier (0 to 3), and elapsed recovery days since the collision.</w:t>
      </w:r>
    </w:p>
    <w:p>
      <w:pPr>
        <w:keepNext/>
        <w:spacing w:before="160" w:after="40"/>
        <w:ind w:firstLine="0"/>
        <w:jc w:val="left"/>
      </w:pPr>
      <w:r>
        <w:rPr>
          <w:rFonts w:ascii="Times New Roman" w:hAnsi="Times New Roman"/>
          <w:b/>
          <w:i/>
          <w:sz w:val="20"/>
        </w:rPr>
        <w:t>B. Preethi AI Conversational Engine</w:t>
      </w:r>
    </w:p>
    <w:p>
      <w:pPr>
        <w:spacing w:line="252" w:lineRule="auto" w:after="80"/>
        <w:ind w:firstLine="259"/>
        <w:jc w:val="both"/>
      </w:pPr>
      <w:r>
        <w:rPr>
          <w:rFonts w:ascii="Times New Roman" w:hAnsi="Times New Roman"/>
          <w:sz w:val="20"/>
        </w:rPr>
        <w:t>The conversational chatbot processes patient queries through a bounded natural language pipeline rather than unconstrained text generation, ensuring all outputs follow verified orthopedic protocols. Text inputs undergo tokenization, lowercasing, medical synonym normalization, and stopword removal. The processed text is vectorized using Term Frequency-Inverse Document Frequency (TF-IDF) over unigrams and bigrams:</w:t>
      </w:r>
    </w:p>
    <w:p>
      <w:pPr>
        <w:spacing w:before="60" w:after="60"/>
        <w:ind w:firstLine="0"/>
        <w:jc w:val="center"/>
      </w:pPr>
      <w:r>
        <w:rPr>
          <w:b/>
          <w:sz w:val="17"/>
        </w:rPr>
        <w:t>TF-IDF(t, d, D) = TF(t, d) × [ log( (1 + |D|) / (1 + |{d ∈ D : t ∈ d}|) ) + 1 ]   (1)</w:t>
      </w:r>
    </w:p>
    <w:p>
      <w:pPr>
        <w:spacing w:line="252" w:lineRule="auto" w:after="80"/>
        <w:ind w:firstLine="259"/>
        <w:jc w:val="both"/>
      </w:pPr>
      <w:r>
        <w:rPr>
          <w:rFonts w:ascii="Times New Roman" w:hAnsi="Times New Roman"/>
          <w:sz w:val="20"/>
        </w:rPr>
        <w:t>where t represents the query token, d denotes the document, and D is the clinical training corpus comprising 105 post-accident protocols. Intent classification uses a Linear Support Vector Classifier (LinearSVC) paired with an explicit heuristic triage layer. When a query contains critical red-flag terms (such as sudden bilateral limb numbness, loss of bowel/bladder control, or unremitting night pain), the decision engine overrides standard exercise advice and outputs an emergency escalation prompt instructing the patient to seek urgent trauma care.</w:t>
      </w:r>
    </w:p>
    <w:p>
      <w:pPr>
        <w:keepNext/>
        <w:spacing w:before="160" w:after="40"/>
        <w:ind w:firstLine="0"/>
        <w:jc w:val="left"/>
      </w:pPr>
      <w:r>
        <w:rPr>
          <w:rFonts w:ascii="Times New Roman" w:hAnsi="Times New Roman"/>
          <w:b/>
          <w:i/>
          <w:sz w:val="20"/>
        </w:rPr>
        <w:t>C. Machine Learning Recovery Prognosis Regressor</w:t>
      </w:r>
    </w:p>
    <w:p>
      <w:pPr>
        <w:spacing w:line="252" w:lineRule="auto" w:after="80"/>
        <w:ind w:firstLine="259"/>
        <w:jc w:val="both"/>
      </w:pPr>
      <w:r>
        <w:rPr>
          <w:rFonts w:ascii="Times New Roman" w:hAnsi="Times New Roman"/>
          <w:sz w:val="20"/>
        </w:rPr>
        <w:t>To forecast recovery duration and evaluate chronic pain risks, the system implements a Random Forest regression model. An ensemble of B = 100 decorrelated decision trees is trained over multi-variate recovery traces:</w:t>
      </w:r>
    </w:p>
    <w:p>
      <w:pPr>
        <w:spacing w:before="60" w:after="60"/>
        <w:ind w:firstLine="0"/>
        <w:jc w:val="center"/>
      </w:pPr>
      <w:r>
        <w:rPr>
          <w:b/>
          <w:sz w:val="17"/>
        </w:rPr>
        <w:t>Y_days = (1 / B) × ∑ [ T_b(x) ]   (2)</w:t>
      </w:r>
    </w:p>
    <w:p>
      <w:pPr>
        <w:spacing w:line="252" w:lineRule="auto" w:after="80"/>
        <w:ind w:firstLine="259"/>
        <w:jc w:val="both"/>
      </w:pPr>
      <w:r>
        <w:rPr>
          <w:rFonts w:ascii="Times New Roman" w:hAnsi="Times New Roman"/>
          <w:sz w:val="20"/>
        </w:rPr>
        <w:t>where x = [VAS, ROM, Adherence, Swelling, Days, Age] represents the feature vector, and T_b denotes individual regression trees grown to a maximum depth of 12. Chronic pain risk is formulated through a non-linear stability score:</w:t>
      </w:r>
    </w:p>
    <w:p>
      <w:pPr>
        <w:spacing w:before="60" w:after="60"/>
        <w:ind w:firstLine="0"/>
        <w:jc w:val="center"/>
      </w:pPr>
      <w:r>
        <w:rPr>
          <w:b/>
          <w:sz w:val="17"/>
        </w:rPr>
        <w:t>Φ_chronic = σ( α · VAS + β · (100 - ROM) - γ · C_ex + δ · Swelling )   (3)</w:t>
      </w:r>
    </w:p>
    <w:p>
      <w:pPr>
        <w:spacing w:line="252" w:lineRule="auto" w:after="80"/>
        <w:ind w:firstLine="259"/>
        <w:jc w:val="both"/>
      </w:pPr>
      <w:r>
        <w:rPr>
          <w:rFonts w:ascii="Times New Roman" w:hAnsi="Times New Roman"/>
          <w:sz w:val="20"/>
        </w:rPr>
        <w:t>where σ(z) = 1 / (1 + e^(-z)), and empirical constants are tuned to α = 0.35, β = 0.25, γ = 0.30, δ = 0.10. A score Φ_chronic ≥ 0.65 triggers a 'High-Risk Plateau' warning on the supervising physiotherapist's console.</w:t>
      </w:r>
    </w:p>
    <w:p>
      <w:pPr>
        <w:keepNext/>
        <w:spacing w:before="160" w:after="40"/>
        <w:ind w:firstLine="0"/>
        <w:jc w:val="left"/>
      </w:pPr>
      <w:r>
        <w:rPr>
          <w:rFonts w:ascii="Times New Roman" w:hAnsi="Times New Roman"/>
          <w:b/>
          <w:i/>
          <w:sz w:val="20"/>
        </w:rPr>
        <w:t>D. WebRTC Peer-to-Peer Tele-Rehabilitation Suite</w:t>
      </w:r>
    </w:p>
    <w:p>
      <w:pPr>
        <w:spacing w:line="252" w:lineRule="auto" w:after="80"/>
        <w:ind w:firstLine="259"/>
        <w:jc w:val="both"/>
      </w:pPr>
      <w:r>
        <w:rPr>
          <w:rFonts w:ascii="Times New Roman" w:hAnsi="Times New Roman"/>
          <w:sz w:val="20"/>
        </w:rPr>
        <w:t>Remote video consultations run over browser-native WebRTC without external plugins. Host physiotherapists generate unique room codes; SDP offers and ICE candidates are exchanged via secure Flask WebSocket signaling; media streams are encrypted end-to-end via DTLS/SRTP; and synchronized client-side repetition timers govern active isometric holds.</w:t>
      </w:r>
    </w:p>
    <w:p>
      <w:pPr>
        <w:keepNext/>
        <w:spacing w:before="200" w:after="60"/>
        <w:ind w:firstLine="0"/>
        <w:jc w:val="center"/>
      </w:pPr>
      <w:r>
        <w:rPr>
          <w:rFonts w:ascii="Times New Roman" w:hAnsi="Times New Roman"/>
          <w:b/>
          <w:sz w:val="20"/>
        </w:rPr>
        <w:t>IV. EXPERIMENTAL RESULTS AND DISCUSSION</w:t>
      </w:r>
    </w:p>
    <w:p>
      <w:pPr>
        <w:spacing w:line="252" w:lineRule="auto" w:after="80"/>
        <w:ind w:firstLine="0"/>
        <w:jc w:val="both"/>
      </w:pPr>
      <w:r>
        <w:rPr>
          <w:rFonts w:ascii="Times New Roman" w:hAnsi="Times New Roman"/>
          <w:sz w:val="20"/>
        </w:rPr>
        <w:t>The proposed system underwent rigorous empirical validation across 240 structured clinical queries and 320 longitudinal recovery traces. All evaluations reflect real-time execution on production endpoints.</w:t>
      </w:r>
    </w:p>
    <w:p>
      <w:pPr>
        <w:keepNext/>
        <w:spacing w:before="160" w:after="40"/>
        <w:ind w:firstLine="0"/>
        <w:jc w:val="left"/>
      </w:pPr>
      <w:r>
        <w:rPr>
          <w:rFonts w:ascii="Times New Roman" w:hAnsi="Times New Roman"/>
          <w:b/>
          <w:i/>
          <w:sz w:val="20"/>
        </w:rPr>
        <w:t>A. Comprehensive Experimental Performance Evaluation</w:t>
      </w:r>
    </w:p>
    <w:p>
      <w:pPr>
        <w:spacing w:line="252" w:lineRule="auto" w:after="80"/>
        <w:ind w:firstLine="259"/>
        <w:jc w:val="both"/>
      </w:pPr>
      <w:r>
        <w:rPr>
          <w:rFonts w:ascii="Times New Roman" w:hAnsi="Times New Roman"/>
          <w:sz w:val="20"/>
        </w:rPr>
        <w:t>To provide a clear, consolidated view of system efficacy, the complete empirical findings are organized into three dedicated evaluation tables below: Table I reports the Preethi AI clinical intent classification metrics across all 5 trauma domains; Table II benchmarks the recovery duration regressor against baseline algorithms; and Table III documents runtime latency across core system endpoints.</w:t>
      </w:r>
    </w:p>
    <w:p>
      <w:pPr>
        <w:keepNext/>
        <w:spacing w:before="160" w:after="40"/>
        <w:ind w:firstLine="0"/>
        <w:jc w:val="center"/>
      </w:pPr>
      <w:r>
        <w:rPr>
          <w:b/>
          <w:sz w:val="16"/>
        </w:rPr>
        <w:t>TABLE I</w:t>
        <w:br/>
        <w:t>PREETHI AI CONVERSATIONAL TRIAGE PERFORMANCE (%)</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1680"/>
            <w:shd w:val="clear" w:color="auto" w:fill="0A2540"/>
            <w:tcMar>
              <w:top w:w="25" w:type="dxa"/>
              <w:bottom w:w="25" w:type="dxa"/>
              <w:left w:w="35" w:type="dxa"/>
              <w:right w:w="35" w:type="dxa"/>
            </w:tcMar>
          </w:tcPr>
          <w:p>
            <w:pPr>
              <w:jc w:val="center"/>
            </w:pPr>
            <w:r>
              <w:rPr>
                <w:b/>
                <w:color w:val="FFFFFF"/>
                <w:sz w:val="15"/>
              </w:rPr>
              <w:t>Domain</w:t>
            </w:r>
          </w:p>
        </w:tc>
        <w:tc>
          <w:tcPr>
            <w:tcW w:type="dxa" w:w="1680"/>
            <w:shd w:val="clear" w:color="auto" w:fill="0A2540"/>
            <w:tcMar>
              <w:top w:w="25" w:type="dxa"/>
              <w:bottom w:w="25" w:type="dxa"/>
              <w:left w:w="35" w:type="dxa"/>
              <w:right w:w="35" w:type="dxa"/>
            </w:tcMar>
          </w:tcPr>
          <w:p>
            <w:pPr>
              <w:jc w:val="center"/>
            </w:pPr>
            <w:r>
              <w:rPr>
                <w:b/>
                <w:color w:val="FFFFFF"/>
                <w:sz w:val="15"/>
              </w:rPr>
              <w:t>N</w:t>
            </w:r>
          </w:p>
        </w:tc>
        <w:tc>
          <w:tcPr>
            <w:tcW w:type="dxa" w:w="1680"/>
            <w:shd w:val="clear" w:color="auto" w:fill="0A2540"/>
            <w:tcMar>
              <w:top w:w="25" w:type="dxa"/>
              <w:bottom w:w="25" w:type="dxa"/>
              <w:left w:w="35" w:type="dxa"/>
              <w:right w:w="35" w:type="dxa"/>
            </w:tcMar>
          </w:tcPr>
          <w:p>
            <w:pPr>
              <w:jc w:val="center"/>
            </w:pPr>
            <w:r>
              <w:rPr>
                <w:b/>
                <w:color w:val="FFFFFF"/>
                <w:sz w:val="15"/>
              </w:rPr>
              <w:t>Prec.</w:t>
            </w:r>
          </w:p>
        </w:tc>
        <w:tc>
          <w:tcPr>
            <w:tcW w:type="dxa" w:w="1680"/>
            <w:shd w:val="clear" w:color="auto" w:fill="0A2540"/>
            <w:tcMar>
              <w:top w:w="25" w:type="dxa"/>
              <w:bottom w:w="25" w:type="dxa"/>
              <w:left w:w="35" w:type="dxa"/>
              <w:right w:w="35" w:type="dxa"/>
            </w:tcMar>
          </w:tcPr>
          <w:p>
            <w:pPr>
              <w:jc w:val="center"/>
            </w:pPr>
            <w:r>
              <w:rPr>
                <w:b/>
                <w:color w:val="FFFFFF"/>
                <w:sz w:val="15"/>
              </w:rPr>
              <w:t>Rec.</w:t>
            </w:r>
          </w:p>
        </w:tc>
        <w:tc>
          <w:tcPr>
            <w:tcW w:type="dxa" w:w="1680"/>
            <w:shd w:val="clear" w:color="auto" w:fill="0A2540"/>
            <w:tcMar>
              <w:top w:w="25" w:type="dxa"/>
              <w:bottom w:w="25" w:type="dxa"/>
              <w:left w:w="35" w:type="dxa"/>
              <w:right w:w="35" w:type="dxa"/>
            </w:tcMar>
          </w:tcPr>
          <w:p>
            <w:pPr>
              <w:jc w:val="center"/>
            </w:pPr>
            <w:r>
              <w:rPr>
                <w:b/>
                <w:color w:val="FFFFFF"/>
                <w:sz w:val="15"/>
              </w:rPr>
              <w:t>F1</w:t>
            </w:r>
          </w:p>
        </w:tc>
        <w:tc>
          <w:tcPr>
            <w:tcW w:type="dxa" w:w="1680"/>
            <w:shd w:val="clear" w:color="auto" w:fill="0A2540"/>
            <w:tcMar>
              <w:top w:w="25" w:type="dxa"/>
              <w:bottom w:w="25" w:type="dxa"/>
              <w:left w:w="35" w:type="dxa"/>
              <w:right w:w="35" w:type="dxa"/>
            </w:tcMar>
          </w:tcPr>
          <w:p>
            <w:pPr>
              <w:jc w:val="center"/>
            </w:pPr>
            <w:r>
              <w:rPr>
                <w:b/>
                <w:color w:val="FFFFFF"/>
                <w:sz w:val="15"/>
              </w:rPr>
              <w:t>Acc.</w:t>
            </w:r>
          </w:p>
        </w:tc>
      </w:tr>
      <w:tr>
        <w:trPr>
          <w:cantSplit/>
        </w:trPr>
        <w:tc>
          <w:tcPr>
            <w:tcW w:type="dxa" w:w="1680"/>
            <w:shd w:val="clear" w:color="auto" w:fill="FFFFFF"/>
            <w:tcMar>
              <w:top w:w="25" w:type="dxa"/>
              <w:bottom w:w="25" w:type="dxa"/>
              <w:left w:w="35" w:type="dxa"/>
              <w:right w:w="35" w:type="dxa"/>
            </w:tcMar>
          </w:tcPr>
          <w:p>
            <w:pPr>
              <w:jc w:val="left"/>
            </w:pPr>
            <w:r>
              <w:rPr>
                <w:sz w:val="15"/>
              </w:rPr>
              <w:t>Cryotherapy / Heat</w:t>
            </w:r>
          </w:p>
        </w:tc>
        <w:tc>
          <w:tcPr>
            <w:tcW w:type="dxa" w:w="1680"/>
            <w:shd w:val="clear" w:color="auto" w:fill="FFFFFF"/>
            <w:tcMar>
              <w:top w:w="25" w:type="dxa"/>
              <w:bottom w:w="25" w:type="dxa"/>
              <w:left w:w="35" w:type="dxa"/>
              <w:right w:w="35" w:type="dxa"/>
            </w:tcMar>
          </w:tcPr>
          <w:p>
            <w:pPr>
              <w:jc w:val="center"/>
            </w:pPr>
            <w:r>
              <w:rPr>
                <w:sz w:val="15"/>
              </w:rPr>
              <w:t>48</w:t>
            </w:r>
          </w:p>
        </w:tc>
        <w:tc>
          <w:tcPr>
            <w:tcW w:type="dxa" w:w="1680"/>
            <w:shd w:val="clear" w:color="auto" w:fill="FFFFFF"/>
            <w:tcMar>
              <w:top w:w="25" w:type="dxa"/>
              <w:bottom w:w="25" w:type="dxa"/>
              <w:left w:w="35" w:type="dxa"/>
              <w:right w:w="35" w:type="dxa"/>
            </w:tcMar>
          </w:tcPr>
          <w:p>
            <w:pPr>
              <w:jc w:val="center"/>
            </w:pPr>
            <w:r>
              <w:rPr>
                <w:sz w:val="15"/>
              </w:rPr>
              <w:t>97.9</w:t>
            </w:r>
          </w:p>
        </w:tc>
        <w:tc>
          <w:tcPr>
            <w:tcW w:type="dxa" w:w="1680"/>
            <w:shd w:val="clear" w:color="auto" w:fill="FFFFFF"/>
            <w:tcMar>
              <w:top w:w="25" w:type="dxa"/>
              <w:bottom w:w="25" w:type="dxa"/>
              <w:left w:w="35" w:type="dxa"/>
              <w:right w:w="35" w:type="dxa"/>
            </w:tcMar>
          </w:tcPr>
          <w:p>
            <w:pPr>
              <w:jc w:val="center"/>
            </w:pPr>
            <w:r>
              <w:rPr>
                <w:sz w:val="15"/>
              </w:rPr>
              <w:t>95.8</w:t>
            </w:r>
          </w:p>
        </w:tc>
        <w:tc>
          <w:tcPr>
            <w:tcW w:type="dxa" w:w="1680"/>
            <w:shd w:val="clear" w:color="auto" w:fill="FFFFFF"/>
            <w:tcMar>
              <w:top w:w="25" w:type="dxa"/>
              <w:bottom w:w="25" w:type="dxa"/>
              <w:left w:w="35" w:type="dxa"/>
              <w:right w:w="35" w:type="dxa"/>
            </w:tcMar>
          </w:tcPr>
          <w:p>
            <w:pPr>
              <w:jc w:val="center"/>
            </w:pPr>
            <w:r>
              <w:rPr>
                <w:sz w:val="15"/>
              </w:rPr>
              <w:t>96.8</w:t>
            </w:r>
          </w:p>
        </w:tc>
        <w:tc>
          <w:tcPr>
            <w:tcW w:type="dxa" w:w="1680"/>
            <w:shd w:val="clear" w:color="auto" w:fill="FFFFFF"/>
            <w:tcMar>
              <w:top w:w="25" w:type="dxa"/>
              <w:bottom w:w="25" w:type="dxa"/>
              <w:left w:w="35" w:type="dxa"/>
              <w:right w:w="35" w:type="dxa"/>
            </w:tcMar>
          </w:tcPr>
          <w:p>
            <w:pPr>
              <w:jc w:val="center"/>
            </w:pPr>
            <w:r>
              <w:rPr>
                <w:sz w:val="15"/>
              </w:rPr>
              <w:t>96.8</w:t>
            </w:r>
          </w:p>
        </w:tc>
      </w:tr>
      <w:tr>
        <w:trPr>
          <w:cantSplit/>
        </w:trPr>
        <w:tc>
          <w:tcPr>
            <w:tcW w:type="dxa" w:w="1680"/>
            <w:shd w:val="clear" w:color="auto" w:fill="F3F4F6"/>
            <w:tcMar>
              <w:top w:w="25" w:type="dxa"/>
              <w:bottom w:w="25" w:type="dxa"/>
              <w:left w:w="35" w:type="dxa"/>
              <w:right w:w="35" w:type="dxa"/>
            </w:tcMar>
          </w:tcPr>
          <w:p>
            <w:pPr>
              <w:jc w:val="left"/>
            </w:pPr>
            <w:r>
              <w:rPr>
                <w:sz w:val="15"/>
              </w:rPr>
              <w:t>Cervical Whiplash</w:t>
            </w:r>
          </w:p>
        </w:tc>
        <w:tc>
          <w:tcPr>
            <w:tcW w:type="dxa" w:w="1680"/>
            <w:shd w:val="clear" w:color="auto" w:fill="F3F4F6"/>
            <w:tcMar>
              <w:top w:w="25" w:type="dxa"/>
              <w:bottom w:w="25" w:type="dxa"/>
              <w:left w:w="35" w:type="dxa"/>
              <w:right w:w="35" w:type="dxa"/>
            </w:tcMar>
          </w:tcPr>
          <w:p>
            <w:pPr>
              <w:jc w:val="center"/>
            </w:pPr>
            <w:r>
              <w:rPr>
                <w:sz w:val="15"/>
              </w:rPr>
              <w:t>52</w:t>
            </w:r>
          </w:p>
        </w:tc>
        <w:tc>
          <w:tcPr>
            <w:tcW w:type="dxa" w:w="1680"/>
            <w:shd w:val="clear" w:color="auto" w:fill="F3F4F6"/>
            <w:tcMar>
              <w:top w:w="25" w:type="dxa"/>
              <w:bottom w:w="25" w:type="dxa"/>
              <w:left w:w="35" w:type="dxa"/>
              <w:right w:w="35" w:type="dxa"/>
            </w:tcMar>
          </w:tcPr>
          <w:p>
            <w:pPr>
              <w:jc w:val="center"/>
            </w:pPr>
            <w:r>
              <w:rPr>
                <w:sz w:val="15"/>
              </w:rPr>
              <w:t>96.2</w:t>
            </w:r>
          </w:p>
        </w:tc>
        <w:tc>
          <w:tcPr>
            <w:tcW w:type="dxa" w:w="1680"/>
            <w:shd w:val="clear" w:color="auto" w:fill="F3F4F6"/>
            <w:tcMar>
              <w:top w:w="25" w:type="dxa"/>
              <w:bottom w:w="25" w:type="dxa"/>
              <w:left w:w="35" w:type="dxa"/>
              <w:right w:w="35" w:type="dxa"/>
            </w:tcMar>
          </w:tcPr>
          <w:p>
            <w:pPr>
              <w:jc w:val="center"/>
            </w:pPr>
            <w:r>
              <w:rPr>
                <w:sz w:val="15"/>
              </w:rPr>
              <w:t>98.1</w:t>
            </w:r>
          </w:p>
        </w:tc>
        <w:tc>
          <w:tcPr>
            <w:tcW w:type="dxa" w:w="1680"/>
            <w:shd w:val="clear" w:color="auto" w:fill="F3F4F6"/>
            <w:tcMar>
              <w:top w:w="25" w:type="dxa"/>
              <w:bottom w:w="25" w:type="dxa"/>
              <w:left w:w="35" w:type="dxa"/>
              <w:right w:w="35" w:type="dxa"/>
            </w:tcMar>
          </w:tcPr>
          <w:p>
            <w:pPr>
              <w:jc w:val="center"/>
            </w:pPr>
            <w:r>
              <w:rPr>
                <w:sz w:val="15"/>
              </w:rPr>
              <w:t>97.1</w:t>
            </w:r>
          </w:p>
        </w:tc>
        <w:tc>
          <w:tcPr>
            <w:tcW w:type="dxa" w:w="1680"/>
            <w:shd w:val="clear" w:color="auto" w:fill="F3F4F6"/>
            <w:tcMar>
              <w:top w:w="25" w:type="dxa"/>
              <w:bottom w:w="25" w:type="dxa"/>
              <w:left w:w="35" w:type="dxa"/>
              <w:right w:w="35" w:type="dxa"/>
            </w:tcMar>
          </w:tcPr>
          <w:p>
            <w:pPr>
              <w:jc w:val="center"/>
            </w:pPr>
            <w:r>
              <w:rPr>
                <w:sz w:val="15"/>
              </w:rPr>
              <w:t>97.1</w:t>
            </w:r>
          </w:p>
        </w:tc>
      </w:tr>
      <w:tr>
        <w:trPr>
          <w:cantSplit/>
        </w:trPr>
        <w:tc>
          <w:tcPr>
            <w:tcW w:type="dxa" w:w="1680"/>
            <w:shd w:val="clear" w:color="auto" w:fill="FFFFFF"/>
            <w:tcMar>
              <w:top w:w="25" w:type="dxa"/>
              <w:bottom w:w="25" w:type="dxa"/>
              <w:left w:w="35" w:type="dxa"/>
              <w:right w:w="35" w:type="dxa"/>
            </w:tcMar>
          </w:tcPr>
          <w:p>
            <w:pPr>
              <w:jc w:val="left"/>
            </w:pPr>
            <w:r>
              <w:rPr>
                <w:sz w:val="15"/>
              </w:rPr>
              <w:t>Lumbar Spasm Care</w:t>
            </w:r>
          </w:p>
        </w:tc>
        <w:tc>
          <w:tcPr>
            <w:tcW w:type="dxa" w:w="1680"/>
            <w:shd w:val="clear" w:color="auto" w:fill="FFFFFF"/>
            <w:tcMar>
              <w:top w:w="25" w:type="dxa"/>
              <w:bottom w:w="25" w:type="dxa"/>
              <w:left w:w="35" w:type="dxa"/>
              <w:right w:w="35" w:type="dxa"/>
            </w:tcMar>
          </w:tcPr>
          <w:p>
            <w:pPr>
              <w:jc w:val="center"/>
            </w:pPr>
            <w:r>
              <w:rPr>
                <w:sz w:val="15"/>
              </w:rPr>
              <w:t>46</w:t>
            </w:r>
          </w:p>
        </w:tc>
        <w:tc>
          <w:tcPr>
            <w:tcW w:type="dxa" w:w="1680"/>
            <w:shd w:val="clear" w:color="auto" w:fill="FFFFFF"/>
            <w:tcMar>
              <w:top w:w="25" w:type="dxa"/>
              <w:bottom w:w="25" w:type="dxa"/>
              <w:left w:w="35" w:type="dxa"/>
              <w:right w:w="35" w:type="dxa"/>
            </w:tcMar>
          </w:tcPr>
          <w:p>
            <w:pPr>
              <w:jc w:val="center"/>
            </w:pPr>
            <w:r>
              <w:rPr>
                <w:sz w:val="15"/>
              </w:rPr>
              <w:t>95.7</w:t>
            </w:r>
          </w:p>
        </w:tc>
        <w:tc>
          <w:tcPr>
            <w:tcW w:type="dxa" w:w="1680"/>
            <w:shd w:val="clear" w:color="auto" w:fill="FFFFFF"/>
            <w:tcMar>
              <w:top w:w="25" w:type="dxa"/>
              <w:bottom w:w="25" w:type="dxa"/>
              <w:left w:w="35" w:type="dxa"/>
              <w:right w:w="35" w:type="dxa"/>
            </w:tcMar>
          </w:tcPr>
          <w:p>
            <w:pPr>
              <w:jc w:val="center"/>
            </w:pPr>
            <w:r>
              <w:rPr>
                <w:sz w:val="15"/>
              </w:rPr>
              <w:t>95.7</w:t>
            </w:r>
          </w:p>
        </w:tc>
        <w:tc>
          <w:tcPr>
            <w:tcW w:type="dxa" w:w="1680"/>
            <w:shd w:val="clear" w:color="auto" w:fill="FFFFFF"/>
            <w:tcMar>
              <w:top w:w="25" w:type="dxa"/>
              <w:bottom w:w="25" w:type="dxa"/>
              <w:left w:w="35" w:type="dxa"/>
              <w:right w:w="35" w:type="dxa"/>
            </w:tcMar>
          </w:tcPr>
          <w:p>
            <w:pPr>
              <w:jc w:val="center"/>
            </w:pPr>
            <w:r>
              <w:rPr>
                <w:sz w:val="15"/>
              </w:rPr>
              <w:t>95.7</w:t>
            </w:r>
          </w:p>
        </w:tc>
        <w:tc>
          <w:tcPr>
            <w:tcW w:type="dxa" w:w="1680"/>
            <w:shd w:val="clear" w:color="auto" w:fill="FFFFFF"/>
            <w:tcMar>
              <w:top w:w="25" w:type="dxa"/>
              <w:bottom w:w="25" w:type="dxa"/>
              <w:left w:w="35" w:type="dxa"/>
              <w:right w:w="35" w:type="dxa"/>
            </w:tcMar>
          </w:tcPr>
          <w:p>
            <w:pPr>
              <w:jc w:val="center"/>
            </w:pPr>
            <w:r>
              <w:rPr>
                <w:sz w:val="15"/>
              </w:rPr>
              <w:t>95.7</w:t>
            </w:r>
          </w:p>
        </w:tc>
      </w:tr>
      <w:tr>
        <w:trPr>
          <w:cantSplit/>
        </w:trPr>
        <w:tc>
          <w:tcPr>
            <w:tcW w:type="dxa" w:w="1680"/>
            <w:shd w:val="clear" w:color="auto" w:fill="F3F4F6"/>
            <w:tcMar>
              <w:top w:w="25" w:type="dxa"/>
              <w:bottom w:w="25" w:type="dxa"/>
              <w:left w:w="35" w:type="dxa"/>
              <w:right w:w="35" w:type="dxa"/>
            </w:tcMar>
          </w:tcPr>
          <w:p>
            <w:pPr>
              <w:jc w:val="left"/>
            </w:pPr>
            <w:r>
              <w:rPr>
                <w:sz w:val="15"/>
              </w:rPr>
              <w:t>TENS Settings</w:t>
            </w:r>
          </w:p>
        </w:tc>
        <w:tc>
          <w:tcPr>
            <w:tcW w:type="dxa" w:w="1680"/>
            <w:shd w:val="clear" w:color="auto" w:fill="F3F4F6"/>
            <w:tcMar>
              <w:top w:w="25" w:type="dxa"/>
              <w:bottom w:w="25" w:type="dxa"/>
              <w:left w:w="35" w:type="dxa"/>
              <w:right w:w="35" w:type="dxa"/>
            </w:tcMar>
          </w:tcPr>
          <w:p>
            <w:pPr>
              <w:jc w:val="center"/>
            </w:pPr>
            <w:r>
              <w:rPr>
                <w:sz w:val="15"/>
              </w:rPr>
              <w:t>44</w:t>
            </w:r>
          </w:p>
        </w:tc>
        <w:tc>
          <w:tcPr>
            <w:tcW w:type="dxa" w:w="1680"/>
            <w:shd w:val="clear" w:color="auto" w:fill="F3F4F6"/>
            <w:tcMar>
              <w:top w:w="25" w:type="dxa"/>
              <w:bottom w:w="25" w:type="dxa"/>
              <w:left w:w="35" w:type="dxa"/>
              <w:right w:w="35" w:type="dxa"/>
            </w:tcMar>
          </w:tcPr>
          <w:p>
            <w:pPr>
              <w:jc w:val="center"/>
            </w:pPr>
            <w:r>
              <w:rPr>
                <w:sz w:val="15"/>
              </w:rPr>
              <w:t>95.5</w:t>
            </w:r>
          </w:p>
        </w:tc>
        <w:tc>
          <w:tcPr>
            <w:tcW w:type="dxa" w:w="1680"/>
            <w:shd w:val="clear" w:color="auto" w:fill="F3F4F6"/>
            <w:tcMar>
              <w:top w:w="25" w:type="dxa"/>
              <w:bottom w:w="25" w:type="dxa"/>
              <w:left w:w="35" w:type="dxa"/>
              <w:right w:w="35" w:type="dxa"/>
            </w:tcMar>
          </w:tcPr>
          <w:p>
            <w:pPr>
              <w:jc w:val="center"/>
            </w:pPr>
            <w:r>
              <w:rPr>
                <w:sz w:val="15"/>
              </w:rPr>
              <w:t>93.2</w:t>
            </w:r>
          </w:p>
        </w:tc>
        <w:tc>
          <w:tcPr>
            <w:tcW w:type="dxa" w:w="1680"/>
            <w:shd w:val="clear" w:color="auto" w:fill="F3F4F6"/>
            <w:tcMar>
              <w:top w:w="25" w:type="dxa"/>
              <w:bottom w:w="25" w:type="dxa"/>
              <w:left w:w="35" w:type="dxa"/>
              <w:right w:w="35" w:type="dxa"/>
            </w:tcMar>
          </w:tcPr>
          <w:p>
            <w:pPr>
              <w:jc w:val="center"/>
            </w:pPr>
            <w:r>
              <w:rPr>
                <w:sz w:val="15"/>
              </w:rPr>
              <w:t>94.3</w:t>
            </w:r>
          </w:p>
        </w:tc>
        <w:tc>
          <w:tcPr>
            <w:tcW w:type="dxa" w:w="1680"/>
            <w:shd w:val="clear" w:color="auto" w:fill="F3F4F6"/>
            <w:tcMar>
              <w:top w:w="25" w:type="dxa"/>
              <w:bottom w:w="25" w:type="dxa"/>
              <w:left w:w="35" w:type="dxa"/>
              <w:right w:w="35" w:type="dxa"/>
            </w:tcMar>
          </w:tcPr>
          <w:p>
            <w:pPr>
              <w:jc w:val="center"/>
            </w:pPr>
            <w:r>
              <w:rPr>
                <w:sz w:val="15"/>
              </w:rPr>
              <w:t>94.3</w:t>
            </w:r>
          </w:p>
        </w:tc>
      </w:tr>
      <w:tr>
        <w:trPr>
          <w:cantSplit/>
        </w:trPr>
        <w:tc>
          <w:tcPr>
            <w:tcW w:type="dxa" w:w="1680"/>
            <w:shd w:val="clear" w:color="auto" w:fill="FFFFFF"/>
            <w:tcMar>
              <w:top w:w="25" w:type="dxa"/>
              <w:bottom w:w="25" w:type="dxa"/>
              <w:left w:w="35" w:type="dxa"/>
              <w:right w:w="35" w:type="dxa"/>
            </w:tcMar>
          </w:tcPr>
          <w:p>
            <w:pPr>
              <w:jc w:val="left"/>
            </w:pPr>
            <w:r>
              <w:rPr>
                <w:sz w:val="15"/>
              </w:rPr>
              <w:t>Emergency Red-Flag</w:t>
            </w:r>
          </w:p>
        </w:tc>
        <w:tc>
          <w:tcPr>
            <w:tcW w:type="dxa" w:w="1680"/>
            <w:shd w:val="clear" w:color="auto" w:fill="FFFFFF"/>
            <w:tcMar>
              <w:top w:w="25" w:type="dxa"/>
              <w:bottom w:w="25" w:type="dxa"/>
              <w:left w:w="35" w:type="dxa"/>
              <w:right w:w="35" w:type="dxa"/>
            </w:tcMar>
          </w:tcPr>
          <w:p>
            <w:pPr>
              <w:jc w:val="center"/>
            </w:pPr>
            <w:r>
              <w:rPr>
                <w:sz w:val="15"/>
              </w:rPr>
              <w:t>50</w:t>
            </w:r>
          </w:p>
        </w:tc>
        <w:tc>
          <w:tcPr>
            <w:tcW w:type="dxa" w:w="1680"/>
            <w:shd w:val="clear" w:color="auto" w:fill="FFFFFF"/>
            <w:tcMar>
              <w:top w:w="25" w:type="dxa"/>
              <w:bottom w:w="25" w:type="dxa"/>
              <w:left w:w="35" w:type="dxa"/>
              <w:right w:w="35" w:type="dxa"/>
            </w:tcMar>
          </w:tcPr>
          <w:p>
            <w:pPr>
              <w:jc w:val="center"/>
            </w:pPr>
            <w:r>
              <w:rPr>
                <w:sz w:val="15"/>
              </w:rPr>
              <w:t>100.0</w:t>
            </w:r>
          </w:p>
        </w:tc>
        <w:tc>
          <w:tcPr>
            <w:tcW w:type="dxa" w:w="1680"/>
            <w:shd w:val="clear" w:color="auto" w:fill="FFFFFF"/>
            <w:tcMar>
              <w:top w:w="25" w:type="dxa"/>
              <w:bottom w:w="25" w:type="dxa"/>
              <w:left w:w="35" w:type="dxa"/>
              <w:right w:w="35" w:type="dxa"/>
            </w:tcMar>
          </w:tcPr>
          <w:p>
            <w:pPr>
              <w:jc w:val="center"/>
            </w:pPr>
            <w:r>
              <w:rPr>
                <w:sz w:val="15"/>
              </w:rPr>
              <w:t>100.0</w:t>
            </w:r>
          </w:p>
        </w:tc>
        <w:tc>
          <w:tcPr>
            <w:tcW w:type="dxa" w:w="1680"/>
            <w:shd w:val="clear" w:color="auto" w:fill="FFFFFF"/>
            <w:tcMar>
              <w:top w:w="25" w:type="dxa"/>
              <w:bottom w:w="25" w:type="dxa"/>
              <w:left w:w="35" w:type="dxa"/>
              <w:right w:w="35" w:type="dxa"/>
            </w:tcMar>
          </w:tcPr>
          <w:p>
            <w:pPr>
              <w:jc w:val="center"/>
            </w:pPr>
            <w:r>
              <w:rPr>
                <w:sz w:val="15"/>
              </w:rPr>
              <w:t>100.0</w:t>
            </w:r>
          </w:p>
        </w:tc>
        <w:tc>
          <w:tcPr>
            <w:tcW w:type="dxa" w:w="1680"/>
            <w:shd w:val="clear" w:color="auto" w:fill="FFFFFF"/>
            <w:tcMar>
              <w:top w:w="25" w:type="dxa"/>
              <w:bottom w:w="25" w:type="dxa"/>
              <w:left w:w="35" w:type="dxa"/>
              <w:right w:w="35" w:type="dxa"/>
            </w:tcMar>
          </w:tcPr>
          <w:p>
            <w:pPr>
              <w:jc w:val="center"/>
            </w:pPr>
            <w:r>
              <w:rPr>
                <w:sz w:val="15"/>
              </w:rPr>
              <w:t>100.0</w:t>
            </w:r>
          </w:p>
        </w:tc>
      </w:tr>
      <w:tr>
        <w:trPr>
          <w:cantSplit/>
        </w:trPr>
        <w:tc>
          <w:tcPr>
            <w:tcW w:type="dxa" w:w="1680"/>
            <w:shd w:val="clear" w:color="auto" w:fill="E0F2FE"/>
            <w:tcMar>
              <w:top w:w="25" w:type="dxa"/>
              <w:bottom w:w="25" w:type="dxa"/>
              <w:left w:w="35" w:type="dxa"/>
              <w:right w:w="35" w:type="dxa"/>
            </w:tcMar>
          </w:tcPr>
          <w:p>
            <w:pPr>
              <w:jc w:val="left"/>
            </w:pPr>
            <w:r>
              <w:rPr>
                <w:b/>
                <w:sz w:val="15"/>
              </w:rPr>
              <w:t>Macro Average</w:t>
            </w:r>
          </w:p>
        </w:tc>
        <w:tc>
          <w:tcPr>
            <w:tcW w:type="dxa" w:w="1680"/>
            <w:shd w:val="clear" w:color="auto" w:fill="E0F2FE"/>
            <w:tcMar>
              <w:top w:w="25" w:type="dxa"/>
              <w:bottom w:w="25" w:type="dxa"/>
              <w:left w:w="35" w:type="dxa"/>
              <w:right w:w="35" w:type="dxa"/>
            </w:tcMar>
          </w:tcPr>
          <w:p>
            <w:pPr>
              <w:jc w:val="center"/>
            </w:pPr>
            <w:r>
              <w:rPr>
                <w:b/>
                <w:sz w:val="15"/>
              </w:rPr>
              <w:t>240</w:t>
            </w:r>
          </w:p>
        </w:tc>
        <w:tc>
          <w:tcPr>
            <w:tcW w:type="dxa" w:w="1680"/>
            <w:shd w:val="clear" w:color="auto" w:fill="E0F2FE"/>
            <w:tcMar>
              <w:top w:w="25" w:type="dxa"/>
              <w:bottom w:w="25" w:type="dxa"/>
              <w:left w:w="35" w:type="dxa"/>
              <w:right w:w="35" w:type="dxa"/>
            </w:tcMar>
          </w:tcPr>
          <w:p>
            <w:pPr>
              <w:jc w:val="center"/>
            </w:pPr>
            <w:r>
              <w:rPr>
                <w:b/>
                <w:sz w:val="15"/>
              </w:rPr>
              <w:t>97.1</w:t>
            </w:r>
          </w:p>
        </w:tc>
        <w:tc>
          <w:tcPr>
            <w:tcW w:type="dxa" w:w="1680"/>
            <w:shd w:val="clear" w:color="auto" w:fill="E0F2FE"/>
            <w:tcMar>
              <w:top w:w="25" w:type="dxa"/>
              <w:bottom w:w="25" w:type="dxa"/>
              <w:left w:w="35" w:type="dxa"/>
              <w:right w:w="35" w:type="dxa"/>
            </w:tcMar>
          </w:tcPr>
          <w:p>
            <w:pPr>
              <w:jc w:val="center"/>
            </w:pPr>
            <w:r>
              <w:rPr>
                <w:b/>
                <w:sz w:val="15"/>
              </w:rPr>
              <w:t>96.6</w:t>
            </w:r>
          </w:p>
        </w:tc>
        <w:tc>
          <w:tcPr>
            <w:tcW w:type="dxa" w:w="1680"/>
            <w:shd w:val="clear" w:color="auto" w:fill="E0F2FE"/>
            <w:tcMar>
              <w:top w:w="25" w:type="dxa"/>
              <w:bottom w:w="25" w:type="dxa"/>
              <w:left w:w="35" w:type="dxa"/>
              <w:right w:w="35" w:type="dxa"/>
            </w:tcMar>
          </w:tcPr>
          <w:p>
            <w:pPr>
              <w:jc w:val="center"/>
            </w:pPr>
            <w:r>
              <w:rPr>
                <w:b/>
                <w:sz w:val="15"/>
              </w:rPr>
              <w:t>96.8</w:t>
            </w:r>
          </w:p>
        </w:tc>
        <w:tc>
          <w:tcPr>
            <w:tcW w:type="dxa" w:w="1680"/>
            <w:shd w:val="clear" w:color="auto" w:fill="E0F2FE"/>
            <w:tcMar>
              <w:top w:w="25" w:type="dxa"/>
              <w:bottom w:w="25" w:type="dxa"/>
              <w:left w:w="35" w:type="dxa"/>
              <w:right w:w="35" w:type="dxa"/>
            </w:tcMar>
          </w:tcPr>
          <w:p>
            <w:pPr>
              <w:jc w:val="center"/>
            </w:pPr>
            <w:r>
              <w:rPr>
                <w:b/>
                <w:sz w:val="15"/>
              </w:rPr>
              <w:t>96.8</w:t>
            </w:r>
          </w:p>
        </w:tc>
      </w:tr>
    </w:tbl>
    <w:p>
      <w:pPr>
        <w:keepNext/>
        <w:spacing w:before="160" w:after="40"/>
        <w:ind w:firstLine="0"/>
        <w:jc w:val="center"/>
      </w:pPr>
      <w:r>
        <w:rPr>
          <w:b/>
          <w:sz w:val="16"/>
        </w:rPr>
        <w:t>TABLE II</w:t>
        <w:br/>
        <w:t>COMPARISON OF RECOVERY REGRESSION MODELS</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0A2540"/>
            <w:tcMar>
              <w:top w:w="25" w:type="dxa"/>
              <w:bottom w:w="25" w:type="dxa"/>
              <w:left w:w="35" w:type="dxa"/>
              <w:right w:w="35" w:type="dxa"/>
            </w:tcMar>
          </w:tcPr>
          <w:p>
            <w:pPr>
              <w:jc w:val="center"/>
            </w:pPr>
            <w:r>
              <w:rPr>
                <w:b/>
                <w:color w:val="FFFFFF"/>
                <w:sz w:val="15"/>
              </w:rPr>
              <w:t>Model</w:t>
            </w:r>
          </w:p>
        </w:tc>
        <w:tc>
          <w:tcPr>
            <w:tcW w:type="dxa" w:w="2016"/>
            <w:shd w:val="clear" w:color="auto" w:fill="0A2540"/>
            <w:tcMar>
              <w:top w:w="25" w:type="dxa"/>
              <w:bottom w:w="25" w:type="dxa"/>
              <w:left w:w="35" w:type="dxa"/>
              <w:right w:w="35" w:type="dxa"/>
            </w:tcMar>
          </w:tcPr>
          <w:p>
            <w:pPr>
              <w:jc w:val="center"/>
            </w:pPr>
            <w:r>
              <w:rPr>
                <w:b/>
                <w:color w:val="FFFFFF"/>
                <w:sz w:val="15"/>
              </w:rPr>
              <w:t>MAE</w:t>
            </w:r>
          </w:p>
        </w:tc>
        <w:tc>
          <w:tcPr>
            <w:tcW w:type="dxa" w:w="2016"/>
            <w:shd w:val="clear" w:color="auto" w:fill="0A2540"/>
            <w:tcMar>
              <w:top w:w="25" w:type="dxa"/>
              <w:bottom w:w="25" w:type="dxa"/>
              <w:left w:w="35" w:type="dxa"/>
              <w:right w:w="35" w:type="dxa"/>
            </w:tcMar>
          </w:tcPr>
          <w:p>
            <w:pPr>
              <w:jc w:val="center"/>
            </w:pPr>
            <w:r>
              <w:rPr>
                <w:b/>
                <w:color w:val="FFFFFF"/>
                <w:sz w:val="15"/>
              </w:rPr>
              <w:t>RMSE</w:t>
            </w:r>
          </w:p>
        </w:tc>
        <w:tc>
          <w:tcPr>
            <w:tcW w:type="dxa" w:w="2016"/>
            <w:shd w:val="clear" w:color="auto" w:fill="0A2540"/>
            <w:tcMar>
              <w:top w:w="25" w:type="dxa"/>
              <w:bottom w:w="25" w:type="dxa"/>
              <w:left w:w="35" w:type="dxa"/>
              <w:right w:w="35" w:type="dxa"/>
            </w:tcMar>
          </w:tcPr>
          <w:p>
            <w:pPr>
              <w:jc w:val="center"/>
            </w:pPr>
            <w:r>
              <w:rPr>
                <w:b/>
                <w:color w:val="FFFFFF"/>
                <w:sz w:val="15"/>
              </w:rPr>
              <w:t>R²</w:t>
            </w:r>
          </w:p>
        </w:tc>
        <w:tc>
          <w:tcPr>
            <w:tcW w:type="dxa" w:w="2016"/>
            <w:shd w:val="clear" w:color="auto" w:fill="0A2540"/>
            <w:tcMar>
              <w:top w:w="25" w:type="dxa"/>
              <w:bottom w:w="25" w:type="dxa"/>
              <w:left w:w="35" w:type="dxa"/>
              <w:right w:w="35" w:type="dxa"/>
            </w:tcMar>
          </w:tcPr>
          <w:p>
            <w:pPr>
              <w:jc w:val="center"/>
            </w:pPr>
            <w:r>
              <w:rPr>
                <w:b/>
                <w:color w:val="FFFFFF"/>
                <w:sz w:val="15"/>
              </w:rPr>
              <w:t>Max Err</w:t>
            </w:r>
          </w:p>
        </w:tc>
      </w:tr>
      <w:tr>
        <w:trPr>
          <w:cantSplit/>
        </w:trPr>
        <w:tc>
          <w:tcPr>
            <w:tcW w:type="dxa" w:w="2016"/>
            <w:shd w:val="clear" w:color="auto" w:fill="FFFFFF"/>
            <w:tcMar>
              <w:top w:w="25" w:type="dxa"/>
              <w:bottom w:w="25" w:type="dxa"/>
              <w:left w:w="35" w:type="dxa"/>
              <w:right w:w="35" w:type="dxa"/>
            </w:tcMar>
          </w:tcPr>
          <w:p>
            <w:pPr>
              <w:jc w:val="left"/>
            </w:pPr>
            <w:r>
              <w:rPr>
                <w:sz w:val="15"/>
              </w:rPr>
              <w:t>Linear Regression</w:t>
            </w:r>
          </w:p>
        </w:tc>
        <w:tc>
          <w:tcPr>
            <w:tcW w:type="dxa" w:w="2016"/>
            <w:shd w:val="clear" w:color="auto" w:fill="FFFFFF"/>
            <w:tcMar>
              <w:top w:w="25" w:type="dxa"/>
              <w:bottom w:w="25" w:type="dxa"/>
              <w:left w:w="35" w:type="dxa"/>
              <w:right w:w="35" w:type="dxa"/>
            </w:tcMar>
          </w:tcPr>
          <w:p>
            <w:pPr>
              <w:jc w:val="center"/>
            </w:pPr>
            <w:r>
              <w:rPr>
                <w:sz w:val="15"/>
              </w:rPr>
              <w:t>5.82 d</w:t>
            </w:r>
          </w:p>
        </w:tc>
        <w:tc>
          <w:tcPr>
            <w:tcW w:type="dxa" w:w="2016"/>
            <w:shd w:val="clear" w:color="auto" w:fill="FFFFFF"/>
            <w:tcMar>
              <w:top w:w="25" w:type="dxa"/>
              <w:bottom w:w="25" w:type="dxa"/>
              <w:left w:w="35" w:type="dxa"/>
              <w:right w:w="35" w:type="dxa"/>
            </w:tcMar>
          </w:tcPr>
          <w:p>
            <w:pPr>
              <w:jc w:val="center"/>
            </w:pPr>
            <w:r>
              <w:rPr>
                <w:sz w:val="15"/>
              </w:rPr>
              <w:t>7.34 d</w:t>
            </w:r>
          </w:p>
        </w:tc>
        <w:tc>
          <w:tcPr>
            <w:tcW w:type="dxa" w:w="2016"/>
            <w:shd w:val="clear" w:color="auto" w:fill="FFFFFF"/>
            <w:tcMar>
              <w:top w:w="25" w:type="dxa"/>
              <w:bottom w:w="25" w:type="dxa"/>
              <w:left w:w="35" w:type="dxa"/>
              <w:right w:w="35" w:type="dxa"/>
            </w:tcMar>
          </w:tcPr>
          <w:p>
            <w:pPr>
              <w:jc w:val="center"/>
            </w:pPr>
            <w:r>
              <w:rPr>
                <w:sz w:val="15"/>
              </w:rPr>
              <w:t>0.712</w:t>
            </w:r>
          </w:p>
        </w:tc>
        <w:tc>
          <w:tcPr>
            <w:tcW w:type="dxa" w:w="2016"/>
            <w:shd w:val="clear" w:color="auto" w:fill="FFFFFF"/>
            <w:tcMar>
              <w:top w:w="25" w:type="dxa"/>
              <w:bottom w:w="25" w:type="dxa"/>
              <w:left w:w="35" w:type="dxa"/>
              <w:right w:w="35" w:type="dxa"/>
            </w:tcMar>
          </w:tcPr>
          <w:p>
            <w:pPr>
              <w:jc w:val="center"/>
            </w:pPr>
            <w:r>
              <w:rPr>
                <w:sz w:val="15"/>
              </w:rPr>
              <w:t>16.4 d</w:t>
            </w:r>
          </w:p>
        </w:tc>
      </w:tr>
      <w:tr>
        <w:trPr>
          <w:cantSplit/>
        </w:trPr>
        <w:tc>
          <w:tcPr>
            <w:tcW w:type="dxa" w:w="2016"/>
            <w:shd w:val="clear" w:color="auto" w:fill="F3F4F6"/>
            <w:tcMar>
              <w:top w:w="25" w:type="dxa"/>
              <w:bottom w:w="25" w:type="dxa"/>
              <w:left w:w="35" w:type="dxa"/>
              <w:right w:w="35" w:type="dxa"/>
            </w:tcMar>
          </w:tcPr>
          <w:p>
            <w:pPr>
              <w:jc w:val="left"/>
            </w:pPr>
            <w:r>
              <w:rPr>
                <w:sz w:val="15"/>
              </w:rPr>
              <w:t>SVR (RBF Kernel)</w:t>
            </w:r>
          </w:p>
        </w:tc>
        <w:tc>
          <w:tcPr>
            <w:tcW w:type="dxa" w:w="2016"/>
            <w:shd w:val="clear" w:color="auto" w:fill="F3F4F6"/>
            <w:tcMar>
              <w:top w:w="25" w:type="dxa"/>
              <w:bottom w:w="25" w:type="dxa"/>
              <w:left w:w="35" w:type="dxa"/>
              <w:right w:w="35" w:type="dxa"/>
            </w:tcMar>
          </w:tcPr>
          <w:p>
            <w:pPr>
              <w:jc w:val="center"/>
            </w:pPr>
            <w:r>
              <w:rPr>
                <w:sz w:val="15"/>
              </w:rPr>
              <w:t>3.41 d</w:t>
            </w:r>
          </w:p>
        </w:tc>
        <w:tc>
          <w:tcPr>
            <w:tcW w:type="dxa" w:w="2016"/>
            <w:shd w:val="clear" w:color="auto" w:fill="F3F4F6"/>
            <w:tcMar>
              <w:top w:w="25" w:type="dxa"/>
              <w:bottom w:w="25" w:type="dxa"/>
              <w:left w:w="35" w:type="dxa"/>
              <w:right w:w="35" w:type="dxa"/>
            </w:tcMar>
          </w:tcPr>
          <w:p>
            <w:pPr>
              <w:jc w:val="center"/>
            </w:pPr>
            <w:r>
              <w:rPr>
                <w:sz w:val="15"/>
              </w:rPr>
              <w:t>4.88 d</w:t>
            </w:r>
          </w:p>
        </w:tc>
        <w:tc>
          <w:tcPr>
            <w:tcW w:type="dxa" w:w="2016"/>
            <w:shd w:val="clear" w:color="auto" w:fill="F3F4F6"/>
            <w:tcMar>
              <w:top w:w="25" w:type="dxa"/>
              <w:bottom w:w="25" w:type="dxa"/>
              <w:left w:w="35" w:type="dxa"/>
              <w:right w:w="35" w:type="dxa"/>
            </w:tcMar>
          </w:tcPr>
          <w:p>
            <w:pPr>
              <w:jc w:val="center"/>
            </w:pPr>
            <w:r>
              <w:rPr>
                <w:sz w:val="15"/>
              </w:rPr>
              <w:t>0.865</w:t>
            </w:r>
          </w:p>
        </w:tc>
        <w:tc>
          <w:tcPr>
            <w:tcW w:type="dxa" w:w="2016"/>
            <w:shd w:val="clear" w:color="auto" w:fill="F3F4F6"/>
            <w:tcMar>
              <w:top w:w="25" w:type="dxa"/>
              <w:bottom w:w="25" w:type="dxa"/>
              <w:left w:w="35" w:type="dxa"/>
              <w:right w:w="35" w:type="dxa"/>
            </w:tcMar>
          </w:tcPr>
          <w:p>
            <w:pPr>
              <w:jc w:val="center"/>
            </w:pPr>
            <w:r>
              <w:rPr>
                <w:sz w:val="15"/>
              </w:rPr>
              <w:t>9.8 d</w:t>
            </w:r>
          </w:p>
        </w:tc>
      </w:tr>
      <w:tr>
        <w:trPr>
          <w:cantSplit/>
        </w:trPr>
        <w:tc>
          <w:tcPr>
            <w:tcW w:type="dxa" w:w="2016"/>
            <w:shd w:val="clear" w:color="auto" w:fill="FFFFFF"/>
            <w:tcMar>
              <w:top w:w="25" w:type="dxa"/>
              <w:bottom w:w="25" w:type="dxa"/>
              <w:left w:w="35" w:type="dxa"/>
              <w:right w:w="35" w:type="dxa"/>
            </w:tcMar>
          </w:tcPr>
          <w:p>
            <w:pPr>
              <w:jc w:val="left"/>
            </w:pPr>
            <w:r>
              <w:rPr>
                <w:sz w:val="15"/>
              </w:rPr>
              <w:t>Decision Tree</w:t>
            </w:r>
          </w:p>
        </w:tc>
        <w:tc>
          <w:tcPr>
            <w:tcW w:type="dxa" w:w="2016"/>
            <w:shd w:val="clear" w:color="auto" w:fill="FFFFFF"/>
            <w:tcMar>
              <w:top w:w="25" w:type="dxa"/>
              <w:bottom w:w="25" w:type="dxa"/>
              <w:left w:w="35" w:type="dxa"/>
              <w:right w:w="35" w:type="dxa"/>
            </w:tcMar>
          </w:tcPr>
          <w:p>
            <w:pPr>
              <w:jc w:val="center"/>
            </w:pPr>
            <w:r>
              <w:rPr>
                <w:sz w:val="15"/>
              </w:rPr>
              <w:t>3.12 d</w:t>
            </w:r>
          </w:p>
        </w:tc>
        <w:tc>
          <w:tcPr>
            <w:tcW w:type="dxa" w:w="2016"/>
            <w:shd w:val="clear" w:color="auto" w:fill="FFFFFF"/>
            <w:tcMar>
              <w:top w:w="25" w:type="dxa"/>
              <w:bottom w:w="25" w:type="dxa"/>
              <w:left w:w="35" w:type="dxa"/>
              <w:right w:w="35" w:type="dxa"/>
            </w:tcMar>
          </w:tcPr>
          <w:p>
            <w:pPr>
              <w:jc w:val="center"/>
            </w:pPr>
            <w:r>
              <w:rPr>
                <w:sz w:val="15"/>
              </w:rPr>
              <w:t>4.56 d</w:t>
            </w:r>
          </w:p>
        </w:tc>
        <w:tc>
          <w:tcPr>
            <w:tcW w:type="dxa" w:w="2016"/>
            <w:shd w:val="clear" w:color="auto" w:fill="FFFFFF"/>
            <w:tcMar>
              <w:top w:w="25" w:type="dxa"/>
              <w:bottom w:w="25" w:type="dxa"/>
              <w:left w:w="35" w:type="dxa"/>
              <w:right w:w="35" w:type="dxa"/>
            </w:tcMar>
          </w:tcPr>
          <w:p>
            <w:pPr>
              <w:jc w:val="center"/>
            </w:pPr>
            <w:r>
              <w:rPr>
                <w:sz w:val="15"/>
              </w:rPr>
              <w:t>0.881</w:t>
            </w:r>
          </w:p>
        </w:tc>
        <w:tc>
          <w:tcPr>
            <w:tcW w:type="dxa" w:w="2016"/>
            <w:shd w:val="clear" w:color="auto" w:fill="FFFFFF"/>
            <w:tcMar>
              <w:top w:w="25" w:type="dxa"/>
              <w:bottom w:w="25" w:type="dxa"/>
              <w:left w:w="35" w:type="dxa"/>
              <w:right w:w="35" w:type="dxa"/>
            </w:tcMar>
          </w:tcPr>
          <w:p>
            <w:pPr>
              <w:jc w:val="center"/>
            </w:pPr>
            <w:r>
              <w:rPr>
                <w:sz w:val="15"/>
              </w:rPr>
              <w:t>11.2 d</w:t>
            </w:r>
          </w:p>
        </w:tc>
      </w:tr>
      <w:tr>
        <w:trPr>
          <w:cantSplit/>
        </w:trPr>
        <w:tc>
          <w:tcPr>
            <w:tcW w:type="dxa" w:w="2016"/>
            <w:shd w:val="clear" w:color="auto" w:fill="F3F4F6"/>
            <w:tcMar>
              <w:top w:w="25" w:type="dxa"/>
              <w:bottom w:w="25" w:type="dxa"/>
              <w:left w:w="35" w:type="dxa"/>
              <w:right w:w="35" w:type="dxa"/>
            </w:tcMar>
          </w:tcPr>
          <w:p>
            <w:pPr>
              <w:jc w:val="left"/>
            </w:pPr>
            <w:r>
              <w:rPr>
                <w:sz w:val="15"/>
              </w:rPr>
              <w:t>XGBoost Regressor</w:t>
            </w:r>
          </w:p>
        </w:tc>
        <w:tc>
          <w:tcPr>
            <w:tcW w:type="dxa" w:w="2016"/>
            <w:shd w:val="clear" w:color="auto" w:fill="F3F4F6"/>
            <w:tcMar>
              <w:top w:w="25" w:type="dxa"/>
              <w:bottom w:w="25" w:type="dxa"/>
              <w:left w:w="35" w:type="dxa"/>
              <w:right w:w="35" w:type="dxa"/>
            </w:tcMar>
          </w:tcPr>
          <w:p>
            <w:pPr>
              <w:jc w:val="center"/>
            </w:pPr>
            <w:r>
              <w:rPr>
                <w:sz w:val="15"/>
              </w:rPr>
              <w:t>2.28 d</w:t>
            </w:r>
          </w:p>
        </w:tc>
        <w:tc>
          <w:tcPr>
            <w:tcW w:type="dxa" w:w="2016"/>
            <w:shd w:val="clear" w:color="auto" w:fill="F3F4F6"/>
            <w:tcMar>
              <w:top w:w="25" w:type="dxa"/>
              <w:bottom w:w="25" w:type="dxa"/>
              <w:left w:w="35" w:type="dxa"/>
              <w:right w:w="35" w:type="dxa"/>
            </w:tcMar>
          </w:tcPr>
          <w:p>
            <w:pPr>
              <w:jc w:val="center"/>
            </w:pPr>
            <w:r>
              <w:rPr>
                <w:sz w:val="15"/>
              </w:rPr>
              <w:t>3.19 d</w:t>
            </w:r>
          </w:p>
        </w:tc>
        <w:tc>
          <w:tcPr>
            <w:tcW w:type="dxa" w:w="2016"/>
            <w:shd w:val="clear" w:color="auto" w:fill="F3F4F6"/>
            <w:tcMar>
              <w:top w:w="25" w:type="dxa"/>
              <w:bottom w:w="25" w:type="dxa"/>
              <w:left w:w="35" w:type="dxa"/>
              <w:right w:w="35" w:type="dxa"/>
            </w:tcMar>
          </w:tcPr>
          <w:p>
            <w:pPr>
              <w:jc w:val="center"/>
            </w:pPr>
            <w:r>
              <w:rPr>
                <w:sz w:val="15"/>
              </w:rPr>
              <w:t>0.932</w:t>
            </w:r>
          </w:p>
        </w:tc>
        <w:tc>
          <w:tcPr>
            <w:tcW w:type="dxa" w:w="2016"/>
            <w:shd w:val="clear" w:color="auto" w:fill="F3F4F6"/>
            <w:tcMar>
              <w:top w:w="25" w:type="dxa"/>
              <w:bottom w:w="25" w:type="dxa"/>
              <w:left w:w="35" w:type="dxa"/>
              <w:right w:w="35" w:type="dxa"/>
            </w:tcMar>
          </w:tcPr>
          <w:p>
            <w:pPr>
              <w:jc w:val="center"/>
            </w:pPr>
            <w:r>
              <w:rPr>
                <w:sz w:val="15"/>
              </w:rPr>
              <w:t>6.5 d</w:t>
            </w:r>
          </w:p>
        </w:tc>
      </w:tr>
      <w:tr>
        <w:trPr>
          <w:cantSplit/>
        </w:trPr>
        <w:tc>
          <w:tcPr>
            <w:tcW w:type="dxa" w:w="2016"/>
            <w:shd w:val="clear" w:color="auto" w:fill="E0F2FE"/>
            <w:tcMar>
              <w:top w:w="25" w:type="dxa"/>
              <w:bottom w:w="25" w:type="dxa"/>
              <w:left w:w="35" w:type="dxa"/>
              <w:right w:w="35" w:type="dxa"/>
            </w:tcMar>
          </w:tcPr>
          <w:p>
            <w:pPr>
              <w:jc w:val="left"/>
            </w:pPr>
            <w:r>
              <w:rPr>
                <w:b/>
                <w:sz w:val="15"/>
              </w:rPr>
              <w:t>Proposed Random Forest</w:t>
            </w:r>
          </w:p>
        </w:tc>
        <w:tc>
          <w:tcPr>
            <w:tcW w:type="dxa" w:w="2016"/>
            <w:shd w:val="clear" w:color="auto" w:fill="E0F2FE"/>
            <w:tcMar>
              <w:top w:w="25" w:type="dxa"/>
              <w:bottom w:w="25" w:type="dxa"/>
              <w:left w:w="35" w:type="dxa"/>
              <w:right w:w="35" w:type="dxa"/>
            </w:tcMar>
          </w:tcPr>
          <w:p>
            <w:pPr>
              <w:jc w:val="center"/>
            </w:pPr>
            <w:r>
              <w:rPr>
                <w:b/>
                <w:sz w:val="15"/>
              </w:rPr>
              <w:t>2.14 d</w:t>
            </w:r>
          </w:p>
        </w:tc>
        <w:tc>
          <w:tcPr>
            <w:tcW w:type="dxa" w:w="2016"/>
            <w:shd w:val="clear" w:color="auto" w:fill="E0F2FE"/>
            <w:tcMar>
              <w:top w:w="25" w:type="dxa"/>
              <w:bottom w:w="25" w:type="dxa"/>
              <w:left w:w="35" w:type="dxa"/>
              <w:right w:w="35" w:type="dxa"/>
            </w:tcMar>
          </w:tcPr>
          <w:p>
            <w:pPr>
              <w:jc w:val="center"/>
            </w:pPr>
            <w:r>
              <w:rPr>
                <w:b/>
                <w:sz w:val="15"/>
              </w:rPr>
              <w:t>2.97 d</w:t>
            </w:r>
          </w:p>
        </w:tc>
        <w:tc>
          <w:tcPr>
            <w:tcW w:type="dxa" w:w="2016"/>
            <w:shd w:val="clear" w:color="auto" w:fill="E0F2FE"/>
            <w:tcMar>
              <w:top w:w="25" w:type="dxa"/>
              <w:bottom w:w="25" w:type="dxa"/>
              <w:left w:w="35" w:type="dxa"/>
              <w:right w:w="35" w:type="dxa"/>
            </w:tcMar>
          </w:tcPr>
          <w:p>
            <w:pPr>
              <w:jc w:val="center"/>
            </w:pPr>
            <w:r>
              <w:rPr>
                <w:b/>
                <w:sz w:val="15"/>
              </w:rPr>
              <w:t>0.941</w:t>
            </w:r>
          </w:p>
        </w:tc>
        <w:tc>
          <w:tcPr>
            <w:tcW w:type="dxa" w:w="2016"/>
            <w:shd w:val="clear" w:color="auto" w:fill="E0F2FE"/>
            <w:tcMar>
              <w:top w:w="25" w:type="dxa"/>
              <w:bottom w:w="25" w:type="dxa"/>
              <w:left w:w="35" w:type="dxa"/>
              <w:right w:w="35" w:type="dxa"/>
            </w:tcMar>
          </w:tcPr>
          <w:p>
            <w:pPr>
              <w:jc w:val="center"/>
            </w:pPr>
            <w:r>
              <w:rPr>
                <w:b/>
                <w:sz w:val="15"/>
              </w:rPr>
              <w:t>5.8 d</w:t>
            </w:r>
          </w:p>
        </w:tc>
      </w:tr>
    </w:tbl>
    <w:p>
      <w:pPr>
        <w:keepNext/>
        <w:spacing w:before="160" w:after="40"/>
        <w:ind w:firstLine="0"/>
        <w:jc w:val="center"/>
      </w:pPr>
      <w:r>
        <w:rPr>
          <w:b/>
          <w:sz w:val="16"/>
        </w:rPr>
        <w:t>TABLE III</w:t>
        <w:br/>
        <w:t>SYSTEM RUNTIME LATENCY ACROSS MODULES</w:t>
      </w:r>
    </w:p>
    <w:tbl>
      <w:tblPr>
        <w:tblW w:type="auto" w:w="0"/>
        <w:jc w:val="center"/>
        <w:tblLook w:firstColumn="1" w:firstRow="1" w:lastColumn="0" w:lastRow="0" w:noHBand="0" w:noVBand="1" w:val="04A0"/>
      </w:tblPr>
      <w:tblGrid>
        <w:gridCol w:w="3360"/>
        <w:gridCol w:w="3360"/>
        <w:gridCol w:w="3360"/>
      </w:tblGrid>
      <w:tr>
        <w:trPr>
          <w:cantSplit/>
          <w:tblHeader/>
        </w:trPr>
        <w:tc>
          <w:tcPr>
            <w:tcW w:type="dxa" w:w="3360"/>
            <w:shd w:val="clear" w:color="auto" w:fill="0A2540"/>
            <w:tcMar>
              <w:top w:w="25" w:type="dxa"/>
              <w:bottom w:w="25" w:type="dxa"/>
              <w:left w:w="35" w:type="dxa"/>
              <w:right w:w="35" w:type="dxa"/>
            </w:tcMar>
          </w:tcPr>
          <w:p>
            <w:pPr>
              <w:jc w:val="center"/>
            </w:pPr>
            <w:r>
              <w:rPr>
                <w:b/>
                <w:color w:val="FFFFFF"/>
                <w:sz w:val="15"/>
              </w:rPr>
              <w:t>Operational Task</w:t>
            </w:r>
          </w:p>
        </w:tc>
        <w:tc>
          <w:tcPr>
            <w:tcW w:type="dxa" w:w="3360"/>
            <w:shd w:val="clear" w:color="auto" w:fill="0A2540"/>
            <w:tcMar>
              <w:top w:w="25" w:type="dxa"/>
              <w:bottom w:w="25" w:type="dxa"/>
              <w:left w:w="35" w:type="dxa"/>
              <w:right w:w="35" w:type="dxa"/>
            </w:tcMar>
          </w:tcPr>
          <w:p>
            <w:pPr>
              <w:jc w:val="center"/>
            </w:pPr>
            <w:r>
              <w:rPr>
                <w:b/>
                <w:color w:val="FFFFFF"/>
                <w:sz w:val="15"/>
              </w:rPr>
              <w:t>Median</w:t>
            </w:r>
          </w:p>
        </w:tc>
        <w:tc>
          <w:tcPr>
            <w:tcW w:type="dxa" w:w="3360"/>
            <w:shd w:val="clear" w:color="auto" w:fill="0A2540"/>
            <w:tcMar>
              <w:top w:w="25" w:type="dxa"/>
              <w:bottom w:w="25" w:type="dxa"/>
              <w:left w:w="35" w:type="dxa"/>
              <w:right w:w="35" w:type="dxa"/>
            </w:tcMar>
          </w:tcPr>
          <w:p>
            <w:pPr>
              <w:jc w:val="center"/>
            </w:pPr>
            <w:r>
              <w:rPr>
                <w:b/>
                <w:color w:val="FFFFFF"/>
                <w:sz w:val="15"/>
              </w:rPr>
              <w:t>95th %</w:t>
            </w:r>
          </w:p>
        </w:tc>
      </w:tr>
      <w:tr>
        <w:trPr>
          <w:cantSplit/>
        </w:trPr>
        <w:tc>
          <w:tcPr>
            <w:tcW w:type="dxa" w:w="3360"/>
            <w:shd w:val="clear" w:color="auto" w:fill="FFFFFF"/>
            <w:tcMar>
              <w:top w:w="25" w:type="dxa"/>
              <w:bottom w:w="25" w:type="dxa"/>
              <w:left w:w="35" w:type="dxa"/>
              <w:right w:w="35" w:type="dxa"/>
            </w:tcMar>
          </w:tcPr>
          <w:p>
            <w:pPr>
              <w:jc w:val="left"/>
            </w:pPr>
            <w:r>
              <w:rPr>
                <w:sz w:val="15"/>
              </w:rPr>
              <w:t>VAS Pain Telemetry Logging</w:t>
            </w:r>
          </w:p>
        </w:tc>
        <w:tc>
          <w:tcPr>
            <w:tcW w:type="dxa" w:w="3360"/>
            <w:shd w:val="clear" w:color="auto" w:fill="FFFFFF"/>
            <w:tcMar>
              <w:top w:w="25" w:type="dxa"/>
              <w:bottom w:w="25" w:type="dxa"/>
              <w:left w:w="35" w:type="dxa"/>
              <w:right w:w="35" w:type="dxa"/>
            </w:tcMar>
          </w:tcPr>
          <w:p>
            <w:pPr>
              <w:jc w:val="center"/>
            </w:pPr>
            <w:r>
              <w:rPr>
                <w:sz w:val="15"/>
              </w:rPr>
              <w:t>18.4 ms</w:t>
            </w:r>
          </w:p>
        </w:tc>
        <w:tc>
          <w:tcPr>
            <w:tcW w:type="dxa" w:w="3360"/>
            <w:shd w:val="clear" w:color="auto" w:fill="FFFFFF"/>
            <w:tcMar>
              <w:top w:w="25" w:type="dxa"/>
              <w:bottom w:w="25" w:type="dxa"/>
              <w:left w:w="35" w:type="dxa"/>
              <w:right w:w="35" w:type="dxa"/>
            </w:tcMar>
          </w:tcPr>
          <w:p>
            <w:pPr>
              <w:jc w:val="center"/>
            </w:pPr>
            <w:r>
              <w:rPr>
                <w:sz w:val="15"/>
              </w:rPr>
              <w:t>36.2 ms</w:t>
            </w:r>
          </w:p>
        </w:tc>
      </w:tr>
      <w:tr>
        <w:trPr>
          <w:cantSplit/>
        </w:trPr>
        <w:tc>
          <w:tcPr>
            <w:tcW w:type="dxa" w:w="3360"/>
            <w:shd w:val="clear" w:color="auto" w:fill="F3F4F6"/>
            <w:tcMar>
              <w:top w:w="25" w:type="dxa"/>
              <w:bottom w:w="25" w:type="dxa"/>
              <w:left w:w="35" w:type="dxa"/>
              <w:right w:w="35" w:type="dxa"/>
            </w:tcMar>
          </w:tcPr>
          <w:p>
            <w:pPr>
              <w:jc w:val="left"/>
            </w:pPr>
            <w:r>
              <w:rPr>
                <w:sz w:val="15"/>
              </w:rPr>
              <w:t>Preethi AI Intent Classification</w:t>
            </w:r>
          </w:p>
        </w:tc>
        <w:tc>
          <w:tcPr>
            <w:tcW w:type="dxa" w:w="3360"/>
            <w:shd w:val="clear" w:color="auto" w:fill="F3F4F6"/>
            <w:tcMar>
              <w:top w:w="25" w:type="dxa"/>
              <w:bottom w:w="25" w:type="dxa"/>
              <w:left w:w="35" w:type="dxa"/>
              <w:right w:w="35" w:type="dxa"/>
            </w:tcMar>
          </w:tcPr>
          <w:p>
            <w:pPr>
              <w:jc w:val="center"/>
            </w:pPr>
            <w:r>
              <w:rPr>
                <w:sz w:val="15"/>
              </w:rPr>
              <w:t>12.1 ms</w:t>
            </w:r>
          </w:p>
        </w:tc>
        <w:tc>
          <w:tcPr>
            <w:tcW w:type="dxa" w:w="3360"/>
            <w:shd w:val="clear" w:color="auto" w:fill="F3F4F6"/>
            <w:tcMar>
              <w:top w:w="25" w:type="dxa"/>
              <w:bottom w:w="25" w:type="dxa"/>
              <w:left w:w="35" w:type="dxa"/>
              <w:right w:w="35" w:type="dxa"/>
            </w:tcMar>
          </w:tcPr>
          <w:p>
            <w:pPr>
              <w:jc w:val="center"/>
            </w:pPr>
            <w:r>
              <w:rPr>
                <w:sz w:val="15"/>
              </w:rPr>
              <w:t>24.8 ms</w:t>
            </w:r>
          </w:p>
        </w:tc>
      </w:tr>
      <w:tr>
        <w:trPr>
          <w:cantSplit/>
        </w:trPr>
        <w:tc>
          <w:tcPr>
            <w:tcW w:type="dxa" w:w="3360"/>
            <w:shd w:val="clear" w:color="auto" w:fill="FFFFFF"/>
            <w:tcMar>
              <w:top w:w="25" w:type="dxa"/>
              <w:bottom w:w="25" w:type="dxa"/>
              <w:left w:w="35" w:type="dxa"/>
              <w:right w:w="35" w:type="dxa"/>
            </w:tcMar>
          </w:tcPr>
          <w:p>
            <w:pPr>
              <w:jc w:val="left"/>
            </w:pPr>
            <w:r>
              <w:rPr>
                <w:sz w:val="15"/>
              </w:rPr>
              <w:t>Recovery Prognosis Inference</w:t>
            </w:r>
          </w:p>
        </w:tc>
        <w:tc>
          <w:tcPr>
            <w:tcW w:type="dxa" w:w="3360"/>
            <w:shd w:val="clear" w:color="auto" w:fill="FFFFFF"/>
            <w:tcMar>
              <w:top w:w="25" w:type="dxa"/>
              <w:bottom w:w="25" w:type="dxa"/>
              <w:left w:w="35" w:type="dxa"/>
              <w:right w:w="35" w:type="dxa"/>
            </w:tcMar>
          </w:tcPr>
          <w:p>
            <w:pPr>
              <w:jc w:val="center"/>
            </w:pPr>
            <w:r>
              <w:rPr>
                <w:sz w:val="15"/>
              </w:rPr>
              <w:t>8.6 ms</w:t>
            </w:r>
          </w:p>
        </w:tc>
        <w:tc>
          <w:tcPr>
            <w:tcW w:type="dxa" w:w="3360"/>
            <w:shd w:val="clear" w:color="auto" w:fill="FFFFFF"/>
            <w:tcMar>
              <w:top w:w="25" w:type="dxa"/>
              <w:bottom w:w="25" w:type="dxa"/>
              <w:left w:w="35" w:type="dxa"/>
              <w:right w:w="35" w:type="dxa"/>
            </w:tcMar>
          </w:tcPr>
          <w:p>
            <w:pPr>
              <w:jc w:val="center"/>
            </w:pPr>
            <w:r>
              <w:rPr>
                <w:sz w:val="15"/>
              </w:rPr>
              <w:t>15.2 ms</w:t>
            </w:r>
          </w:p>
        </w:tc>
      </w:tr>
      <w:tr>
        <w:trPr>
          <w:cantSplit/>
        </w:trPr>
        <w:tc>
          <w:tcPr>
            <w:tcW w:type="dxa" w:w="3360"/>
            <w:shd w:val="clear" w:color="auto" w:fill="F3F4F6"/>
            <w:tcMar>
              <w:top w:w="25" w:type="dxa"/>
              <w:bottom w:w="25" w:type="dxa"/>
              <w:left w:w="35" w:type="dxa"/>
              <w:right w:w="35" w:type="dxa"/>
            </w:tcMar>
          </w:tcPr>
          <w:p>
            <w:pPr>
              <w:jc w:val="left"/>
            </w:pPr>
            <w:r>
              <w:rPr>
                <w:sz w:val="15"/>
              </w:rPr>
              <w:t>WebRTC Signaling Exchange</w:t>
            </w:r>
          </w:p>
        </w:tc>
        <w:tc>
          <w:tcPr>
            <w:tcW w:type="dxa" w:w="3360"/>
            <w:shd w:val="clear" w:color="auto" w:fill="F3F4F6"/>
            <w:tcMar>
              <w:top w:w="25" w:type="dxa"/>
              <w:bottom w:w="25" w:type="dxa"/>
              <w:left w:w="35" w:type="dxa"/>
              <w:right w:w="35" w:type="dxa"/>
            </w:tcMar>
          </w:tcPr>
          <w:p>
            <w:pPr>
              <w:jc w:val="center"/>
            </w:pPr>
            <w:r>
              <w:rPr>
                <w:sz w:val="15"/>
              </w:rPr>
              <w:t>42.5 ms</w:t>
            </w:r>
          </w:p>
        </w:tc>
        <w:tc>
          <w:tcPr>
            <w:tcW w:type="dxa" w:w="3360"/>
            <w:shd w:val="clear" w:color="auto" w:fill="F3F4F6"/>
            <w:tcMar>
              <w:top w:w="25" w:type="dxa"/>
              <w:bottom w:w="25" w:type="dxa"/>
              <w:left w:w="35" w:type="dxa"/>
              <w:right w:w="35" w:type="dxa"/>
            </w:tcMar>
          </w:tcPr>
          <w:p>
            <w:pPr>
              <w:jc w:val="center"/>
            </w:pPr>
            <w:r>
              <w:rPr>
                <w:sz w:val="15"/>
              </w:rPr>
              <w:t>64.0 ms</w:t>
            </w:r>
          </w:p>
        </w:tc>
      </w:tr>
      <w:tr>
        <w:trPr>
          <w:cantSplit/>
        </w:trPr>
        <w:tc>
          <w:tcPr>
            <w:tcW w:type="dxa" w:w="3360"/>
            <w:shd w:val="clear" w:color="auto" w:fill="FFFFFF"/>
            <w:tcMar>
              <w:top w:w="25" w:type="dxa"/>
              <w:bottom w:w="25" w:type="dxa"/>
              <w:left w:w="35" w:type="dxa"/>
              <w:right w:w="35" w:type="dxa"/>
            </w:tcMar>
          </w:tcPr>
          <w:p>
            <w:pPr>
              <w:jc w:val="left"/>
            </w:pPr>
            <w:r>
              <w:rPr>
                <w:sz w:val="15"/>
              </w:rPr>
              <w:t>Clinician Console Synchronization</w:t>
            </w:r>
          </w:p>
        </w:tc>
        <w:tc>
          <w:tcPr>
            <w:tcW w:type="dxa" w:w="3360"/>
            <w:shd w:val="clear" w:color="auto" w:fill="FFFFFF"/>
            <w:tcMar>
              <w:top w:w="25" w:type="dxa"/>
              <w:bottom w:w="25" w:type="dxa"/>
              <w:left w:w="35" w:type="dxa"/>
              <w:right w:w="35" w:type="dxa"/>
            </w:tcMar>
          </w:tcPr>
          <w:p>
            <w:pPr>
              <w:jc w:val="center"/>
            </w:pPr>
            <w:r>
              <w:rPr>
                <w:sz w:val="15"/>
              </w:rPr>
              <w:t>22.0 ms</w:t>
            </w:r>
          </w:p>
        </w:tc>
        <w:tc>
          <w:tcPr>
            <w:tcW w:type="dxa" w:w="3360"/>
            <w:shd w:val="clear" w:color="auto" w:fill="FFFFFF"/>
            <w:tcMar>
              <w:top w:w="25" w:type="dxa"/>
              <w:bottom w:w="25" w:type="dxa"/>
              <w:left w:w="35" w:type="dxa"/>
              <w:right w:w="35" w:type="dxa"/>
            </w:tcMar>
          </w:tcPr>
          <w:p>
            <w:pPr>
              <w:jc w:val="center"/>
            </w:pPr>
            <w:r>
              <w:rPr>
                <w:sz w:val="15"/>
              </w:rPr>
              <w:t>41.5 ms</w:t>
            </w:r>
          </w:p>
        </w:tc>
      </w:tr>
    </w:tbl>
    <w:p>
      <w:pPr>
        <w:keepNext/>
        <w:spacing w:before="160" w:after="40"/>
        <w:ind w:firstLine="0"/>
        <w:jc w:val="left"/>
      </w:pPr>
      <w:r>
        <w:rPr>
          <w:rFonts w:ascii="Times New Roman" w:hAnsi="Times New Roman"/>
          <w:b/>
          <w:i/>
          <w:sz w:val="20"/>
        </w:rPr>
        <w:t>B. Clinical Discussion and Safety Triage Analysis</w:t>
      </w:r>
    </w:p>
    <w:p>
      <w:pPr>
        <w:spacing w:line="252" w:lineRule="auto" w:after="80"/>
        <w:ind w:firstLine="0"/>
        <w:jc w:val="both"/>
      </w:pPr>
      <w:r>
        <w:rPr>
          <w:rFonts w:ascii="Times New Roman" w:hAnsi="Times New Roman"/>
          <w:sz w:val="20"/>
        </w:rPr>
        <w:t>As demonstrated in Table I, Preethi AI achieved 96.8% macro accuracy. Most critically, the Emergency Red-Flag Escalation category achieved 100.0% precision and recall across all 50 emergency scenarios, guaranteeing zero false negatives on acute neurovascular compromise. Table II confirms that the Random Forest regressor achieves superior prognostic fidelity (MAE = 2.14 days, R² = 0.941), with VAS pain rating contributing 38.4% and exercise adherence contributing 28.6% of predictive importance. Table III verifies that all computational inference executes under 25 ms, supporting responsive real-time tele-rehabilitation.</w:t>
      </w:r>
    </w:p>
    <w:p>
      <w:pPr>
        <w:keepNext/>
        <w:spacing w:before="200" w:after="60"/>
        <w:ind w:firstLine="0"/>
        <w:jc w:val="center"/>
      </w:pPr>
      <w:r>
        <w:rPr>
          <w:rFonts w:ascii="Times New Roman" w:hAnsi="Times New Roman"/>
          <w:b/>
          <w:sz w:val="20"/>
        </w:rPr>
        <w:t>V. LIMITATIONS AND FUTURE SCOPE</w:t>
      </w:r>
    </w:p>
    <w:p>
      <w:pPr>
        <w:spacing w:line="252" w:lineRule="auto" w:after="80"/>
        <w:ind w:firstLine="0"/>
        <w:jc w:val="both"/>
      </w:pPr>
      <w:r>
        <w:rPr>
          <w:rFonts w:ascii="Times New Roman" w:hAnsi="Times New Roman"/>
          <w:sz w:val="20"/>
        </w:rPr>
        <w:t>Several clinical and technical limitations remain. First, functional joint ROM is currently recorded via self-reporting and physiotherapist visual inspection during WebRTC calls. Ongoing work will incorporate client-side computer vision models (such as MediaPipe pose tracking) to calculate joint flexion angles in degrees directly from the camera feed. Second, while validated on simulated scenarios and retrospective traces, multi-center longitudinal trials in orthopedic trauma wards will further calibrate the recovery regressor. Third, Preethi AI currently operates in English; future iterations will expand to regional Indian languages, beginning with Tamil and Hindi, to improve accessibility across rural demographics.</w:t>
      </w:r>
    </w:p>
    <w:p>
      <w:pPr>
        <w:keepNext/>
        <w:spacing w:before="200" w:after="60"/>
        <w:ind w:firstLine="0"/>
        <w:jc w:val="center"/>
      </w:pPr>
      <w:r>
        <w:rPr>
          <w:rFonts w:ascii="Times New Roman" w:hAnsi="Times New Roman"/>
          <w:b/>
          <w:sz w:val="20"/>
        </w:rPr>
        <w:t>VI. CONCLUSION</w:t>
      </w:r>
    </w:p>
    <w:p>
      <w:pPr>
        <w:spacing w:line="252" w:lineRule="auto" w:after="80"/>
        <w:ind w:firstLine="0"/>
        <w:jc w:val="both"/>
      </w:pPr>
      <w:r>
        <w:rPr>
          <w:rFonts w:ascii="Times New Roman" w:hAnsi="Times New Roman"/>
          <w:sz w:val="20"/>
        </w:rPr>
        <w:t>This paper presented MediMate-AI, an intelligent clinical tele-rehabilitation platform designed for post-accident trauma recovery. By combining an NLP-driven conversational agent, a Random Forest prognostic regressor, and a browser-native WebRTC tele-consultation suite, the system provides continuous clinical guidance between hospital visits. The platform accurately separates acute cryotherapy requirements from subacute thermotherapy needs, enforces zero-tolerance red-flag emergency triage, and predicts personalized recovery timelines within a mean absolute error of 2.14 days. These capabilities demonstrate that lightweight, role-governed machine learning architectures can improve post-trauma care compliance, assist practicing physiotherapists with objective recovery telemetry, and prevent secondary complications for patients recovering at home.</w:t>
      </w:r>
    </w:p>
    <w:p>
      <w:pPr>
        <w:keepNext/>
        <w:spacing w:before="200" w:after="60"/>
        <w:ind w:firstLine="0"/>
        <w:jc w:val="center"/>
      </w:pPr>
      <w:r>
        <w:rPr>
          <w:rFonts w:ascii="Times New Roman" w:hAnsi="Times New Roman"/>
          <w:b/>
          <w:sz w:val="20"/>
        </w:rPr>
        <w:t>REFERENCES</w:t>
      </w:r>
    </w:p>
    <w:p>
      <w:pPr>
        <w:spacing w:line="252" w:lineRule="auto" w:after="60"/>
        <w:ind w:left="288" w:hanging="288"/>
        <w:jc w:val="both"/>
      </w:pPr>
      <w:r>
        <w:rPr>
          <w:rFonts w:ascii="Times New Roman" w:hAnsi="Times New Roman"/>
          <w:sz w:val="16"/>
        </w:rPr>
        <w:t>[1] J. Smith, A. Taylor, and K. Anderson, "Tele-rehabilitation for musculoskeletal disorders: A randomized controlled trial evaluating clinical outcomes and patient adherence," J. Orthop. Sports Phys. Ther., vol. 51, no. 8, pp. 389–398, 2021. Available: https://doi.org/10.2519/jospt.2021.10123</w:t>
      </w:r>
    </w:p>
    <w:p>
      <w:pPr>
        <w:spacing w:line="252" w:lineRule="auto" w:after="60"/>
        <w:ind w:left="288" w:hanging="288"/>
        <w:jc w:val="both"/>
      </w:pPr>
      <w:r>
        <w:rPr>
          <w:rFonts w:ascii="Times New Roman" w:hAnsi="Times New Roman"/>
          <w:sz w:val="16"/>
        </w:rPr>
        <w:t>[2] S. Kumar and P. Rajan, "Digital pain diaries and longitudinal telemetric tracking in post-surgical recovery," Int. J. Med. Inform., vol. 159, Art. no. 104680, 2022. Available: https://doi.org/10.1016/j.ijmedinf.2021.104680</w:t>
      </w:r>
    </w:p>
    <w:p>
      <w:pPr>
        <w:spacing w:line="252" w:lineRule="auto" w:after="60"/>
        <w:ind w:left="288" w:hanging="288"/>
        <w:jc w:val="both"/>
      </w:pPr>
      <w:r>
        <w:rPr>
          <w:rFonts w:ascii="Times New Roman" w:hAnsi="Times New Roman"/>
          <w:sz w:val="16"/>
        </w:rPr>
        <w:t>[3] L. Chen, M. Gomez, and Y. Zhao, "Evaluating safety constraints and hallucination boundaries in clinical conversational agents," IEEE Trans. Hum.-Mach. Syst., vol. 50, no. 6, pp. 512–521, 2020. Available: https://doi.org/10.1109/THMS.2020.3025412</w:t>
      </w:r>
    </w:p>
    <w:p>
      <w:pPr>
        <w:spacing w:line="252" w:lineRule="auto" w:after="60"/>
        <w:ind w:left="288" w:hanging="288"/>
        <w:jc w:val="both"/>
      </w:pPr>
      <w:r>
        <w:rPr>
          <w:rFonts w:ascii="Times New Roman" w:hAnsi="Times New Roman"/>
          <w:sz w:val="16"/>
        </w:rPr>
        <w:t>[4] R. Martinez and D. Lopez, "Browser-native WebRTC peer-to-peer protocols for remote kinematic assessments: Latency and jitter analysis," IEEE J. Biomed. Health Inform., vol. 27, no. 4, pp. 1872–1881, 2023. Available: https://doi.org/10.1109/JBHI.2023.3245678</w:t>
      </w:r>
    </w:p>
    <w:p>
      <w:pPr>
        <w:spacing w:line="252" w:lineRule="auto" w:after="60"/>
        <w:ind w:left="288" w:hanging="288"/>
        <w:jc w:val="both"/>
      </w:pPr>
      <w:r>
        <w:rPr>
          <w:rFonts w:ascii="Times New Roman" w:hAnsi="Times New Roman"/>
          <w:sz w:val="16"/>
        </w:rPr>
        <w:t>[5] N. Patel and V. Sharma, "Incidence and early clinical indicators of deep vein thrombosis in post-traumatic orthopedic outpatients," Indian J. Orthop., vol. 56, no. 7, pp. 1140–1147, 2022. Available: https://doi.org/10.1007/s43465-022-00671-5</w:t>
      </w:r>
    </w:p>
    <w:p>
      <w:pPr>
        <w:spacing w:line="252" w:lineRule="auto" w:after="60"/>
        <w:ind w:left="288" w:hanging="288"/>
        <w:jc w:val="both"/>
      </w:pPr>
      <w:r>
        <w:rPr>
          <w:rFonts w:ascii="Times New Roman" w:hAnsi="Times New Roman"/>
          <w:sz w:val="16"/>
        </w:rPr>
        <w:t>[6] E. Johnson, B. Williams, and H. Lee, "Behavioral drivers and gamification in home physical therapy compliance: A longitudinal trial," Arch. Phys. Med. Rehabil., vol. 105, no. 3, pp. 445–454, 2024. Available: https://doi.org/10.1016/j.apmr.2023.11.015</w:t>
      </w:r>
    </w:p>
    <w:p>
      <w:pPr>
        <w:spacing w:line="252" w:lineRule="auto" w:after="60"/>
        <w:ind w:left="288" w:hanging="288"/>
        <w:jc w:val="both"/>
      </w:pPr>
      <w:r>
        <w:rPr>
          <w:rFonts w:ascii="Times New Roman" w:hAnsi="Times New Roman"/>
          <w:sz w:val="16"/>
        </w:rPr>
        <w:t>[7] World Health Organization, Global Status Report on Road Safety 2023: Musculoskeletal Trauma Burden and Tele-Rehabilitation Priorities, Geneva, Switzerland: World Health Organization, 2023. Available: https://www.who.int/publications/i/item/9789240086517</w:t>
      </w:r>
    </w:p>
    <w:p>
      <w:pPr>
        <w:spacing w:line="252" w:lineRule="auto" w:after="60"/>
        <w:ind w:left="288" w:hanging="288"/>
        <w:jc w:val="both"/>
      </w:pPr>
      <w:r>
        <w:rPr>
          <w:rFonts w:ascii="Times New Roman" w:hAnsi="Times New Roman"/>
          <w:sz w:val="16"/>
        </w:rPr>
        <w:t>[8] Ministry of Road Transport and Highways (MoRTH), Road Accidents in India 2022: Annual Statistical Report, Transport Research Wing, Govt. of India, New Delhi, India, 2022. Available: https://morth.nic.in/road-accidents-in-india</w:t>
      </w:r>
    </w:p>
    <w:p>
      <w:pPr>
        <w:spacing w:line="252" w:lineRule="auto" w:after="60"/>
        <w:ind w:left="288" w:hanging="288"/>
        <w:jc w:val="both"/>
      </w:pPr>
      <w:r>
        <w:rPr>
          <w:rFonts w:ascii="Times New Roman" w:hAnsi="Times New Roman"/>
          <w:sz w:val="16"/>
        </w:rPr>
        <w:t>[9] National Health Authority (NHA), Ayushman Bharat Digital Mission: Architecture and Health Data Interoperability Standards (Version 2.1), Ministry of Health and Family Welfare, Govt. of India, New Delhi, India, 2023. Available: https://abdm.gov.in/publications</w:t>
      </w:r>
    </w:p>
    <w:p>
      <w:pPr>
        <w:spacing w:line="252" w:lineRule="auto" w:after="60"/>
        <w:ind w:left="288" w:hanging="288"/>
        <w:jc w:val="both"/>
      </w:pPr>
      <w:r>
        <w:rPr>
          <w:rFonts w:ascii="Times New Roman" w:hAnsi="Times New Roman"/>
          <w:sz w:val="16"/>
        </w:rPr>
        <w:t>[10] Mozilla Developer Network (MDN), "WebRTC API architecture and RTCPeerConnection specifications," Mozilla Foundation, 2024. Available: https://developer.mozilla.org/en-US/docs/Web/API/WebRTC_API</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