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720" w:after="100"/>
      </w:pPr>
      <w:r>
        <w:rPr>
          <w:rFonts w:ascii="Arial" w:cs="Arial" w:eastAsia="Arial" w:hAnsi="Arial"/>
          <w:b/>
          <w:bCs/>
          <w:color w:val="1F4E79"/>
          <w:sz w:val="52"/>
          <w:szCs w:val="52"/>
        </w:rPr>
        <w:t xml:space="preserve">Methods Reference</w:t>
      </w:r>
    </w:p>
    <w:p>
      <w:pPr>
        <w:spacing w:after="80"/>
      </w:pPr>
      <w:r>
        <w:rPr>
          <w:rFonts w:ascii="Arial" w:cs="Arial" w:eastAsia="Arial" w:hAnsi="Arial"/>
          <w:color w:val="2E75B6"/>
          <w:sz w:val="28"/>
          <w:szCs w:val="28"/>
        </w:rPr>
        <w:t xml:space="preserve">What every function does, why it was built that way, and what would break if it changed</w:t>
      </w:r>
    </w:p>
    <w:p>
      <w:pPr>
        <w:spacing w:after="80"/>
      </w:pPr>
      <w:r>
        <w:rPr>
          <w:rFonts w:ascii="Arial" w:cs="Arial" w:eastAsia="Arial" w:hAnsi="Arial"/>
          <w:i/>
          <w:iCs/>
          <w:color w:val="2E75B6"/>
          <w:sz w:val="22"/>
          <w:szCs w:val="22"/>
        </w:rPr>
        <w:t xml:space="preserve">IHDS-II Multidimensional Health Index  ·  21 Cells  ·  Updated: SM14B geographic fix applied</w:t>
      </w:r>
    </w:p>
    <w:p>
      <w:pPr>
        <w:spacing w:after="500"/>
      </w:pPr>
      <w:r>
        <w:rPr>
          <w:rFonts w:ascii="Arial" w:cs="Arial" w:eastAsia="Arial" w:hAnsi="Arial"/>
          <w:color w:val="595959"/>
          <w:sz w:val="20"/>
          <w:szCs w:val="20"/>
        </w:rPr>
        <w:t xml:space="preserve">March 2026</w:t>
      </w:r>
    </w:p>
    <w:p>
      <w:pPr>
        <w:pBdr>
          <w:bottom w:val="single" w:color="2E75B6" w:sz="12" w:space="1"/>
        </w:pBdr>
        <w:spacing w:after="480"/>
      </w:pPr>
      <w:r>
        <w:rPr>
          <w:rFonts w:ascii="Arial" w:cs="Arial" w:eastAsia="Arial" w:hAnsi="Arial"/>
          <w:sz w:val="22"/>
          <w:szCs w:val="22"/>
        </w:rPr>
        <w:t xml:space="preserve"/>
      </w:r>
    </w:p>
    <w:p>
      <w:pPr>
        <w:pStyle w:val="Heading1"/>
        <w:pBdr>
          <w:bottom w:val="single" w:color="2E75B6" w:sz="6" w:space="1"/>
        </w:pBdr>
        <w:spacing w:before="360" w:after="180"/>
      </w:pPr>
      <w:r>
        <w:rPr>
          <w:rFonts w:ascii="Arial" w:cs="Arial" w:eastAsia="Arial" w:hAnsi="Arial"/>
          <w:b/>
          <w:bCs/>
          <w:color w:val="1F4E79"/>
          <w:sz w:val="32"/>
          <w:szCs w:val="32"/>
        </w:rPr>
        <w:t xml:space="preserve">1. Pipeline Map — All 21 Cells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1880"/>
        <w:gridCol w:w="1800"/>
        <w:gridCol w:w="5160"/>
      </w:tblGrid>
      <w:tr>
        <w:tc>
          <w:tcPr>
            <w:tcW w:type="dxa" w:w="52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spacing w:after="120"/>
            </w:pPr>
            <w:r>
              <w:rPr>
                <w:rFonts w:ascii="Arial" w:cs="Arial" w:eastAsia="Arial" w:hAnsi="Arial"/>
                <w:b/>
                <w:bCs/>
                <w:color w:val="FFFFFF"/>
                <w:sz w:val="20"/>
                <w:szCs w:val="20"/>
              </w:rPr>
              <w:t xml:space="preserve">Cell</w:t>
            </w:r>
          </w:p>
        </w:tc>
        <w:tc>
          <w:tcPr>
            <w:tcW w:type="dxa" w:w="188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spacing w:after="120"/>
            </w:pPr>
            <w:r>
              <w:rPr>
                <w:rFonts w:ascii="Arial" w:cs="Arial" w:eastAsia="Arial" w:hAnsi="Arial"/>
                <w:b/>
                <w:bCs/>
                <w:color w:val="FFFFFF"/>
                <w:sz w:val="20"/>
                <w:szCs w:val="20"/>
              </w:rPr>
              <w:t xml:space="preserve">Name</w:t>
            </w:r>
          </w:p>
        </w:tc>
        <w:tc>
          <w:tcPr>
            <w:tcW w:type="dxa" w:w="1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spacing w:after="120"/>
            </w:pPr>
            <w:r>
              <w:rPr>
                <w:rFonts w:ascii="Arial" w:cs="Arial" w:eastAsia="Arial" w:hAnsi="Arial"/>
                <w:b/>
                <w:bCs/>
                <w:color w:val="FFFFFF"/>
                <w:sz w:val="20"/>
                <w:szCs w:val="20"/>
              </w:rPr>
              <w:t xml:space="preserve">Reads</w:t>
            </w:r>
          </w:p>
        </w:tc>
        <w:tc>
          <w:tcPr>
            <w:tcW w:type="dxa" w:w="51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spacing w:after="120"/>
            </w:pPr>
            <w:r>
              <w:rPr>
                <w:rFonts w:ascii="Arial" w:cs="Arial" w:eastAsia="Arial" w:hAnsi="Arial"/>
                <w:b/>
                <w:bCs/>
                <w:color w:val="FFFFFF"/>
                <w:sz w:val="20"/>
                <w:szCs w:val="20"/>
              </w:rPr>
              <w:t xml:space="preserve">Writes / key function</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0"/>
                <w:szCs w:val="20"/>
              </w:rPr>
              <w:t xml:space="preserve">0</w:t>
            </w:r>
          </w:p>
        </w:tc>
        <w:tc>
          <w:tcPr>
            <w:tcW w:type="dxa" w:w="1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0"/>
                <w:szCs w:val="20"/>
              </w:rPr>
              <w:t xml:space="preserve">Imports &amp; config</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0"/>
                <w:szCs w:val="20"/>
              </w:rPr>
              <w:t xml:space="preserve">—</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0"/>
                <w:szCs w:val="20"/>
              </w:rPr>
              <w:t xml:space="preserve">CSV_PATHS, thresholds, all library imports</w:t>
            </w:r>
          </w:p>
        </w:tc>
      </w:tr>
      <w:tr>
        <w:tc>
          <w:tcPr>
            <w:tcW w:type="dxa" w:w="5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120"/>
            </w:pPr>
            <w:r>
              <w:rPr>
                <w:rFonts w:ascii="Arial" w:cs="Arial" w:eastAsia="Arial" w:hAnsi="Arial"/>
                <w:sz w:val="20"/>
                <w:szCs w:val="20"/>
              </w:rPr>
              <w:t xml:space="preserve">1</w:t>
            </w:r>
          </w:p>
        </w:tc>
        <w:tc>
          <w:tcPr>
            <w:tcW w:type="dxa" w:w="1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120"/>
            </w:pPr>
            <w:r>
              <w:rPr>
                <w:rFonts w:ascii="Arial" w:cs="Arial" w:eastAsia="Arial" w:hAnsi="Arial"/>
                <w:sz w:val="20"/>
                <w:szCs w:val="20"/>
              </w:rPr>
              <w:t xml:space="preserve">Variable lists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120"/>
            </w:pPr>
            <w:r>
              <w:rPr>
                <w:rFonts w:ascii="Arial" w:cs="Arial" w:eastAsia="Arial" w:hAnsi="Arial"/>
                <w:sz w:val="20"/>
                <w:szCs w:val="20"/>
              </w:rPr>
              <w:t xml:space="preserve">—</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120"/>
            </w:pPr>
            <w:r>
              <w:rPr>
                <w:rFonts w:ascii="Arial" w:cs="Arial" w:eastAsia="Arial" w:hAnsi="Arial"/>
                <w:sz w:val="20"/>
                <w:szCs w:val="20"/>
              </w:rPr>
              <w:t xml:space="preserve">Named thematic lists for all IHDS-II sections</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0"/>
                <w:szCs w:val="20"/>
              </w:rPr>
              <w:t xml:space="preserve">2</w:t>
            </w:r>
          </w:p>
        </w:tc>
        <w:tc>
          <w:tcPr>
            <w:tcW w:type="dxa" w:w="1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0"/>
                <w:szCs w:val="20"/>
              </w:rPr>
              <w:t xml:space="preserve">clean_col / clean_cols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0"/>
                <w:szCs w:val="20"/>
              </w:rPr>
              <w:t xml:space="preserve">—</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0"/>
                <w:szCs w:val="20"/>
              </w:rPr>
              <w:t xml:space="preserve">Core string→integer mapping helpers</w:t>
            </w:r>
          </w:p>
        </w:tc>
      </w:tr>
      <w:tr>
        <w:tc>
          <w:tcPr>
            <w:tcW w:type="dxa" w:w="5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120"/>
            </w:pPr>
            <w:r>
              <w:rPr>
                <w:rFonts w:ascii="Arial" w:cs="Arial" w:eastAsia="Arial" w:hAnsi="Arial"/>
                <w:sz w:val="20"/>
                <w:szCs w:val="20"/>
              </w:rPr>
              <w:t xml:space="preserve">3</w:t>
            </w:r>
          </w:p>
        </w:tc>
        <w:tc>
          <w:tcPr>
            <w:tcW w:type="dxa" w:w="1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120"/>
            </w:pPr>
            <w:r>
              <w:rPr>
                <w:rFonts w:ascii="Arial" w:cs="Arial" w:eastAsia="Arial" w:hAnsi="Arial"/>
                <w:sz w:val="20"/>
                <w:szCs w:val="20"/>
              </w:rPr>
              <w:t xml:space="preserve">Correction maps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120"/>
            </w:pPr>
            <w:r>
              <w:rPr>
                <w:rFonts w:ascii="Arial" w:cs="Arial" w:eastAsia="Arial" w:hAnsi="Arial"/>
                <w:sz w:val="20"/>
                <w:szCs w:val="20"/>
              </w:rPr>
              <w:t xml:space="preserve">—</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120"/>
            </w:pPr>
            <w:r>
              <w:rPr>
                <w:rFonts w:ascii="Arial" w:cs="Arial" w:eastAsia="Arial" w:hAnsi="Arial"/>
                <w:sz w:val="20"/>
                <w:szCs w:val="20"/>
              </w:rPr>
              <w:t xml:space="preserve">Shared dicts: binary, MB, AD, TO, WKFARM</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0"/>
                <w:szCs w:val="20"/>
              </w:rPr>
              <w:t xml:space="preserve">4</w:t>
            </w:r>
          </w:p>
        </w:tc>
        <w:tc>
          <w:tcPr>
            <w:tcW w:type="dxa" w:w="1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0"/>
                <w:szCs w:val="20"/>
              </w:rPr>
              <w:t xml:space="preserve">clean_dataframe()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0"/>
                <w:szCs w:val="20"/>
              </w:rPr>
              <w:t xml:space="preserve">—</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0"/>
                <w:szCs w:val="20"/>
              </w:rPr>
              <w:t xml:space="preserve">Applies all maps to one dataframe in-place</w:t>
            </w:r>
          </w:p>
        </w:tc>
      </w:tr>
      <w:tr>
        <w:tc>
          <w:tcPr>
            <w:tcW w:type="dxa" w:w="5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120"/>
            </w:pPr>
            <w:r>
              <w:rPr>
                <w:rFonts w:ascii="Arial" w:cs="Arial" w:eastAsia="Arial" w:hAnsi="Arial"/>
                <w:sz w:val="20"/>
                <w:szCs w:val="20"/>
              </w:rPr>
              <w:t xml:space="preserve">5</w:t>
            </w:r>
          </w:p>
        </w:tc>
        <w:tc>
          <w:tcPr>
            <w:tcW w:type="dxa" w:w="1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120"/>
            </w:pPr>
            <w:r>
              <w:rPr>
                <w:rFonts w:ascii="Arial" w:cs="Arial" w:eastAsia="Arial" w:hAnsi="Arial"/>
                <w:sz w:val="20"/>
                <w:szCs w:val="20"/>
              </w:rPr>
              <w:t xml:space="preserve">Cleaning runner</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120"/>
            </w:pPr>
            <w:r>
              <w:rPr>
                <w:rFonts w:ascii="Arial" w:cs="Arial" w:eastAsia="Arial" w:hAnsi="Arial"/>
                <w:sz w:val="20"/>
                <w:szCs w:val="20"/>
              </w:rPr>
              <w:t xml:space="preserve">raw CSVs</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120"/>
            </w:pPr>
            <w:r>
              <w:rPr>
                <w:rFonts w:ascii="Arial" w:cs="Arial" w:eastAsia="Arial" w:hAnsi="Arial"/>
                <w:sz w:val="20"/>
                <w:szCs w:val="20"/>
              </w:rPr>
              <w:t xml:space="preserve">cleaned_*.csv per state</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0"/>
                <w:szCs w:val="20"/>
              </w:rPr>
              <w:t xml:space="preserve">6</w:t>
            </w:r>
          </w:p>
        </w:tc>
        <w:tc>
          <w:tcPr>
            <w:tcW w:type="dxa" w:w="1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0"/>
                <w:szCs w:val="20"/>
              </w:rPr>
              <w:t xml:space="preserve">Variable selection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0"/>
                <w:szCs w:val="20"/>
              </w:rPr>
              <w:t xml:space="preserve">—</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0"/>
                <w:szCs w:val="20"/>
              </w:rPr>
              <w:t xml:space="preserve">STM_VARS, CDI_TIER1/2, ADL_VARS with rationale</w:t>
            </w:r>
          </w:p>
        </w:tc>
      </w:tr>
      <w:tr>
        <w:tc>
          <w:tcPr>
            <w:tcW w:type="dxa" w:w="5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120"/>
            </w:pPr>
            <w:r>
              <w:rPr>
                <w:rFonts w:ascii="Arial" w:cs="Arial" w:eastAsia="Arial" w:hAnsi="Arial"/>
                <w:sz w:val="20"/>
                <w:szCs w:val="20"/>
              </w:rPr>
              <w:t xml:space="preserve">7</w:t>
            </w:r>
          </w:p>
        </w:tc>
        <w:tc>
          <w:tcPr>
            <w:tcW w:type="dxa" w:w="1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120"/>
            </w:pPr>
            <w:r>
              <w:rPr>
                <w:rFonts w:ascii="Arial" w:cs="Arial" w:eastAsia="Arial" w:hAnsi="Arial"/>
                <w:sz w:val="20"/>
                <w:szCs w:val="20"/>
              </w:rPr>
              <w:t xml:space="preserve">Sub-score functions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120"/>
            </w:pPr>
            <w:r>
              <w:rPr>
                <w:rFonts w:ascii="Arial" w:cs="Arial" w:eastAsia="Arial" w:hAnsi="Arial"/>
                <w:sz w:val="20"/>
                <w:szCs w:val="20"/>
              </w:rPr>
              <w:t xml:space="preserve">—</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120"/>
            </w:pPr>
            <w:r>
              <w:rPr>
                <w:rFonts w:ascii="Arial" w:cs="Arial" w:eastAsia="Arial" w:hAnsi="Arial"/>
                <w:sz w:val="20"/>
                <w:szCs w:val="20"/>
              </w:rPr>
              <w:t xml:space="preserve">build_stm_score(), build_cdi_score(), build_adl_score()</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0"/>
                <w:szCs w:val="20"/>
              </w:rPr>
              <w:t xml:space="preserve">8</w:t>
            </w:r>
          </w:p>
        </w:tc>
        <w:tc>
          <w:tcPr>
            <w:tcW w:type="dxa" w:w="1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0"/>
                <w:szCs w:val="20"/>
              </w:rPr>
              <w:t xml:space="preserve">PHI compositor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0"/>
                <w:szCs w:val="20"/>
              </w:rPr>
              <w:t xml:space="preserve">—</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0"/>
                <w:szCs w:val="20"/>
              </w:rPr>
              <w:t xml:space="preserve">WEIGHTS dict + build_physical_health_index()</w:t>
            </w:r>
          </w:p>
        </w:tc>
      </w:tr>
      <w:tr>
        <w:tc>
          <w:tcPr>
            <w:tcW w:type="dxa" w:w="5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120"/>
            </w:pPr>
            <w:r>
              <w:rPr>
                <w:rFonts w:ascii="Arial" w:cs="Arial" w:eastAsia="Arial" w:hAnsi="Arial"/>
                <w:sz w:val="20"/>
                <w:szCs w:val="20"/>
              </w:rPr>
              <w:t xml:space="preserve">9</w:t>
            </w:r>
          </w:p>
        </w:tc>
        <w:tc>
          <w:tcPr>
            <w:tcW w:type="dxa" w:w="1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120"/>
            </w:pPr>
            <w:r>
              <w:rPr>
                <w:rFonts w:ascii="Arial" w:cs="Arial" w:eastAsia="Arial" w:hAnsi="Arial"/>
                <w:sz w:val="20"/>
                <w:szCs w:val="20"/>
              </w:rPr>
              <w:t xml:space="preserve">PHI runner</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120"/>
            </w:pPr>
            <w:r>
              <w:rPr>
                <w:rFonts w:ascii="Arial" w:cs="Arial" w:eastAsia="Arial" w:hAnsi="Arial"/>
                <w:sz w:val="20"/>
                <w:szCs w:val="20"/>
              </w:rPr>
              <w:t xml:space="preserve">cleaned_*</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120"/>
            </w:pPr>
            <w:r>
              <w:rPr>
                <w:rFonts w:ascii="Arial" w:cs="Arial" w:eastAsia="Arial" w:hAnsi="Arial"/>
                <w:sz w:val="20"/>
                <w:szCs w:val="20"/>
              </w:rPr>
              <w:t xml:space="preserve">run_physical_health_index() → health_index_*.csv</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0"/>
                <w:szCs w:val="20"/>
              </w:rPr>
              <w:t xml:space="preserve">10</w:t>
            </w:r>
          </w:p>
        </w:tc>
        <w:tc>
          <w:tcPr>
            <w:tcW w:type="dxa" w:w="1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0"/>
                <w:szCs w:val="20"/>
              </w:rPr>
              <w:t xml:space="preserve">Transforms &amp; PCA</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0"/>
                <w:szCs w:val="20"/>
              </w:rPr>
              <w:t xml:space="preserve">—</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0"/>
                <w:szCs w:val="20"/>
              </w:rPr>
              <w:t xml:space="preserve">rank_int(), build_pca_diagnostic()</w:t>
            </w:r>
          </w:p>
        </w:tc>
      </w:tr>
      <w:tr>
        <w:tc>
          <w:tcPr>
            <w:tcW w:type="dxa" w:w="5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120"/>
            </w:pPr>
            <w:r>
              <w:rPr>
                <w:rFonts w:ascii="Arial" w:cs="Arial" w:eastAsia="Arial" w:hAnsi="Arial"/>
                <w:sz w:val="20"/>
                <w:szCs w:val="20"/>
              </w:rPr>
              <w:t xml:space="preserve">11</w:t>
            </w:r>
          </w:p>
        </w:tc>
        <w:tc>
          <w:tcPr>
            <w:tcW w:type="dxa" w:w="1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120"/>
            </w:pPr>
            <w:r>
              <w:rPr>
                <w:rFonts w:ascii="Arial" w:cs="Arial" w:eastAsia="Arial" w:hAnsi="Arial"/>
                <w:sz w:val="20"/>
                <w:szCs w:val="20"/>
              </w:rPr>
              <w:t xml:space="preserve">Index runner</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120"/>
            </w:pPr>
            <w:r>
              <w:rPr>
                <w:rFonts w:ascii="Arial" w:cs="Arial" w:eastAsia="Arial" w:hAnsi="Arial"/>
                <w:sz w:val="20"/>
                <w:szCs w:val="20"/>
              </w:rPr>
              <w:t xml:space="preserve">cleaned_*</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120"/>
            </w:pPr>
            <w:r>
              <w:rPr>
                <w:rFonts w:ascii="Arial" w:cs="Arial" w:eastAsia="Arial" w:hAnsi="Arial"/>
                <w:sz w:val="20"/>
                <w:szCs w:val="20"/>
              </w:rPr>
              <w:t xml:space="preserve">run_all_indices() → health_index_* + sick_health_index_*</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0"/>
                <w:szCs w:val="20"/>
              </w:rPr>
              <w:t xml:space="preserve">12</w:t>
            </w:r>
          </w:p>
        </w:tc>
        <w:tc>
          <w:tcPr>
            <w:tcW w:type="dxa" w:w="1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0"/>
                <w:szCs w:val="20"/>
              </w:rPr>
              <w:t xml:space="preserve">OLS full pop.</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0"/>
                <w:szCs w:val="20"/>
              </w:rPr>
              <w:t xml:space="preserve">health_index_*</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0"/>
                <w:szCs w:val="20"/>
              </w:rPr>
              <w:t xml:space="preserve">plot_phi_distributions(), run_ols_regression()</w:t>
            </w:r>
          </w:p>
        </w:tc>
      </w:tr>
      <w:tr>
        <w:tc>
          <w:tcPr>
            <w:tcW w:type="dxa" w:w="5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120"/>
            </w:pPr>
            <w:r>
              <w:rPr>
                <w:rFonts w:ascii="Arial" w:cs="Arial" w:eastAsia="Arial" w:hAnsi="Arial"/>
                <w:sz w:val="20"/>
                <w:szCs w:val="20"/>
              </w:rPr>
              <w:t xml:space="preserve">13</w:t>
            </w:r>
          </w:p>
        </w:tc>
        <w:tc>
          <w:tcPr>
            <w:tcW w:type="dxa" w:w="1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120"/>
            </w:pPr>
            <w:r>
              <w:rPr>
                <w:rFonts w:ascii="Arial" w:cs="Arial" w:eastAsia="Arial" w:hAnsi="Arial"/>
                <w:sz w:val="20"/>
                <w:szCs w:val="20"/>
              </w:rPr>
              <w:t xml:space="preserve">Socioeconomic vars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120"/>
            </w:pPr>
            <w:r>
              <w:rPr>
                <w:rFonts w:ascii="Arial" w:cs="Arial" w:eastAsia="Arial" w:hAnsi="Arial"/>
                <w:sz w:val="20"/>
                <w:szCs w:val="20"/>
              </w:rPr>
              <w:t xml:space="preserve">sick_health_index_*</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120"/>
            </w:pPr>
            <w:r>
              <w:rPr>
                <w:rFonts w:ascii="Arial" w:cs="Arial" w:eastAsia="Arial" w:hAnsi="Arial"/>
                <w:sz w:val="20"/>
                <w:szCs w:val="20"/>
              </w:rPr>
              <w:t xml:space="preserve">add_socioeconomic_vars(), run_extended_regression()</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0"/>
                <w:szCs w:val="20"/>
              </w:rPr>
              <w:t xml:space="preserve">14</w:t>
            </w:r>
          </w:p>
        </w:tc>
        <w:tc>
          <w:tcPr>
            <w:tcW w:type="dxa" w:w="1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0"/>
                <w:szCs w:val="20"/>
              </w:rPr>
              <w:t xml:space="preserve">Medical costs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0"/>
                <w:szCs w:val="20"/>
              </w:rPr>
              <w:t xml:space="preserve">sick_health_index_*</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0"/>
                <w:szCs w:val="20"/>
              </w:rPr>
              <w:t xml:space="preserve">add_medical_costs(), run_cost_analysis()</w:t>
            </w:r>
          </w:p>
        </w:tc>
      </w:tr>
      <w:tr>
        <w:tc>
          <w:tcPr>
            <w:tcW w:type="dxa" w:w="5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120"/>
            </w:pPr>
            <w:r>
              <w:rPr>
                <w:rFonts w:ascii="Arial" w:cs="Arial" w:eastAsia="Arial" w:hAnsi="Arial"/>
                <w:sz w:val="20"/>
                <w:szCs w:val="20"/>
              </w:rPr>
              <w:t xml:space="preserve">15</w:t>
            </w:r>
          </w:p>
        </w:tc>
        <w:tc>
          <w:tcPr>
            <w:tcW w:type="dxa" w:w="1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120"/>
            </w:pPr>
            <w:r>
              <w:rPr>
                <w:rFonts w:ascii="Arial" w:cs="Arial" w:eastAsia="Arial" w:hAnsi="Arial"/>
                <w:sz w:val="20"/>
                <w:szCs w:val="20"/>
              </w:rPr>
              <w:t xml:space="preserve">HAS (SM14B fix)</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120"/>
            </w:pPr>
            <w:r>
              <w:rPr>
                <w:rFonts w:ascii="Arial" w:cs="Arial" w:eastAsia="Arial" w:hAnsi="Arial"/>
                <w:sz w:val="20"/>
                <w:szCs w:val="20"/>
              </w:rPr>
              <w:t xml:space="preserve">sick_health_index_*</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120"/>
            </w:pPr>
            <w:r>
              <w:rPr>
                <w:rFonts w:ascii="Arial" w:cs="Arial" w:eastAsia="Arial" w:hAnsi="Arial"/>
                <w:sz w:val="20"/>
                <w:szCs w:val="20"/>
              </w:rPr>
              <w:t xml:space="preserve">build_access_index() → final_analysis_data_*</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0"/>
                <w:szCs w:val="20"/>
              </w:rPr>
              <w:t xml:space="preserve">16</w:t>
            </w:r>
          </w:p>
        </w:tc>
        <w:tc>
          <w:tcPr>
            <w:tcW w:type="dxa" w:w="1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0"/>
                <w:szCs w:val="20"/>
              </w:rPr>
              <w:t xml:space="preserve">SVI</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0"/>
                <w:szCs w:val="20"/>
              </w:rPr>
              <w:t xml:space="preserve">final_analysis_data_*</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0"/>
                <w:szCs w:val="20"/>
              </w:rPr>
              <w:t xml:space="preserve">build_social_vulnerability_index() → master_index_data_*</w:t>
            </w:r>
          </w:p>
        </w:tc>
      </w:tr>
      <w:tr>
        <w:tc>
          <w:tcPr>
            <w:tcW w:type="dxa" w:w="5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120"/>
            </w:pPr>
            <w:r>
              <w:rPr>
                <w:rFonts w:ascii="Arial" w:cs="Arial" w:eastAsia="Arial" w:hAnsi="Arial"/>
                <w:sz w:val="20"/>
                <w:szCs w:val="20"/>
              </w:rPr>
              <w:t xml:space="preserve">17</w:t>
            </w:r>
          </w:p>
        </w:tc>
        <w:tc>
          <w:tcPr>
            <w:tcW w:type="dxa" w:w="1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120"/>
            </w:pPr>
            <w:r>
              <w:rPr>
                <w:rFonts w:ascii="Arial" w:cs="Arial" w:eastAsia="Arial" w:hAnsi="Arial"/>
                <w:sz w:val="20"/>
                <w:szCs w:val="20"/>
              </w:rPr>
              <w:t xml:space="preserve">MHI</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120"/>
            </w:pPr>
            <w:r>
              <w:rPr>
                <w:rFonts w:ascii="Arial" w:cs="Arial" w:eastAsia="Arial" w:hAnsi="Arial"/>
                <w:sz w:val="20"/>
                <w:szCs w:val="20"/>
              </w:rPr>
              <w:t xml:space="preserve">master_index_data_*</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120"/>
            </w:pPr>
            <w:r>
              <w:rPr>
                <w:rFonts w:ascii="Arial" w:cs="Arial" w:eastAsia="Arial" w:hAnsi="Arial"/>
                <w:sz w:val="20"/>
                <w:szCs w:val="20"/>
              </w:rPr>
              <w:t xml:space="preserve">build_multidimensional_index() → final_mhi_dataset_*</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0"/>
                <w:szCs w:val="20"/>
              </w:rPr>
              <w:t xml:space="preserve">18</w:t>
            </w:r>
          </w:p>
        </w:tc>
        <w:tc>
          <w:tcPr>
            <w:tcW w:type="dxa" w:w="1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0"/>
                <w:szCs w:val="20"/>
              </w:rPr>
              <w:t xml:space="preserve">Basic plots (Cell 18)</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0"/>
                <w:szCs w:val="20"/>
              </w:rPr>
              <w:t xml:space="preserve">final_mhi_dataset_*</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0"/>
                <w:szCs w:val="20"/>
              </w:rPr>
              <w:t xml:space="preserve">generate_all_visualizations() → visualizations/</w:t>
            </w:r>
          </w:p>
        </w:tc>
      </w:tr>
      <w:tr>
        <w:tc>
          <w:tcPr>
            <w:tcW w:type="dxa" w:w="5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120"/>
            </w:pPr>
            <w:r>
              <w:rPr>
                <w:rFonts w:ascii="Arial" w:cs="Arial" w:eastAsia="Arial" w:hAnsi="Arial"/>
                <w:sz w:val="20"/>
                <w:szCs w:val="20"/>
              </w:rPr>
              <w:t xml:space="preserve">19</w:t>
            </w:r>
          </w:p>
        </w:tc>
        <w:tc>
          <w:tcPr>
            <w:tcW w:type="dxa" w:w="1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120"/>
            </w:pPr>
            <w:r>
              <w:rPr>
                <w:rFonts w:ascii="Arial" w:cs="Arial" w:eastAsia="Arial" w:hAnsi="Arial"/>
                <w:sz w:val="20"/>
                <w:szCs w:val="20"/>
              </w:rPr>
              <w:t xml:space="preserve">Markdown — index ref</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120"/>
            </w:pPr>
            <w:r>
              <w:rPr>
                <w:rFonts w:ascii="Arial" w:cs="Arial" w:eastAsia="Arial" w:hAnsi="Arial"/>
                <w:sz w:val="20"/>
                <w:szCs w:val="20"/>
              </w:rPr>
              <w:t xml:space="preserve">—</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120"/>
            </w:pPr>
            <w:r>
              <w:rPr>
                <w:rFonts w:ascii="Arial" w:cs="Arial" w:eastAsia="Arial" w:hAnsi="Arial"/>
                <w:sz w:val="20"/>
                <w:szCs w:val="20"/>
              </w:rPr>
              <w:t xml:space="preserve">Cell 19: this reference document in notebook form</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0"/>
                <w:szCs w:val="20"/>
              </w:rPr>
              <w:t xml:space="preserve">20</w:t>
            </w:r>
          </w:p>
        </w:tc>
        <w:tc>
          <w:tcPr>
            <w:tcW w:type="dxa" w:w="1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0"/>
                <w:szCs w:val="20"/>
              </w:rPr>
              <w:t xml:space="preserve">Full plot suite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0"/>
                <w:szCs w:val="20"/>
              </w:rPr>
              <w:t xml:space="preserve">final_mhi_dataset_*</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0"/>
                <w:szCs w:val="20"/>
              </w:rPr>
              <w:t xml:space="preserve">13 plots → plots/</w:t>
            </w:r>
          </w:p>
        </w:tc>
      </w:tr>
    </w:tbl>
    <w:p>
      <w:pPr>
        <w:spacing w:after="200"/>
      </w:pPr>
      <w:r>
        <w:rPr>
          <w:rFonts w:ascii="Arial" w:cs="Arial" w:eastAsia="Arial" w:hAnsi="Arial"/>
          <w:sz w:val="22"/>
          <w:szCs w:val="22"/>
        </w:rPr>
        <w:t xml:space="preserve"/>
      </w:r>
    </w:p>
    <w:p>
      <w:pPr>
        <w:pStyle w:val="Heading1"/>
        <w:pBdr>
          <w:bottom w:val="single" w:color="2E75B6" w:sz="6" w:space="1"/>
        </w:pBdr>
        <w:spacing w:before="360" w:after="180"/>
      </w:pPr>
      <w:r>
        <w:rPr>
          <w:rFonts w:ascii="Arial" w:cs="Arial" w:eastAsia="Arial" w:hAnsi="Arial"/>
          <w:b/>
          <w:bCs/>
          <w:color w:val="1F4E79"/>
          <w:sz w:val="32"/>
          <w:szCs w:val="32"/>
        </w:rPr>
        <w:t xml:space="preserve">2. Data Cleaning — Cells 0 to 5</w:t>
      </w:r>
    </w:p>
    <w:p>
      <w:pPr>
        <w:pStyle w:val="Heading2"/>
        <w:spacing w:before="260" w:after="100"/>
      </w:pPr>
      <w:r>
        <w:rPr>
          <w:rFonts w:ascii="Arial" w:cs="Arial" w:eastAsia="Arial" w:hAnsi="Arial"/>
          <w:b/>
          <w:bCs/>
          <w:color w:val="2E75B6"/>
          <w:sz w:val="26"/>
          <w:szCs w:val="26"/>
        </w:rPr>
        <w:t xml:space="preserve">clean_col(df, col, mapping, fill_na=-1)  ·  Cell 2</w:t>
      </w:r>
    </w:p>
    <w:p>
      <w:pPr>
        <w:spacing w:after="120"/>
      </w:pPr>
      <w:r>
        <w:rPr>
          <w:rFonts w:ascii="Arial" w:cs="Arial" w:eastAsia="Arial" w:hAnsi="Arial"/>
          <w:b/>
          <w:bCs/>
          <w:sz w:val="22"/>
          <w:szCs w:val="22"/>
        </w:rPr>
        <w:t xml:space="preserve">Purpose: </w:t>
      </w:r>
      <w:r>
        <w:rPr>
          <w:rFonts w:ascii="Arial" w:cs="Arial" w:eastAsia="Arial" w:hAnsi="Arial"/>
          <w:sz w:val="22"/>
          <w:szCs w:val="22"/>
        </w:rPr>
        <w:t xml:space="preserve">Converts one IHDS-II column from string labels to integers in-place via a dictionary lookup.</w:t>
      </w:r>
    </w:p>
    <w:p>
      <w:pPr>
        <w:spacing w:after="120"/>
      </w:pPr>
      <w:r>
        <w:rPr>
          <w:rFonts w:ascii="Arial" w:cs="Arial" w:eastAsia="Arial" w:hAnsi="Arial"/>
          <w:b/>
          <w:bCs/>
          <w:sz w:val="22"/>
          <w:szCs w:val="22"/>
        </w:rPr>
        <w:t xml:space="preserve">Why: </w:t>
      </w:r>
      <w:r>
        <w:rPr>
          <w:rFonts w:ascii="Arial" w:cs="Arial" w:eastAsia="Arial" w:hAnsi="Arial"/>
          <w:sz w:val="22"/>
          <w:szCs w:val="22"/>
        </w:rPr>
        <w:t xml:space="preserve">IHDS-II exports every categorical variable as a concatenated label+code string (e.g. 'Male 1', 'No Difficulty 0'). pandas reads these as object dtype, making arithmetic, groupby, and regression impossible. This function strips the label, maps to integer, and fills unmatched values with a sentinel.</w:t>
      </w:r>
    </w:p>
    <w:p>
      <w:pPr>
        <w:spacing w:after="120"/>
      </w:pPr>
      <w:r>
        <w:rPr>
          <w:rFonts w:ascii="Arial" w:cs="Arial" w:eastAsia="Arial" w:hAnsi="Arial"/>
          <w:b/>
          <w:bCs/>
          <w:sz w:val="22"/>
          <w:szCs w:val="22"/>
        </w:rPr>
        <w:t xml:space="preserve">Sentinel -1 vs NaN: </w:t>
      </w:r>
      <w:r>
        <w:rPr>
          <w:rFonts w:ascii="Arial" w:cs="Arial" w:eastAsia="Arial" w:hAnsi="Arial"/>
          <w:sz w:val="22"/>
          <w:szCs w:val="22"/>
        </w:rPr>
        <w:t xml:space="preserve">Binary/ordinal health variables use fill_na=-1 to avoid promoting integer columns to float64 (NaN forces this, doubling memory). The value -1 is outside all valid ranges and functions as an unambiguous 'not applicable' marker. Demographic variables (RO3, RO7, HHEDUC) use NaN because their missingness should propagate analytically rather than be silently treated as category 0.</w:t>
      </w:r>
    </w:p>
    <w:p>
      <w:pPr>
        <w:spacing w:after="80"/>
      </w:pPr>
      <w:r>
        <w:rPr>
          <w:rFonts w:ascii="Arial" w:cs="Arial" w:eastAsia="Arial" w:hAnsi="Arial"/>
          <w:sz w:val="22"/>
          <w:szCs w:val="22"/>
        </w:rPr>
        <w:t xml:space="preserve"/>
      </w:r>
    </w:p>
    <w:p>
      <w:pPr>
        <w:pStyle w:val="Heading2"/>
        <w:spacing w:before="260" w:after="100"/>
      </w:pPr>
      <w:r>
        <w:rPr>
          <w:rFonts w:ascii="Arial" w:cs="Arial" w:eastAsia="Arial" w:hAnsi="Arial"/>
          <w:b/>
          <w:bCs/>
          <w:color w:val="2E75B6"/>
          <w:sz w:val="26"/>
          <w:szCs w:val="26"/>
        </w:rPr>
        <w:t xml:space="preserve">clean_dataframe(df)  ·  Cell 4</w:t>
      </w:r>
    </w:p>
    <w:p>
      <w:pPr>
        <w:spacing w:after="120"/>
      </w:pPr>
      <w:r>
        <w:rPr>
          <w:rFonts w:ascii="Arial" w:cs="Arial" w:eastAsia="Arial" w:hAnsi="Arial"/>
          <w:b/>
          <w:bCs/>
          <w:sz w:val="22"/>
          <w:szCs w:val="22"/>
        </w:rPr>
        <w:t xml:space="preserve">Purpose: </w:t>
      </w:r>
      <w:r>
        <w:rPr>
          <w:rFonts w:ascii="Arial" w:cs="Arial" w:eastAsia="Arial" w:hAnsi="Arial"/>
          <w:sz w:val="22"/>
          <w:szCs w:val="22"/>
        </w:rPr>
        <w:t xml:space="preserve">Applies all correction maps to every relevant column in one deterministic pass. Organised by survey section in IHDS-II questionnaire order.</w:t>
      </w:r>
    </w:p>
    <w:p>
      <w:pPr>
        <w:spacing w:after="120"/>
      </w:pPr>
      <w:r>
        <w:rPr>
          <w:rFonts w:ascii="Arial" w:cs="Arial" w:eastAsia="Arial" w:hAnsi="Arial"/>
          <w:b/>
          <w:bCs/>
          <w:sz w:val="22"/>
          <w:szCs w:val="22"/>
        </w:rPr>
        <w:t xml:space="preserve">Why monolithic: </w:t>
      </w:r>
      <w:r>
        <w:rPr>
          <w:rFonts w:ascii="Arial" w:cs="Arial" w:eastAsia="Arial" w:hAnsi="Arial"/>
          <w:sz w:val="22"/>
          <w:szCs w:val="22"/>
        </w:rPr>
        <w:t xml:space="preserve">A single function guarantees the same input always produces the same output regardless of call order. Splitting into per-section functions would require tracking which sections had been applied and introduce state management bugs.</w:t>
      </w:r>
    </w:p>
    <w:p>
      <w:pPr>
        <w:spacing w:after="120"/>
      </w:pPr>
      <w:r>
        <w:rPr>
          <w:rFonts w:ascii="Arial" w:cs="Arial" w:eastAsia="Arial" w:hAnsi="Arial"/>
          <w:b/>
          <w:bCs/>
          <w:sz w:val="22"/>
          <w:szCs w:val="22"/>
        </w:rPr>
        <w:t xml:space="preserve">Key additions over original pipeline: </w:t>
      </w:r>
    </w:p>
    <w:p>
      <w:pPr>
        <w:pStyle w:val="ListParagraph"/>
        <w:numPr>
          <w:ilvl w:val="0"/>
          <w:numId w:val="2"/>
        </w:numPr>
        <w:spacing w:after="80"/>
      </w:pPr>
      <w:r>
        <w:rPr>
          <w:rFonts w:ascii="Arial" w:cs="Arial" w:eastAsia="Arial" w:hAnsi="Arial"/>
          <w:sz w:val="22"/>
          <w:szCs w:val="22"/>
        </w:rPr>
        <w:t xml:space="preserve">HHEDUC/HHEDUCM/HHEDUCF: household education using the same ordinal map as ED6</w:t>
      </w:r>
    </w:p>
    <w:p>
      <w:pPr>
        <w:pStyle w:val="ListParagraph"/>
        <w:numPr>
          <w:ilvl w:val="0"/>
          <w:numId w:val="2"/>
        </w:numPr>
        <w:spacing w:after="80"/>
      </w:pPr>
      <w:r>
        <w:rPr>
          <w:rFonts w:ascii="Arial" w:cs="Arial" w:eastAsia="Arial" w:hAnsi="Arial"/>
          <w:sz w:val="22"/>
          <w:szCs w:val="22"/>
        </w:rPr>
        <w:t xml:space="preserve">URBAN2011/URBAN4_2011: previously returned raw strings ('rural 0'), causing groupby NaN keys</w:t>
      </w:r>
    </w:p>
    <w:p>
      <w:pPr>
        <w:pStyle w:val="ListParagraph"/>
        <w:numPr>
          <w:ilvl w:val="0"/>
          <w:numId w:val="2"/>
        </w:numPr>
        <w:spacing w:after="80"/>
      </w:pPr>
      <w:r>
        <w:rPr>
          <w:rFonts w:ascii="Arial" w:cs="Arial" w:eastAsia="Arial" w:hAnsi="Arial"/>
          <w:sz w:val="22"/>
          <w:szCs w:val="22"/>
        </w:rPr>
        <w:t xml:space="preserve">SM14A: provider type — fixed when Cell 14 showed PROVIDER_PRIVATE = 0%</w:t>
      </w:r>
    </w:p>
    <w:p>
      <w:pPr>
        <w:pStyle w:val="ListParagraph"/>
        <w:numPr>
          <w:ilvl w:val="0"/>
          <w:numId w:val="2"/>
        </w:numPr>
        <w:spacing w:after="80"/>
      </w:pPr>
      <w:r>
        <w:rPr>
          <w:rFonts w:ascii="Arial" w:cs="Arial" w:eastAsia="Arial" w:hAnsi="Arial"/>
          <w:sz w:val="22"/>
          <w:szCs w:val="22"/>
        </w:rPr>
        <w:t xml:space="preserve">SM14B: provider location — used correctly in Cell 15 after SM16 mismatch was identified</w:t>
      </w:r>
    </w:p>
    <w:p>
      <w:pPr>
        <w:spacing w:after="80"/>
      </w:pPr>
      <w:r>
        <w:rPr>
          <w:rFonts w:ascii="Arial" w:cs="Arial" w:eastAsia="Arial" w:hAnsi="Arial"/>
          <w:sz w:val="22"/>
          <w:szCs w:val="22"/>
        </w:rPr>
        <w:t xml:space="preserve"/>
      </w:r>
    </w:p>
    <w:p>
      <w:pPr>
        <w:pStyle w:val="Heading2"/>
        <w:spacing w:before="260" w:after="100"/>
      </w:pPr>
      <w:r>
        <w:rPr>
          <w:rFonts w:ascii="Arial" w:cs="Arial" w:eastAsia="Arial" w:hAnsi="Arial"/>
          <w:b/>
          <w:bCs/>
          <w:color w:val="2E75B6"/>
          <w:sz w:val="26"/>
          <w:szCs w:val="26"/>
        </w:rPr>
        <w:t xml:space="preserve">df.copy() in every build_* function</w:t>
      </w:r>
    </w:p>
    <w:p>
      <w:pPr>
        <w:spacing w:after="120"/>
      </w:pPr>
      <w:r>
        <w:rPr>
          <w:rFonts w:ascii="Arial" w:cs="Arial" w:eastAsia="Arial" w:hAnsi="Arial"/>
          <w:sz w:val="22"/>
          <w:szCs w:val="22"/>
        </w:rPr>
        <w:t xml:space="preserve">Every </w:t>
      </w:r>
      <w:r>
        <w:rPr>
          <w:rFonts w:ascii="Courier New" w:cs="Courier New" w:eastAsia="Courier New" w:hAnsi="Courier New"/>
          <w:sz w:val="20"/>
          <w:szCs w:val="20"/>
        </w:rPr>
        <w:t xml:space="preserve">build_*</w:t>
      </w:r>
      <w:r>
        <w:rPr>
          <w:rFonts w:ascii="Arial" w:cs="Arial" w:eastAsia="Arial" w:hAnsi="Arial"/>
          <w:sz w:val="22"/>
          <w:szCs w:val="22"/>
        </w:rPr>
        <w:t xml:space="preserve"> and </w:t>
      </w:r>
      <w:r>
        <w:rPr>
          <w:rFonts w:ascii="Courier New" w:cs="Courier New" w:eastAsia="Courier New" w:hAnsi="Courier New"/>
          <w:sz w:val="20"/>
          <w:szCs w:val="20"/>
        </w:rPr>
        <w:t xml:space="preserve">add_*</w:t>
      </w:r>
      <w:r>
        <w:rPr>
          <w:rFonts w:ascii="Arial" w:cs="Arial" w:eastAsia="Arial" w:hAnsi="Arial"/>
          <w:sz w:val="22"/>
          <w:szCs w:val="22"/>
        </w:rPr>
        <w:t xml:space="preserve"> function copies the input dataframe before modifying it. Without this, modifying a column inside the function mutates the caller's dataframe — running a cell twice would produce different results as the first run already modified the shared object. This is the single most common source of subtle bugs in pandas pipelines.</w:t>
      </w:r>
    </w:p>
    <w:p>
      <w:pPr>
        <w:spacing w:after="200"/>
      </w:pPr>
      <w:r>
        <w:rPr>
          <w:rFonts w:ascii="Arial" w:cs="Arial" w:eastAsia="Arial" w:hAnsi="Arial"/>
          <w:sz w:val="22"/>
          <w:szCs w:val="22"/>
        </w:rPr>
        <w:t xml:space="preserve"/>
      </w:r>
    </w:p>
    <w:p>
      <w:pPr>
        <w:pStyle w:val="Heading1"/>
        <w:pBdr>
          <w:bottom w:val="single" w:color="2E75B6" w:sz="6" w:space="1"/>
        </w:pBdr>
        <w:spacing w:before="360" w:after="180"/>
      </w:pPr>
      <w:r>
        <w:rPr>
          <w:rFonts w:ascii="Arial" w:cs="Arial" w:eastAsia="Arial" w:hAnsi="Arial"/>
          <w:b/>
          <w:bCs/>
          <w:color w:val="1F4E79"/>
          <w:sz w:val="32"/>
          <w:szCs w:val="32"/>
        </w:rPr>
        <w:t xml:space="preserve">3. Physical Health Index — Cells 6 to 9</w:t>
      </w:r>
    </w:p>
    <w:p>
      <w:pPr>
        <w:pStyle w:val="Heading2"/>
        <w:spacing w:before="260" w:after="100"/>
      </w:pPr>
      <w:r>
        <w:rPr>
          <w:rFonts w:ascii="Arial" w:cs="Arial" w:eastAsia="Arial" w:hAnsi="Arial"/>
          <w:b/>
          <w:bCs/>
          <w:color w:val="2E75B6"/>
          <w:sz w:val="26"/>
          <w:szCs w:val="26"/>
        </w:rPr>
        <w:t xml:space="preserve">build_stm_score(df)  ·  Cell 7</w:t>
      </w:r>
    </w:p>
    <w:p>
      <w:pPr>
        <w:spacing w:after="120"/>
      </w:pPr>
      <w:r>
        <w:rPr>
          <w:rFonts w:ascii="Arial" w:cs="Arial" w:eastAsia="Arial" w:hAnsi="Arial"/>
          <w:b/>
          <w:bCs/>
          <w:sz w:val="22"/>
          <w:szCs w:val="22"/>
        </w:rPr>
        <w:t xml:space="preserve">Purpose: </w:t>
      </w:r>
      <w:r>
        <w:rPr>
          <w:rFonts w:ascii="Arial" w:cs="Arial" w:eastAsia="Arial" w:hAnsi="Arial"/>
          <w:sz w:val="22"/>
          <w:szCs w:val="22"/>
        </w:rPr>
        <w:t xml:space="preserve">Builds the Short-Term Morbidity score [0,1] from SM3 (days ill), SM11 (disability days), SM4 (fever), SM5 (cough).</w:t>
      </w:r>
    </w:p>
    <w:p>
      <w:pPr>
        <w:spacing w:after="120"/>
      </w:pPr>
      <w:r>
        <w:rPr>
          <w:rFonts w:ascii="Arial" w:cs="Arial" w:eastAsia="Arial" w:hAnsi="Arial"/>
          <w:b/>
          <w:bCs/>
          <w:sz w:val="22"/>
          <w:szCs w:val="22"/>
        </w:rPr>
        <w:t xml:space="preserve">Weight rationale: </w:t>
      </w:r>
      <w:r>
        <w:rPr>
          <w:rFonts w:ascii="Arial" w:cs="Arial" w:eastAsia="Arial" w:hAnsi="Arial"/>
          <w:sz w:val="22"/>
          <w:szCs w:val="22"/>
        </w:rPr>
        <w:t xml:space="preserve">Duration (SM3) gets 0.40 weight because it captures severity continuously — a person ill for 20 days is far more burdened than one ill for 2 days. Disability days (SM11) get 0.20 — these are a subset of illness days and are more subjectively reported. Symptom flags each get 0.20 — they confirm illness type but add information beyond what duration already captures.</w:t>
      </w:r>
    </w:p>
    <w:p>
      <w:pPr>
        <w:spacing w:after="120"/>
      </w:pPr>
      <w:r>
        <w:rPr>
          <w:rFonts w:ascii="Arial" w:cs="Arial" w:eastAsia="Arial" w:hAnsi="Arial"/>
          <w:b/>
          <w:bCs/>
          <w:sz w:val="22"/>
          <w:szCs w:val="22"/>
        </w:rPr>
        <w:t xml:space="preserve">Clip at 30: </w:t>
      </w:r>
      <w:r>
        <w:rPr>
          <w:rFonts w:ascii="Arial" w:cs="Arial" w:eastAsia="Arial" w:hAnsi="Arial"/>
          <w:sz w:val="22"/>
          <w:szCs w:val="22"/>
        </w:rPr>
        <w:t xml:space="preserve">SM3 and SM11 are clipped to [0,30] before dividing. Any value above 30 is a data entry error. Clipping prevents a handful of erroneous entries (SM3=99) from inflating means while keeping all valid values intact.</w:t>
      </w:r>
    </w:p>
    <w:p>
      <w:pPr>
        <w:spacing w:after="80"/>
      </w:pPr>
      <w:r>
        <w:rPr>
          <w:rFonts w:ascii="Arial" w:cs="Arial" w:eastAsia="Arial" w:hAnsi="Arial"/>
          <w:sz w:val="22"/>
          <w:szCs w:val="22"/>
        </w:rPr>
        <w:t xml:space="preserve"/>
      </w:r>
    </w:p>
    <w:p>
      <w:pPr>
        <w:pStyle w:val="Heading2"/>
        <w:spacing w:before="260" w:after="100"/>
      </w:pPr>
      <w:r>
        <w:rPr>
          <w:rFonts w:ascii="Arial" w:cs="Arial" w:eastAsia="Arial" w:hAnsi="Arial"/>
          <w:b/>
          <w:bCs/>
          <w:color w:val="2E75B6"/>
          <w:sz w:val="26"/>
          <w:szCs w:val="26"/>
        </w:rPr>
        <w:t xml:space="preserve">build_cdi_score(df, include_tier2=True)  ·  Cell 7</w:t>
      </w:r>
    </w:p>
    <w:p>
      <w:pPr>
        <w:spacing w:after="120"/>
      </w:pPr>
      <w:r>
        <w:rPr>
          <w:rFonts w:ascii="Arial" w:cs="Arial" w:eastAsia="Arial" w:hAnsi="Arial"/>
          <w:b/>
          <w:bCs/>
          <w:sz w:val="22"/>
          <w:szCs w:val="22"/>
        </w:rPr>
        <w:t xml:space="preserve">Purpose: </w:t>
      </w:r>
      <w:r>
        <w:rPr>
          <w:rFonts w:ascii="Arial" w:cs="Arial" w:eastAsia="Arial" w:hAnsi="Arial"/>
          <w:sz w:val="22"/>
          <w:szCs w:val="22"/>
        </w:rPr>
        <w:t xml:space="preserve">Chronic Disease Index from MB variables. Each condition coded 0=No, 1=Cured, 2=Active. Score = Σ(2×active+1×cured)/(2×n_vars).</w:t>
      </w:r>
    </w:p>
    <w:p>
      <w:pPr>
        <w:spacing w:after="120"/>
      </w:pPr>
      <w:r>
        <w:rPr>
          <w:rFonts w:ascii="Arial" w:cs="Arial" w:eastAsia="Arial" w:hAnsi="Arial"/>
          <w:b/>
          <w:bCs/>
          <w:sz w:val="22"/>
          <w:szCs w:val="22"/>
        </w:rPr>
        <w:t xml:space="preserve">Why Cured=1 not 0: </w:t>
      </w:r>
      <w:r>
        <w:rPr>
          <w:rFonts w:ascii="Arial" w:cs="Arial" w:eastAsia="Arial" w:hAnsi="Arial"/>
          <w:sz w:val="22"/>
          <w:szCs w:val="22"/>
        </w:rPr>
        <w:t xml:space="preserve">'Cured' in IHDS-II typically means treatment was received at some point, not that the condition is resolved. For TB: drug course completed but lung scarring and mortality risk remain. For hypertension: medication was prescribed but pressure may not be controlled. Cured=0 would systematically undercount burden among healthcare-seeking populations, creating a perverse incentive in the index.</w:t>
      </w:r>
    </w:p>
    <w:p>
      <w:pPr>
        <w:spacing w:after="120"/>
      </w:pPr>
      <w:r>
        <w:rPr>
          <w:rFonts w:ascii="Arial" w:cs="Arial" w:eastAsia="Arial" w:hAnsi="Arial"/>
          <w:b/>
          <w:bCs/>
          <w:sz w:val="22"/>
          <w:szCs w:val="22"/>
        </w:rPr>
        <w:t xml:space="preserve">Why divide by 2×n_vars: </w:t>
      </w:r>
      <w:r>
        <w:rPr>
          <w:rFonts w:ascii="Arial" w:cs="Arial" w:eastAsia="Arial" w:hAnsi="Arial"/>
          <w:sz w:val="22"/>
          <w:szCs w:val="22"/>
        </w:rPr>
        <w:t xml:space="preserve">Maximum possible score per variable is 2 (Active). Dividing by 2×n_vars ensures the maximum total normalises to exactly 1.0 regardless of how many variables are included — no code changes needed if tier configuration changes.</w:t>
      </w:r>
    </w:p>
    <w:p>
      <w:pPr>
        <w:spacing w:after="80"/>
      </w:pPr>
      <w:r>
        <w:rPr>
          <w:rFonts w:ascii="Arial" w:cs="Arial" w:eastAsia="Arial" w:hAnsi="Arial"/>
          <w:sz w:val="22"/>
          <w:szCs w:val="22"/>
        </w:rPr>
        <w:t xml:space="preserve"/>
      </w:r>
    </w:p>
    <w:p>
      <w:pPr>
        <w:pStyle w:val="Heading2"/>
        <w:spacing w:before="260" w:after="100"/>
      </w:pPr>
      <w:r>
        <w:rPr>
          <w:rFonts w:ascii="Arial" w:cs="Arial" w:eastAsia="Arial" w:hAnsi="Arial"/>
          <w:b/>
          <w:bCs/>
          <w:color w:val="2E75B6"/>
          <w:sz w:val="26"/>
          <w:szCs w:val="26"/>
        </w:rPr>
        <w:t xml:space="preserve">build_adl_score(df)  ·  Cell 7</w:t>
      </w:r>
    </w:p>
    <w:p>
      <w:pPr>
        <w:spacing w:after="120"/>
      </w:pPr>
      <w:r>
        <w:rPr>
          <w:rFonts w:ascii="Arial" w:cs="Arial" w:eastAsia="Arial" w:hAnsi="Arial"/>
          <w:b/>
          <w:bCs/>
          <w:sz w:val="22"/>
          <w:szCs w:val="22"/>
        </w:rPr>
        <w:t xml:space="preserve">Purpose: </w:t>
      </w:r>
      <w:r>
        <w:rPr>
          <w:rFonts w:ascii="Arial" w:cs="Arial" w:eastAsia="Arial" w:hAnsi="Arial"/>
          <w:sz w:val="22"/>
          <w:szCs w:val="22"/>
        </w:rPr>
        <w:t xml:space="preserve">Activities of Daily Living score [0,1] from 6 ordinal AD variables (0=no difficulty, 1=with difficulty, 2=unable). Formula: Σ ordinal / 12.</w:t>
      </w:r>
    </w:p>
    <w:p>
      <w:pPr>
        <w:spacing w:after="120"/>
      </w:pPr>
      <w:r>
        <w:rPr>
          <w:rFonts w:ascii="Arial" w:cs="Arial" w:eastAsia="Arial" w:hAnsi="Arial"/>
          <w:b/>
          <w:bCs/>
          <w:sz w:val="22"/>
          <w:szCs w:val="22"/>
        </w:rPr>
        <w:t xml:space="preserve">Why preserve ordinal rather than binarise: </w:t>
      </w:r>
      <w:r>
        <w:rPr>
          <w:rFonts w:ascii="Arial" w:cs="Arial" w:eastAsia="Arial" w:hAnsi="Arial"/>
          <w:sz w:val="22"/>
          <w:szCs w:val="22"/>
        </w:rPr>
        <w:t xml:space="preserve">'With difficulty' and 'unable' are clinically and functionally distinct. A person who can walk 1km with difficulty retains employment potential and healthcare-seeking ability that someone who cannot walk at all does not. Collapsing to 0/1 loses this gradient. Follows WHO WHODAS 2.0 convention.</w:t>
      </w:r>
    </w:p>
    <w:p>
      <w:pPr>
        <w:spacing w:after="80"/>
      </w:pPr>
      <w:r>
        <w:rPr>
          <w:rFonts w:ascii="Arial" w:cs="Arial" w:eastAsia="Arial" w:hAnsi="Arial"/>
          <w:sz w:val="22"/>
          <w:szCs w:val="22"/>
        </w:rPr>
        <w:t xml:space="preserve"/>
      </w:r>
    </w:p>
    <w:p>
      <w:pPr>
        <w:pStyle w:val="Heading2"/>
        <w:spacing w:before="260" w:after="100"/>
      </w:pPr>
      <w:r>
        <w:rPr>
          <w:rFonts w:ascii="Arial" w:cs="Arial" w:eastAsia="Arial" w:hAnsi="Arial"/>
          <w:b/>
          <w:bCs/>
          <w:color w:val="2E75B6"/>
          <w:sz w:val="26"/>
          <w:szCs w:val="26"/>
        </w:rPr>
        <w:t xml:space="preserve">WEIGHTS dict + build_physical_health_index()  ·  Cell 8</w:t>
      </w:r>
    </w:p>
    <w:p>
      <w:pPr>
        <w:spacing w:after="120"/>
      </w:pPr>
      <w:r>
        <w:rPr>
          <w:rFonts w:ascii="Arial" w:cs="Arial" w:eastAsia="Arial" w:hAnsi="Arial"/>
          <w:b/>
          <w:bCs/>
          <w:sz w:val="22"/>
          <w:szCs w:val="22"/>
        </w:rPr>
        <w:t xml:space="preserve">Weights: </w:t>
      </w:r>
      <w:r>
        <w:rPr>
          <w:rFonts w:ascii="Arial" w:cs="Arial" w:eastAsia="Arial" w:hAnsi="Arial"/>
          <w:sz w:val="22"/>
          <w:szCs w:val="22"/>
        </w:rPr>
        <w:t xml:space="preserve">CDI=0.40, STM=0.30, ADL=0.30. CDI is highest because chronic disease drives the most DALYs in India's NCD transition. The assert statement enforces weights sum to 1.0 at definition time — not at runtime — catching misspecification before any computation happens.</w:t>
      </w:r>
    </w:p>
    <w:p>
      <w:pPr>
        <w:spacing w:after="120"/>
      </w:pPr>
      <w:r>
        <w:rPr>
          <w:rFonts w:ascii="Arial" w:cs="Arial" w:eastAsia="Arial" w:hAnsi="Arial"/>
          <w:b/>
          <w:bCs/>
          <w:sz w:val="22"/>
          <w:szCs w:val="22"/>
        </w:rPr>
        <w:t xml:space="preserve">Higher=worse orientation: </w:t>
      </w:r>
      <w:r>
        <w:rPr>
          <w:rFonts w:ascii="Arial" w:cs="Arial" w:eastAsia="Arial" w:hAnsi="Arial"/>
          <w:sz w:val="22"/>
          <w:szCs w:val="22"/>
        </w:rPr>
        <w:t xml:space="preserve">All PHI sub-scores and the composite are oriented so that 0=best, 1=worst. This 'burden' framing is more natural for policy analysis — you want to identify the most burdened individuals. The inversion to 'health attainment' (1-PHI) can be done at presentation stage without touching the pipeline.</w:t>
      </w:r>
    </w:p>
    <w:p>
      <w:pPr>
        <w:spacing w:after="120"/>
      </w:pPr>
      <w:r>
        <w:rPr>
          <w:rFonts w:ascii="Arial" w:cs="Arial" w:eastAsia="Arial" w:hAnsi="Arial"/>
          <w:b/>
          <w:bCs/>
          <w:sz w:val="22"/>
          <w:szCs w:val="22"/>
        </w:rPr>
        <w:t xml:space="preserve">PHYSICAL_HEALTH_RAW: </w:t>
      </w:r>
      <w:r>
        <w:rPr>
          <w:rFonts w:ascii="Arial" w:cs="Arial" w:eastAsia="Arial" w:hAnsi="Arial"/>
          <w:sz w:val="22"/>
          <w:szCs w:val="22"/>
        </w:rPr>
        <w:t xml:space="preserve">The unweighted mean of the three sub-scores is saved alongside the weighted PHI as a robustness check. If theory-weighted and unweighted versions correlate above r=0.95, the weighting scheme is not driving results (Spearman ρ=0.93 confirmed).</w:t>
      </w:r>
    </w:p>
    <w:p>
      <w:pPr>
        <w:spacing w:after="200"/>
      </w:pPr>
      <w:r>
        <w:rPr>
          <w:rFonts w:ascii="Arial" w:cs="Arial" w:eastAsia="Arial" w:hAnsi="Arial"/>
          <w:sz w:val="22"/>
          <w:szCs w:val="22"/>
        </w:rPr>
        <w:t xml:space="preserve"/>
      </w:r>
    </w:p>
    <w:p>
      <w:pPr>
        <w:pStyle w:val="Heading1"/>
        <w:pBdr>
          <w:bottom w:val="single" w:color="2E75B6" w:sz="6" w:space="1"/>
        </w:pBdr>
        <w:spacing w:before="360" w:after="180"/>
      </w:pPr>
      <w:r>
        <w:rPr>
          <w:rFonts w:ascii="Arial" w:cs="Arial" w:eastAsia="Arial" w:hAnsi="Arial"/>
          <w:b/>
          <w:bCs/>
          <w:color w:val="1F4E79"/>
          <w:sz w:val="32"/>
          <w:szCs w:val="32"/>
        </w:rPr>
        <w:t xml:space="preserve">4. Index Finalisation — Cells 10 and 11</w:t>
      </w:r>
    </w:p>
    <w:p>
      <w:pPr>
        <w:pStyle w:val="Heading2"/>
        <w:spacing w:before="260" w:after="100"/>
      </w:pPr>
      <w:r>
        <w:rPr>
          <w:rFonts w:ascii="Arial" w:cs="Arial" w:eastAsia="Arial" w:hAnsi="Arial"/>
          <w:b/>
          <w:bCs/>
          <w:color w:val="2E75B6"/>
          <w:sz w:val="26"/>
          <w:szCs w:val="26"/>
        </w:rPr>
        <w:t xml:space="preserve">rank_int(series)  ·  Cell 10</w:t>
      </w:r>
    </w:p>
    <w:p>
      <w:pPr>
        <w:spacing w:after="120"/>
      </w:pPr>
      <w:r>
        <w:rPr>
          <w:rFonts w:ascii="Arial" w:cs="Arial" w:eastAsia="Arial" w:hAnsi="Arial"/>
          <w:b/>
          <w:bCs/>
          <w:sz w:val="22"/>
          <w:szCs w:val="22"/>
        </w:rPr>
        <w:t xml:space="preserve">Purpose: </w:t>
      </w:r>
      <w:r>
        <w:rPr>
          <w:rFonts w:ascii="Arial" w:cs="Arial" w:eastAsia="Arial" w:hAnsi="Arial"/>
          <w:sz w:val="22"/>
          <w:szCs w:val="22"/>
        </w:rPr>
        <w:t xml:space="preserve">Rank-based inverse normal transform. Maps empirical ranks to standard normal distribution. Formula: Φ⁻¹((rank-0.5)/n). Used only for full-population OLS (Cell 12).</w:t>
      </w:r>
    </w:p>
    <w:p>
      <w:pPr>
        <w:spacing w:after="120"/>
      </w:pPr>
      <w:r>
        <w:rPr>
          <w:rFonts w:ascii="Arial" w:cs="Arial" w:eastAsia="Arial" w:hAnsi="Arial"/>
          <w:b/>
          <w:bCs/>
          <w:sz w:val="22"/>
          <w:szCs w:val="22"/>
        </w:rPr>
        <w:t xml:space="preserve">Why not log or sqrt: </w:t>
      </w:r>
      <w:r>
        <w:rPr>
          <w:rFonts w:ascii="Arial" w:cs="Arial" w:eastAsia="Arial" w:hAnsi="Arial"/>
          <w:sz w:val="22"/>
          <w:szCs w:val="22"/>
        </w:rPr>
        <w:t xml:space="preserve">Log and square root cannot handle the exact zeros in raw PHI without arbitrary offsets. Tobit regression models zeros explicitly but requires strong distributional assumptions. The INT makes no parametric assumption about the underlying distribution — it uses only rank order, which is preserved exactly (Spearman ρ=1.0). Widely used in health economics and GWAS for zero-inflated outcomes. Reference: Beasley et al. (2009).</w:t>
      </w:r>
    </w:p>
    <w:p>
      <w:pPr>
        <w:spacing w:after="120"/>
      </w:pPr>
      <w:r>
        <w:rPr>
          <w:rFonts w:ascii="Arial" w:cs="Arial" w:eastAsia="Arial" w:hAnsi="Arial"/>
          <w:b/>
          <w:bCs/>
          <w:sz w:val="22"/>
          <w:szCs w:val="22"/>
        </w:rPr>
        <w:t xml:space="preserve">Why not use PHI_INT in sick-subgroup regressions: </w:t>
      </w:r>
      <w:r>
        <w:rPr>
          <w:rFonts w:ascii="Arial" w:cs="Arial" w:eastAsia="Arial" w:hAnsi="Arial"/>
          <w:sz w:val="22"/>
          <w:szCs w:val="22"/>
        </w:rPr>
        <w:t xml:space="preserve">In Cells 13–16, the sample is already restricted to PHI&gt;0. The distribution is right-skewed but continuous and tractable — PHI_INT is unnecessary and the raw PHI scale is more interpretable for coefficient reading.</w:t>
      </w:r>
    </w:p>
    <w:p>
      <w:pPr>
        <w:spacing w:after="80"/>
      </w:pPr>
      <w:r>
        <w:rPr>
          <w:rFonts w:ascii="Arial" w:cs="Arial" w:eastAsia="Arial" w:hAnsi="Arial"/>
          <w:sz w:val="22"/>
          <w:szCs w:val="22"/>
        </w:rPr>
        <w:t xml:space="preserve"/>
      </w:r>
    </w:p>
    <w:p>
      <w:pPr>
        <w:pStyle w:val="Heading2"/>
        <w:spacing w:before="260" w:after="100"/>
      </w:pPr>
      <w:r>
        <w:rPr>
          <w:rFonts w:ascii="Arial" w:cs="Arial" w:eastAsia="Arial" w:hAnsi="Arial"/>
          <w:b/>
          <w:bCs/>
          <w:color w:val="2E75B6"/>
          <w:sz w:val="26"/>
          <w:szCs w:val="26"/>
        </w:rPr>
        <w:t xml:space="preserve">run_all_indices()  ·  Cell 11 — sick_health_index_*.csv fix</w:t>
      </w:r>
    </w:p>
    <w:p>
      <w:pPr>
        <w:spacing w:after="120"/>
      </w:pPr>
      <w:r>
        <w:rPr>
          <w:rFonts w:ascii="Arial" w:cs="Arial" w:eastAsia="Arial" w:hAnsi="Arial"/>
          <w:b/>
          <w:bCs/>
          <w:sz w:val="22"/>
          <w:szCs w:val="22"/>
        </w:rPr>
        <w:t xml:space="preserve">The critical save fix: </w:t>
      </w:r>
      <w:r>
        <w:rPr>
          <w:rFonts w:ascii="Arial" w:cs="Arial" w:eastAsia="Arial" w:hAnsi="Arial"/>
          <w:sz w:val="22"/>
          <w:szCs w:val="22"/>
        </w:rPr>
        <w:t xml:space="preserve">Cell 11 now saves two files per state: </w:t>
      </w:r>
      <w:r>
        <w:rPr>
          <w:rFonts w:ascii="Courier New" w:cs="Courier New" w:eastAsia="Courier New" w:hAnsi="Courier New"/>
          <w:sz w:val="20"/>
          <w:szCs w:val="20"/>
        </w:rPr>
        <w:t xml:space="preserve">health_index_*.csv</w:t>
      </w:r>
      <w:r>
        <w:rPr>
          <w:rFonts w:ascii="Arial" w:cs="Arial" w:eastAsia="Arial" w:hAnsi="Arial"/>
          <w:sz w:val="22"/>
          <w:szCs w:val="22"/>
        </w:rPr>
        <w:t xml:space="preserve"> (full population, read by Cell 15 for HAS) and </w:t>
      </w:r>
      <w:r>
        <w:rPr>
          <w:rFonts w:ascii="Courier New" w:cs="Courier New" w:eastAsia="Courier New" w:hAnsi="Courier New"/>
          <w:sz w:val="20"/>
          <w:szCs w:val="20"/>
        </w:rPr>
        <w:t xml:space="preserve">sick_health_index_*.csv</w:t>
      </w:r>
      <w:r>
        <w:rPr>
          <w:rFonts w:ascii="Arial" w:cs="Arial" w:eastAsia="Arial" w:hAnsi="Arial"/>
          <w:sz w:val="22"/>
          <w:szCs w:val="22"/>
        </w:rPr>
        <w:t xml:space="preserve"> (PHI&gt;0 only, read by Cells 13 and 14). Previously only the full-population file was saved — Cells 13 and 14 would print 'Run Cell 11 first' even after Cell 11 had run, because they looked for a file that didn't exist.</w:t>
      </w:r>
    </w:p>
    <w:p>
      <w:pPr>
        <w:spacing w:after="200"/>
      </w:pPr>
      <w:r>
        <w:rPr>
          <w:rFonts w:ascii="Arial" w:cs="Arial" w:eastAsia="Arial" w:hAnsi="Arial"/>
          <w:sz w:val="22"/>
          <w:szCs w:val="22"/>
        </w:rPr>
        <w:t xml:space="preserve"/>
      </w:r>
    </w:p>
    <w:p>
      <w:pPr>
        <w:pStyle w:val="Heading1"/>
        <w:pBdr>
          <w:bottom w:val="single" w:color="2E75B6" w:sz="6" w:space="1"/>
        </w:pBdr>
        <w:spacing w:before="360" w:after="180"/>
      </w:pPr>
      <w:r>
        <w:rPr>
          <w:rFonts w:ascii="Arial" w:cs="Arial" w:eastAsia="Arial" w:hAnsi="Arial"/>
          <w:b/>
          <w:bCs/>
          <w:color w:val="1F4E79"/>
          <w:sz w:val="32"/>
          <w:szCs w:val="32"/>
        </w:rPr>
        <w:t xml:space="preserve">5. Socioeconomic Variables and Costs — Cells 13 and 14</w:t>
      </w:r>
    </w:p>
    <w:p>
      <w:pPr>
        <w:pStyle w:val="Heading2"/>
        <w:spacing w:before="260" w:after="100"/>
      </w:pPr>
      <w:r>
        <w:rPr>
          <w:rFonts w:ascii="Arial" w:cs="Arial" w:eastAsia="Arial" w:hAnsi="Arial"/>
          <w:b/>
          <w:bCs/>
          <w:color w:val="2E75B6"/>
          <w:sz w:val="26"/>
          <w:szCs w:val="26"/>
        </w:rPr>
        <w:t xml:space="preserve">OCC_MAP  ·  Cell 13</w:t>
      </w:r>
    </w:p>
    <w:p>
      <w:pPr>
        <w:spacing w:after="120"/>
      </w:pPr>
      <w:r>
        <w:rPr>
          <w:rFonts w:ascii="Arial" w:cs="Arial" w:eastAsia="Arial" w:hAnsi="Arial"/>
          <w:b/>
          <w:bCs/>
          <w:sz w:val="22"/>
          <w:szCs w:val="22"/>
        </w:rPr>
        <w:t xml:space="preserve">Why four groups not 15: </w:t>
      </w:r>
      <w:r>
        <w:rPr>
          <w:rFonts w:ascii="Arial" w:cs="Arial" w:eastAsia="Arial" w:hAnsi="Arial"/>
          <w:sz w:val="22"/>
          <w:szCs w:val="22"/>
        </w:rPr>
        <w:t xml:space="preserve">With 15 categories and Inactive as the modal group (73%), several categories would have &lt;200 observations — insufficient for stable regression estimates. The four-group structure collapses theoretically similar categories (all agricultural work types together; all self-employment types together) while preserving the substantively important distinctions the literature identifies.</w:t>
      </w:r>
    </w:p>
    <w:p>
      <w:pPr>
        <w:spacing w:after="120"/>
      </w:pPr>
      <w:r>
        <w:rPr>
          <w:rFonts w:ascii="Arial" w:cs="Arial" w:eastAsia="Arial" w:hAnsi="Arial"/>
          <w:b/>
          <w:bCs/>
          <w:sz w:val="22"/>
          <w:szCs w:val="22"/>
        </w:rPr>
        <w:t xml:space="preserve">Why Inactive as reference: </w:t>
      </w:r>
      <w:r>
        <w:rPr>
          <w:rFonts w:ascii="Arial" w:cs="Arial" w:eastAsia="Arial" w:hAnsi="Arial"/>
          <w:sz w:val="22"/>
          <w:szCs w:val="22"/>
        </w:rPr>
        <w:t xml:space="preserve">Inactive is the modal category (73.4% of sick subgroup) and includes the most heterogeneous population — retired elderly, housewives, students, the unfit. Making it the reference means each occupation coefficient is interpreted as 'compared to an economically inactive person' — the policy-relevant comparison for understanding how labour force participation affects health.</w:t>
      </w:r>
    </w:p>
    <w:p>
      <w:pPr>
        <w:spacing w:after="80"/>
      </w:pPr>
      <w:r>
        <w:rPr>
          <w:rFonts w:ascii="Arial" w:cs="Arial" w:eastAsia="Arial" w:hAnsi="Arial"/>
          <w:sz w:val="22"/>
          <w:szCs w:val="22"/>
        </w:rPr>
        <w:t xml:space="preserve"/>
      </w:r>
    </w:p>
    <w:p>
      <w:pPr>
        <w:pStyle w:val="Heading2"/>
        <w:spacing w:before="260" w:after="100"/>
      </w:pPr>
      <w:r>
        <w:rPr>
          <w:rFonts w:ascii="Arial" w:cs="Arial" w:eastAsia="Arial" w:hAnsi="Arial"/>
          <w:b/>
          <w:bCs/>
          <w:color w:val="2E75B6"/>
          <w:sz w:val="26"/>
          <w:szCs w:val="26"/>
        </w:rPr>
        <w:t xml:space="preserve">add_medical_costs()  ·  Cell 14</w:t>
      </w:r>
    </w:p>
    <w:p>
      <w:pPr>
        <w:spacing w:after="120"/>
      </w:pPr>
      <w:r>
        <w:rPr>
          <w:rFonts w:ascii="Arial" w:cs="Arial" w:eastAsia="Arial" w:hAnsi="Arial"/>
          <w:b/>
          <w:bCs/>
          <w:sz w:val="22"/>
          <w:szCs w:val="22"/>
        </w:rPr>
        <w:t xml:space="preserve">OOP recall period mismatch: </w:t>
      </w:r>
      <w:r>
        <w:rPr>
          <w:rFonts w:ascii="Arial" w:cs="Arial" w:eastAsia="Arial" w:hAnsi="Arial"/>
          <w:sz w:val="22"/>
          <w:szCs w:val="22"/>
        </w:rPr>
        <w:t xml:space="preserve">SM18/20/21 use 30-day recall; MB25/27/28 use 12-month recall. OOP_TOTAL adds them as 'total recorded medical burden from distinct episode types', not as a single-period total. This must be stated in any paper using OOP_TOTAL.</w:t>
      </w:r>
    </w:p>
    <w:p>
      <w:pPr>
        <w:spacing w:after="120"/>
      </w:pPr>
      <w:r>
        <w:rPr>
          <w:rFonts w:ascii="Arial" w:cs="Arial" w:eastAsia="Arial" w:hAnsi="Arial"/>
          <w:b/>
          <w:bCs/>
          <w:sz w:val="22"/>
          <w:szCs w:val="22"/>
        </w:rPr>
        <w:t xml:space="preserve">CAT_EXP threshold: </w:t>
      </w:r>
      <w:r>
        <w:rPr>
          <w:rFonts w:ascii="Arial" w:cs="Arial" w:eastAsia="Arial" w:hAnsi="Arial"/>
          <w:sz w:val="22"/>
          <w:szCs w:val="22"/>
        </w:rPr>
        <w:t xml:space="preserve">1 if OOP_TOTAL ≥ 10% of COTOTAL (annual household consumption). WHO standard from Balarajan et al. (2011). Applied as a binary flag rather than continuous share to avoid OOP_SHARE outliers (extreme values above 100% are possible for very poor households with any hospitalisation).</w:t>
      </w:r>
    </w:p>
    <w:p>
      <w:pPr>
        <w:spacing w:after="120"/>
      </w:pPr>
      <w:r>
        <w:rPr>
          <w:rFonts w:ascii="Arial" w:cs="Arial" w:eastAsia="Arial" w:hAnsi="Arial"/>
          <w:b/>
          <w:bCs/>
          <w:sz w:val="22"/>
          <w:szCs w:val="22"/>
        </w:rPr>
        <w:t xml:space="preserve">UNTREATED flag: </w:t>
      </w:r>
      <w:r>
        <w:rPr>
          <w:rFonts w:ascii="Arial" w:cs="Arial" w:eastAsia="Arial" w:hAnsi="Arial"/>
          <w:sz w:val="22"/>
          <w:szCs w:val="22"/>
        </w:rPr>
        <w:t xml:space="preserve">Ill (PHI&gt;0) AND SM14A missing/invalid (no acute provider) AND MB19=0 (no chronic treatment). Conservative — someone who sought a Vaidhya/Hakim is not flagged as untreated. Captures only complete non-treatment for any recorded illness.</w:t>
      </w:r>
    </w:p>
    <w:p>
      <w:pPr>
        <w:spacing w:after="200"/>
      </w:pPr>
      <w:r>
        <w:rPr>
          <w:rFonts w:ascii="Arial" w:cs="Arial" w:eastAsia="Arial" w:hAnsi="Arial"/>
          <w:sz w:val="22"/>
          <w:szCs w:val="22"/>
        </w:rPr>
        <w:t xml:space="preserve"/>
      </w:r>
    </w:p>
    <w:p>
      <w:pPr>
        <w:pStyle w:val="Heading1"/>
        <w:pBdr>
          <w:bottom w:val="single" w:color="2E75B6" w:sz="6" w:space="1"/>
        </w:pBdr>
        <w:spacing w:before="360" w:after="180"/>
      </w:pPr>
      <w:r>
        <w:rPr>
          <w:rFonts w:ascii="Arial" w:cs="Arial" w:eastAsia="Arial" w:hAnsi="Arial"/>
          <w:b/>
          <w:bCs/>
          <w:color w:val="1F4E79"/>
          <w:sz w:val="32"/>
          <w:szCs w:val="32"/>
        </w:rPr>
        <w:t xml:space="preserve">6. Healthcare Access Sub-index — Cell 15  ★ SM14B Fix</w:t>
      </w:r>
    </w:p>
    <w:p>
      <w:pPr>
        <w:pStyle w:val="Heading2"/>
        <w:spacing w:before="260" w:after="100"/>
      </w:pPr>
      <w:r>
        <w:rPr>
          <w:rFonts w:ascii="Arial" w:cs="Arial" w:eastAsia="Arial" w:hAnsi="Arial"/>
          <w:b/>
          <w:bCs/>
          <w:color w:val="2E75B6"/>
          <w:sz w:val="26"/>
          <w:szCs w:val="26"/>
        </w:rPr>
        <w:t xml:space="preserve">build_access_index()  ·  Cell 15</w:t>
      </w:r>
    </w:p>
    <w:p>
      <w:pPr>
        <w:spacing w:after="120"/>
      </w:pPr>
      <w:r>
        <w:rPr>
          <w:rFonts w:ascii="Arial" w:cs="Arial" w:eastAsia="Arial" w:hAnsi="Arial"/>
          <w:b/>
          <w:bCs/>
          <w:sz w:val="22"/>
          <w:szCs w:val="22"/>
        </w:rPr>
        <w:t xml:space="preserve">What changed: </w:t>
      </w:r>
      <w:r>
        <w:rPr>
          <w:rFonts w:ascii="Arial" w:cs="Arial" w:eastAsia="Arial" w:hAnsi="Arial"/>
          <w:sz w:val="22"/>
          <w:szCs w:val="22"/>
        </w:rPr>
        <w:t xml:space="preserve">The geographic barrier (ACC_dist_score) previously used SM16, which codes treatment type (allopathic/ayurvedic/chemist/etc.) — not distance. SM16 is in the same questionnaire section but asks a categorically different question. When fed into the distance formula, it produced ACC_dist_score=0 for everyone, making HAS effectively a two-dimension (financial + utilisation) index.</w:t>
      </w:r>
    </w:p>
    <w:p>
      <w:pPr>
        <w:spacing w:after="120"/>
      </w:pPr>
      <w:r>
        <w:rPr>
          <w:rFonts w:ascii="Arial" w:cs="Arial" w:eastAsia="Arial" w:hAnsi="Arial"/>
          <w:b/>
          <w:bCs/>
          <w:sz w:val="22"/>
          <w:szCs w:val="22"/>
        </w:rPr>
        <w:t xml:space="preserve">The fix: </w:t>
      </w:r>
      <w:r>
        <w:rPr>
          <w:rFonts w:ascii="Arial" w:cs="Arial" w:eastAsia="Arial" w:hAnsi="Arial"/>
          <w:sz w:val="22"/>
          <w:szCs w:val="22"/>
        </w:rPr>
        <w:t xml:space="preserve">SM14B codes the location of the first provider visited: 1=Home, 2=Same village/town, 3=Another village, 4=Other town, 5=District town, 6=Metro city, 7=Abroad/Others. This is mapped to an ordinal burden scale: Home/Same village=0.0, Another village=0.25, Other town=0.50, District town=0.75, Metro/Abroad=1.0.</w:t>
      </w:r>
    </w:p>
    <w:p>
      <w:pPr>
        <w:spacing w:after="120"/>
      </w:pPr>
      <w:r>
        <w:rPr>
          <w:rFonts w:ascii="Arial" w:cs="Arial" w:eastAsia="Arial" w:hAnsi="Arial"/>
          <w:b/>
          <w:bCs/>
          <w:sz w:val="22"/>
          <w:szCs w:val="22"/>
        </w:rPr>
        <w:t xml:space="preserve">Impact: </w:t>
      </w:r>
      <w:r>
        <w:rPr>
          <w:rFonts w:ascii="Arial" w:cs="Arial" w:eastAsia="Arial" w:hAnsi="Arial"/>
          <w:sz w:val="22"/>
          <w:szCs w:val="22"/>
        </w:rPr>
        <w:t xml:space="preserve">ACC_dist_score UP mean = 0.100 (previously 0.000). GJ = 0.075. MH = 0.073. These represent real distances people travel for care — UP's higher score reflects that a larger share of treated patients travelled to district towns or beyond.</w:t>
      </w:r>
    </w:p>
    <w:p>
      <w:pPr>
        <w:spacing w:after="120"/>
      </w:pPr>
      <w:r>
        <w:rPr>
          <w:rFonts w:ascii="Arial" w:cs="Arial" w:eastAsia="Arial" w:hAnsi="Arial"/>
          <w:b/>
          <w:bCs/>
          <w:sz w:val="22"/>
          <w:szCs w:val="22"/>
        </w:rPr>
        <w:t xml:space="preserve">Why equal-weight average (not weighted sum): </w:t>
      </w:r>
      <w:r>
        <w:rPr>
          <w:rFonts w:ascii="Arial" w:cs="Arial" w:eastAsia="Arial" w:hAnsi="Arial"/>
          <w:sz w:val="22"/>
          <w:szCs w:val="22"/>
        </w:rPr>
        <w:t xml:space="preserve">Equal weighting treats all three barrier types as equally important — an explicit theoretical choice. A sensitivity analysis with financial=50%, geo=25%, util=25% weights would give more weight to the WHO-standard catastrophic expenditure definition. The current 1:1:1 design is the most defensible default without additional empirical evidence on relative barrier importance.</w:t>
      </w:r>
    </w:p>
    <w:p>
      <w:pPr>
        <w:spacing w:after="200"/>
      </w:pPr>
      <w:r>
        <w:rPr>
          <w:rFonts w:ascii="Arial" w:cs="Arial" w:eastAsia="Arial" w:hAnsi="Arial"/>
          <w:sz w:val="22"/>
          <w:szCs w:val="22"/>
        </w:rPr>
        <w:t xml:space="preserve"/>
      </w:r>
    </w:p>
    <w:p>
      <w:pPr>
        <w:pStyle w:val="Heading1"/>
        <w:pBdr>
          <w:bottom w:val="single" w:color="2E75B6" w:sz="6" w:space="1"/>
        </w:pBdr>
        <w:spacing w:before="360" w:after="180"/>
      </w:pPr>
      <w:r>
        <w:rPr>
          <w:rFonts w:ascii="Arial" w:cs="Arial" w:eastAsia="Arial" w:hAnsi="Arial"/>
          <w:b/>
          <w:bCs/>
          <w:color w:val="1F4E79"/>
          <w:sz w:val="32"/>
          <w:szCs w:val="32"/>
        </w:rPr>
        <w:t xml:space="preserve">7. Social Vulnerability and Final MHI — Cells 16 and 17</w:t>
      </w:r>
    </w:p>
    <w:p>
      <w:pPr>
        <w:pStyle w:val="Heading2"/>
        <w:spacing w:before="260" w:after="100"/>
      </w:pPr>
      <w:r>
        <w:rPr>
          <w:rFonts w:ascii="Arial" w:cs="Arial" w:eastAsia="Arial" w:hAnsi="Arial"/>
          <w:b/>
          <w:bCs/>
          <w:color w:val="2E75B6"/>
          <w:sz w:val="26"/>
          <w:szCs w:val="26"/>
        </w:rPr>
        <w:t xml:space="preserve">build_social_vulnerability_index()  ·  Cell 16</w:t>
      </w:r>
    </w:p>
    <w:p>
      <w:pPr>
        <w:spacing w:after="120"/>
      </w:pPr>
      <w:r>
        <w:rPr>
          <w:rFonts w:ascii="Arial" w:cs="Arial" w:eastAsia="Arial" w:hAnsi="Arial"/>
          <w:b/>
          <w:bCs/>
          <w:sz w:val="22"/>
          <w:szCs w:val="22"/>
        </w:rPr>
        <w:t xml:space="preserve">Gender=1 for female: </w:t>
      </w:r>
      <w:r>
        <w:rPr>
          <w:rFonts w:ascii="Arial" w:cs="Arial" w:eastAsia="Arial" w:hAnsi="Arial"/>
          <w:sz w:val="22"/>
          <w:szCs w:val="22"/>
        </w:rPr>
        <w:t xml:space="preserve">Encodes the structural fact that women in India face systematically higher healthcare-seeking barriers (need permission, transport costs, social norms). The binary 0/1 is a simplification — it does not capture variation within gender — but is the appropriate operationalisation for a survey-based composite.</w:t>
      </w:r>
    </w:p>
    <w:p>
      <w:pPr>
        <w:spacing w:after="120"/>
      </w:pPr>
      <w:r>
        <w:rPr>
          <w:rFonts w:ascii="Arial" w:cs="Arial" w:eastAsia="Arial" w:hAnsi="Arial"/>
          <w:b/>
          <w:bCs/>
          <w:sz w:val="22"/>
          <w:szCs w:val="22"/>
        </w:rPr>
        <w:t xml:space="preserve">Missing caste filled with 0.5: </w:t>
      </w:r>
      <w:r>
        <w:rPr>
          <w:rFonts w:ascii="Arial" w:cs="Arial" w:eastAsia="Arial" w:hAnsi="Arial"/>
          <w:sz w:val="22"/>
          <w:szCs w:val="22"/>
        </w:rPr>
        <w:t xml:space="preserve">Rather than NaN (which would drop rows) or 0.0 (which would attribute forward-caste status to unknown individuals), 0.5 (OBC neutral) is the least-bad default. ID13 has very low missing data in IHDS-II, so this affects &lt; 1% of rows.</w:t>
      </w:r>
    </w:p>
    <w:p>
      <w:pPr>
        <w:spacing w:after="120"/>
      </w:pPr>
      <w:r>
        <w:rPr>
          <w:rFonts w:ascii="Arial" w:cs="Arial" w:eastAsia="Arial" w:hAnsi="Arial"/>
          <w:b/>
          <w:bCs/>
          <w:sz w:val="22"/>
          <w:szCs w:val="22"/>
        </w:rPr>
        <w:t xml:space="preserve">Why composite SVI may appear weak in regression (p=0.058): </w:t>
      </w:r>
      <w:r>
        <w:rPr>
          <w:rFonts w:ascii="Arial" w:cs="Arial" w:eastAsia="Arial" w:hAnsi="Arial"/>
          <w:sz w:val="22"/>
          <w:szCs w:val="22"/>
        </w:rPr>
        <w:t xml:space="preserve">Averaging gender and caste into one number prevents their independent effects from being estimated. A female SC/ST person scores 0.75; a male OBC scores 0.25 — but the composite 0.75 may reflect gender more than caste for one and caste more than gender for another. Recommended next step: include SOC_gender_score and SOC_caste_score as separate predictors.</w:t>
      </w:r>
    </w:p>
    <w:p>
      <w:pPr>
        <w:spacing w:after="80"/>
      </w:pPr>
      <w:r>
        <w:rPr>
          <w:rFonts w:ascii="Arial" w:cs="Arial" w:eastAsia="Arial" w:hAnsi="Arial"/>
          <w:sz w:val="22"/>
          <w:szCs w:val="22"/>
        </w:rPr>
        <w:t xml:space="preserve"/>
      </w:r>
    </w:p>
    <w:p>
      <w:pPr>
        <w:pStyle w:val="Heading2"/>
        <w:spacing w:before="260" w:after="100"/>
      </w:pPr>
      <w:r>
        <w:rPr>
          <w:rFonts w:ascii="Arial" w:cs="Arial" w:eastAsia="Arial" w:hAnsi="Arial"/>
          <w:b/>
          <w:bCs/>
          <w:color w:val="2E75B6"/>
          <w:sz w:val="26"/>
          <w:szCs w:val="26"/>
        </w:rPr>
        <w:t xml:space="preserve">build_multidimensional_index()  ·  Cell 17</w:t>
      </w:r>
    </w:p>
    <w:p>
      <w:pPr>
        <w:spacing w:after="120"/>
      </w:pPr>
      <w:r>
        <w:rPr>
          <w:rFonts w:ascii="Arial" w:cs="Arial" w:eastAsia="Arial" w:hAnsi="Arial"/>
          <w:b/>
          <w:bCs/>
          <w:sz w:val="22"/>
          <w:szCs w:val="22"/>
        </w:rPr>
        <w:t xml:space="preserve">Weight hierarchy (50/25/25): </w:t>
      </w:r>
      <w:r>
        <w:rPr>
          <w:rFonts w:ascii="Arial" w:cs="Arial" w:eastAsia="Arial" w:hAnsi="Arial"/>
          <w:sz w:val="22"/>
          <w:szCs w:val="22"/>
        </w:rPr>
        <w:t xml:space="preserve">PHI captures actual illness — the primary outcome. HAS and SVI are structural modifiers that determine how illness is experienced and treated. The 2:1:1 ratio reflects this theoretical hierarchy. The weights are hard-coded in Cell 17 (not in a shared WEIGHTS dict like Cell 8's STM/CDI/ADL weights) because they represent a higher-level theoretical commitment about pillar importance, not a sensitivity parameter.</w:t>
      </w:r>
    </w:p>
    <w:p>
      <w:pPr>
        <w:spacing w:after="120"/>
      </w:pPr>
      <w:r>
        <w:rPr>
          <w:rFonts w:ascii="Arial" w:cs="Arial" w:eastAsia="Arial" w:hAnsi="Arial"/>
          <w:b/>
          <w:bCs/>
          <w:sz w:val="22"/>
          <w:szCs w:val="22"/>
        </w:rPr>
        <w:t xml:space="preserve">Occupation decomposition: </w:t>
      </w:r>
      <w:r>
        <w:rPr>
          <w:rFonts w:ascii="Arial" w:cs="Arial" w:eastAsia="Arial" w:hAnsi="Arial"/>
          <w:sz w:val="22"/>
          <w:szCs w:val="22"/>
        </w:rPr>
        <w:t xml:space="preserve">The groupby MHI table is the analytical centrepiece of the index. It is only possible because MHI decomposes into visible pillar contributions — if the index were a single-number PCA score, this breakdown would be impossible. The Inactive group's SVI-driven worst ranking could not be identified from PHI alone.</w:t>
      </w:r>
    </w:p>
    <w:p>
      <w:pPr>
        <w:spacing w:after="200"/>
      </w:pPr>
      <w:r>
        <w:rPr>
          <w:rFonts w:ascii="Arial" w:cs="Arial" w:eastAsia="Arial" w:hAnsi="Arial"/>
          <w:sz w:val="22"/>
          <w:szCs w:val="22"/>
        </w:rPr>
        <w:t xml:space="preserve"/>
      </w:r>
    </w:p>
    <w:p>
      <w:pPr>
        <w:pStyle w:val="Heading1"/>
        <w:pBdr>
          <w:bottom w:val="single" w:color="2E75B6" w:sz="6" w:space="1"/>
        </w:pBdr>
        <w:spacing w:before="360" w:after="180"/>
      </w:pPr>
      <w:r>
        <w:rPr>
          <w:rFonts w:ascii="Arial" w:cs="Arial" w:eastAsia="Arial" w:hAnsi="Arial"/>
          <w:b/>
          <w:bCs/>
          <w:color w:val="1F4E79"/>
          <w:sz w:val="32"/>
          <w:szCs w:val="32"/>
        </w:rPr>
        <w:t xml:space="preserve">8. Visualisation Suite — Cells 18 and 20</w:t>
      </w:r>
    </w:p>
    <w:p>
      <w:pPr>
        <w:spacing w:after="120"/>
      </w:pPr>
      <w:r>
        <w:rPr>
          <w:rFonts w:ascii="Arial" w:cs="Arial" w:eastAsia="Arial" w:hAnsi="Arial"/>
          <w:sz w:val="22"/>
          <w:szCs w:val="22"/>
        </w:rPr>
        <w:t xml:space="preserve">Cell 18 contains </w:t>
      </w:r>
      <w:r>
        <w:rPr>
          <w:rFonts w:ascii="Courier New" w:cs="Courier New" w:eastAsia="Courier New" w:hAnsi="Courier New"/>
          <w:sz w:val="20"/>
          <w:szCs w:val="20"/>
        </w:rPr>
        <w:t xml:space="preserve">generate_all_visualizations()</w:t>
      </w:r>
      <w:r>
        <w:rPr>
          <w:rFonts w:ascii="Arial" w:cs="Arial" w:eastAsia="Arial" w:hAnsi="Arial"/>
          <w:sz w:val="22"/>
          <w:szCs w:val="22"/>
        </w:rPr>
        <w:t xml:space="preserve"> — the original 4-plot suite reading from </w:t>
      </w:r>
      <w:r>
        <w:rPr>
          <w:rFonts w:ascii="Courier New" w:cs="Courier New" w:eastAsia="Courier New" w:hAnsi="Courier New"/>
          <w:sz w:val="20"/>
          <w:szCs w:val="20"/>
        </w:rPr>
        <w:t xml:space="preserve">final_mhi_dataset_*.csv</w:t>
      </w:r>
      <w:r>
        <w:rPr>
          <w:rFonts w:ascii="Arial" w:cs="Arial" w:eastAsia="Arial" w:hAnsi="Arial"/>
          <w:sz w:val="22"/>
          <w:szCs w:val="22"/>
        </w:rPr>
        <w:t xml:space="preserve">. Cell 20 is the comprehensive 13-plot suite added in this session, also reading from the same files. Both save to separate folders (</w:t>
      </w:r>
      <w:r>
        <w:rPr>
          <w:rFonts w:ascii="Courier New" w:cs="Courier New" w:eastAsia="Courier New" w:hAnsi="Courier New"/>
          <w:sz w:val="20"/>
          <w:szCs w:val="20"/>
        </w:rPr>
        <w:t xml:space="preserve">visualizations/</w:t>
      </w:r>
      <w:r>
        <w:rPr>
          <w:rFonts w:ascii="Arial" w:cs="Arial" w:eastAsia="Arial" w:hAnsi="Arial"/>
          <w:sz w:val="22"/>
          <w:szCs w:val="22"/>
        </w:rPr>
        <w:t xml:space="preserve"> and </w:t>
      </w:r>
      <w:r>
        <w:rPr>
          <w:rFonts w:ascii="Courier New" w:cs="Courier New" w:eastAsia="Courier New" w:hAnsi="Courier New"/>
          <w:sz w:val="20"/>
          <w:szCs w:val="20"/>
        </w:rPr>
        <w:t xml:space="preserve">plots/</w:t>
      </w:r>
      <w:r>
        <w:rPr>
          <w:rFonts w:ascii="Arial" w:cs="Arial" w:eastAsia="Arial" w:hAnsi="Arial"/>
          <w:sz w:val="22"/>
          <w:szCs w:val="22"/>
        </w:rPr>
        <w:t xml:space="preserve"> respectively). Each plot block in Cell 20 has a </w:t>
      </w:r>
      <w:r>
        <w:rPr>
          <w:rFonts w:ascii="Arial" w:cs="Arial" w:eastAsia="Arial" w:hAnsi="Arial"/>
          <w:b/>
          <w:bCs/>
          <w:sz w:val="22"/>
          <w:szCs w:val="22"/>
        </w:rPr>
        <w:t xml:space="preserve">WHAT</w:t>
      </w:r>
      <w:r>
        <w:rPr>
          <w:rFonts w:ascii="Arial" w:cs="Arial" w:eastAsia="Arial" w:hAnsi="Arial"/>
          <w:sz w:val="22"/>
          <w:szCs w:val="22"/>
        </w:rPr>
        <w:t xml:space="preserve"> and </w:t>
      </w:r>
      <w:r>
        <w:rPr>
          <w:rFonts w:ascii="Arial" w:cs="Arial" w:eastAsia="Arial" w:hAnsi="Arial"/>
          <w:b/>
          <w:bCs/>
          <w:sz w:val="22"/>
          <w:szCs w:val="22"/>
        </w:rPr>
        <w:t xml:space="preserve">INDICATES</w:t>
      </w:r>
      <w:r>
        <w:rPr>
          <w:rFonts w:ascii="Arial" w:cs="Arial" w:eastAsia="Arial" w:hAnsi="Arial"/>
          <w:sz w:val="22"/>
          <w:szCs w:val="22"/>
        </w:rPr>
        <w:t xml:space="preserve"> comment explaining the analytical purpose of the visualisation.</w:t>
      </w:r>
    </w:p>
    <w:p>
      <w:pPr>
        <w:spacing w:after="80"/>
      </w:pPr>
      <w:r>
        <w:rPr>
          <w:rFonts w:ascii="Arial" w:cs="Arial" w:eastAsia="Arial" w:hAnsi="Arial"/>
          <w:sz w:val="22"/>
          <w:szCs w:val="22"/>
        </w:rPr>
        <w:t xml:space="preserve"/>
      </w:r>
    </w:p>
    <w:p>
      <w:pPr>
        <w:spacing w:after="120"/>
      </w:pPr>
      <w:r>
        <w:rPr>
          <w:rFonts w:ascii="Arial" w:cs="Arial" w:eastAsia="Arial" w:hAnsi="Arial"/>
          <w:sz w:val="22"/>
          <w:szCs w:val="22"/>
        </w:rPr>
        <w:t xml:space="preserve">The 13 plots cover: PHI distribution (full pop. vs sick), sub-score decomposition, urban/rural gradient, PCA diagnostic, OOP cost burden (4-panel), OLS coefficient plot, Logit marginal effects, HAS decomposition, SVI components, triple burden by occupation, MHI final composite, MHI violin distribution, and a summary dashboard.</w:t>
      </w:r>
    </w:p>
    <w:p>
      <w:pPr>
        <w:spacing w:after="200"/>
      </w:pPr>
      <w:r>
        <w:rPr>
          <w:rFonts w:ascii="Arial" w:cs="Arial" w:eastAsia="Arial" w:hAnsi="Arial"/>
          <w:sz w:val="22"/>
          <w:szCs w:val="22"/>
        </w:rPr>
        <w:t xml:space="preserve"/>
      </w:r>
    </w:p>
    <w:p>
      <w:pPr>
        <w:pStyle w:val="Heading1"/>
        <w:pBdr>
          <w:bottom w:val="single" w:color="2E75B6" w:sz="6" w:space="1"/>
        </w:pBdr>
        <w:spacing w:before="360" w:after="180"/>
      </w:pPr>
      <w:r>
        <w:rPr>
          <w:rFonts w:ascii="Arial" w:cs="Arial" w:eastAsia="Arial" w:hAnsi="Arial"/>
          <w:b/>
          <w:bCs/>
          <w:color w:val="1F4E79"/>
          <w:sz w:val="32"/>
          <w:szCs w:val="32"/>
        </w:rPr>
        <w:t xml:space="preserve">9. Cross-Cutting Design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60"/>
        <w:gridCol w:w="3600"/>
      </w:tblGrid>
      <w:tr>
        <w:tc>
          <w:tcPr>
            <w:tcW w:type="dxa" w:w="2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spacing w:after="120"/>
            </w:pPr>
            <w:r>
              <w:rPr>
                <w:rFonts w:ascii="Arial" w:cs="Arial" w:eastAsia="Arial" w:hAnsi="Arial"/>
                <w:b/>
                <w:bCs/>
                <w:color w:val="FFFFFF"/>
                <w:sz w:val="20"/>
                <w:szCs w:val="20"/>
              </w:rPr>
              <w:t xml:space="preserve">Decision</w:t>
            </w:r>
          </w:p>
        </w:tc>
        <w:tc>
          <w:tcPr>
            <w:tcW w:type="dxa" w:w="33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spacing w:after="120"/>
            </w:pPr>
            <w:r>
              <w:rPr>
                <w:rFonts w:ascii="Arial" w:cs="Arial" w:eastAsia="Arial" w:hAnsi="Arial"/>
                <w:b/>
                <w:bCs/>
                <w:color w:val="FFFFFF"/>
                <w:sz w:val="20"/>
                <w:szCs w:val="20"/>
              </w:rPr>
              <w:t xml:space="preserve">What was done</w:t>
            </w:r>
          </w:p>
        </w:tc>
        <w:tc>
          <w:tcPr>
            <w:tcW w:type="dxa" w:w="36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spacing w:after="120"/>
            </w:pPr>
            <w:r>
              <w:rPr>
                <w:rFonts w:ascii="Arial" w:cs="Arial" w:eastAsia="Arial" w:hAnsi="Arial"/>
                <w:b/>
                <w:bCs/>
                <w:color w:val="FFFFFF"/>
                <w:sz w:val="20"/>
                <w:szCs w:val="20"/>
              </w:rPr>
              <w:t xml:space="preserve">What breaks if changed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0"/>
                <w:szCs w:val="20"/>
              </w:rPr>
              <w:t xml:space="preserve">Sentinel -1 for binary vars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0"/>
                <w:szCs w:val="20"/>
              </w:rPr>
              <w:t xml:space="preserve">fill_na=-1 instead of NaN</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0"/>
                <w:szCs w:val="20"/>
              </w:rPr>
              <w:t xml:space="preserve">Score functions explicitly replace -1 with NaN before summing. Changing to NaN would require removing this step but forces int→float64 column promotion.</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120"/>
            </w:pPr>
            <w:r>
              <w:rPr>
                <w:rFonts w:ascii="Arial" w:cs="Arial" w:eastAsia="Arial" w:hAnsi="Arial"/>
                <w:sz w:val="20"/>
                <w:szCs w:val="20"/>
              </w:rPr>
              <w:t xml:space="preserve">df = df.copy() everywhere</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120"/>
            </w:pPr>
            <w:r>
              <w:rPr>
                <w:rFonts w:ascii="Arial" w:cs="Arial" w:eastAsia="Arial" w:hAnsi="Arial"/>
                <w:sz w:val="20"/>
                <w:szCs w:val="20"/>
              </w:rPr>
              <w:t xml:space="preserve">All build_*/add_* functions copy input</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120"/>
            </w:pPr>
            <w:r>
              <w:rPr>
                <w:rFonts w:ascii="Arial" w:cs="Arial" w:eastAsia="Arial" w:hAnsi="Arial"/>
                <w:sz w:val="20"/>
                <w:szCs w:val="20"/>
              </w:rPr>
              <w:t xml:space="preserve">Without copy(), modifying a column mutates the caller's dataframe. Running a cell twice produces different results.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0"/>
                <w:szCs w:val="20"/>
              </w:rPr>
              <w:t xml:space="preserve">drop_first=True on dummies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0"/>
                <w:szCs w:val="20"/>
              </w:rPr>
              <w:t xml:space="preserve">Gujarat is the dropped reference state</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0"/>
                <w:szCs w:val="20"/>
              </w:rPr>
              <w:t xml:space="preserve">Without drop_first, multicollinearity makes the model unidentified. GJ is reference because alphabetical order; UP and MH coefs are interpreted as deviations from GJ.</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120"/>
            </w:pPr>
            <w:r>
              <w:rPr>
                <w:rFonts w:ascii="Arial" w:cs="Arial" w:eastAsia="Arial" w:hAnsi="Arial"/>
                <w:sz w:val="20"/>
                <w:szCs w:val="20"/>
              </w:rPr>
              <w:t xml:space="preserve">astype(float) on dummies</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120"/>
            </w:pPr>
            <w:r>
              <w:rPr>
                <w:rFonts w:ascii="Arial" w:cs="Arial" w:eastAsia="Arial" w:hAnsi="Arial"/>
                <w:sz w:val="20"/>
                <w:szCs w:val="20"/>
              </w:rPr>
              <w:t xml:space="preserve">pd.get_dummies() cast to float immediately</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120"/>
            </w:pPr>
            <w:r>
              <w:rPr>
                <w:rFonts w:ascii="Arial" w:cs="Arial" w:eastAsia="Arial" w:hAnsi="Arial"/>
                <w:sz w:val="20"/>
                <w:szCs w:val="20"/>
              </w:rPr>
              <w:t xml:space="preserve">pandas 2.x produces boolean columns. statsmodels calls np.asarray() — boolean arrays raise dtype=object error.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0"/>
                <w:szCs w:val="20"/>
              </w:rPr>
              <w:t xml:space="preserve">Higher=worse everywhere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0"/>
                <w:szCs w:val="20"/>
              </w:rPr>
              <w:t xml:space="preserve">PHI, HAS, SVI, MHI all 0=best, 1=worst</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0"/>
                <w:szCs w:val="20"/>
              </w:rPr>
              <w:t xml:space="preserve">If any one sub-index were inverted, the MHI weighted sum would be internally inconsistent.</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120"/>
            </w:pPr>
            <w:r>
              <w:rPr>
                <w:rFonts w:ascii="Arial" w:cs="Arial" w:eastAsia="Arial" w:hAnsi="Arial"/>
                <w:sz w:val="20"/>
                <w:szCs w:val="20"/>
              </w:rPr>
              <w:t xml:space="preserve">PHI&gt;0 sick subgroup</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120"/>
            </w:pPr>
            <w:r>
              <w:rPr>
                <w:rFonts w:ascii="Arial" w:cs="Arial" w:eastAsia="Arial" w:hAnsi="Arial"/>
                <w:sz w:val="20"/>
                <w:szCs w:val="20"/>
              </w:rPr>
              <w:t xml:space="preserve">Strict inequality at exactly zero</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120"/>
            </w:pPr>
            <w:r>
              <w:rPr>
                <w:rFonts w:ascii="Arial" w:cs="Arial" w:eastAsia="Arial" w:hAnsi="Arial"/>
                <w:sz w:val="20"/>
                <w:szCs w:val="20"/>
              </w:rPr>
              <w:t xml:space="preserve">Any PHI&gt;0 threshold (e.g. 0.01) would exclude people with only minor acute illness (3 days fever). Exactly zero is the natural boundary between 'no events recorded' and 'at least one'.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0"/>
                <w:szCs w:val="20"/>
              </w:rPr>
              <w:t xml:space="preserve">log1p() for consumption</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0"/>
                <w:szCs w:val="20"/>
              </w:rPr>
              <w:t xml:space="preserve">np.log1p(COPC.clip(lower=0))</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0"/>
                <w:szCs w:val="20"/>
              </w:rPr>
              <w:t xml:space="preserve">COPC min is Rs180 in IHDS-II so log() would give same result. log1p is used defensively — well-defined if any value were zero. INCOMEPC uses conditional log (negative income possible from ag losses).</w:t>
            </w:r>
          </w:p>
        </w:tc>
      </w:tr>
    </w:tbl>
    <w:p>
      <w:pPr>
        <w:spacing w:after="200"/>
      </w:pPr>
      <w:r>
        <w:rPr>
          <w:rFonts w:ascii="Arial" w:cs="Arial" w:eastAsia="Arial" w:hAnsi="Arial"/>
          <w:sz w:val="22"/>
          <w:szCs w:val="22"/>
        </w:rPr>
        <w:t xml:space="preserve"/>
      </w:r>
    </w:p>
    <w:p>
      <w:pPr>
        <w:pBdr>
          <w:top w:val="single" w:color="CCCCCC" w:sz="4" w:space="1"/>
        </w:pBdr>
        <w:spacing w:before="120" w:after="80"/>
      </w:pPr>
      <w:r>
        <w:rPr>
          <w:rFonts w:ascii="Arial" w:cs="Arial" w:eastAsia="Arial" w:hAnsi="Arial"/>
          <w:color w:val="595959"/>
          <w:sz w:val="18"/>
          <w:szCs w:val="18"/>
        </w:rPr>
        <w:t xml:space="preserve">End of Methods Reference  ·  21 cells  ·  IHDS-II (2011–12)  ·  SM14B fix documented</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tabs>
        <w:tab w:val="right" w:pos="9360"/>
      </w:tabs>
      <w:spacing w:before="80"/>
    </w:pPr>
    <w:r>
      <w:rPr>
        <w:rFonts w:ascii="Arial" w:cs="Arial" w:eastAsia="Arial" w:hAnsi="Arial"/>
        <w:color w:val="595959"/>
        <w:sz w:val="18"/>
        <w:szCs w:val="18"/>
      </w:rPr>
      <w:t xml:space="preserve">ICPSR 36151 · IHDS-II (2011–12) · Methods Reference</w:t>
    </w:r>
    <w:r>
      <w:rPr>
        <w:rFonts w:ascii="Arial" w:cs="Arial" w:eastAsia="Arial" w:hAnsi="Arial"/>
        <w:sz w:val="18"/>
        <w:szCs w:val="18"/>
      </w:rPr>
      <w:t xml:space="preserve">	</w:t>
    </w:r>
    <w:r>
      <w:rPr>
        <w:rFonts w:ascii="Arial" w:cs="Arial" w:eastAsia="Arial" w:hAnsi="Arial"/>
        <w:color w:val="595959"/>
        <w:sz w:val="18"/>
        <w:szCs w:val="18"/>
      </w:rPr>
      <w:t xml:space="preserve">Page </w:t>
    </w:r>
    <w:r>
      <w:rPr>
        <w:rFonts w:ascii="Arial" w:cs="Arial" w:eastAsia="Arial" w:hAnsi="Arial"/>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spacing w:after="80"/>
    </w:pPr>
    <w:r>
      <w:rPr>
        <w:rFonts w:ascii="Arial" w:cs="Arial" w:eastAsia="Arial" w:hAnsi="Arial"/>
        <w:b/>
        <w:bCs/>
        <w:color w:val="2E75B6"/>
        <w:sz w:val="18"/>
        <w:szCs w:val="18"/>
      </w:rPr>
      <w:t xml:space="preserve">IHDS-II MHI — Methods Reference</w:t>
    </w:r>
    <w:r>
      <w:rPr>
        <w:rFonts w:ascii="Arial" w:cs="Arial" w:eastAsia="Arial" w:hAnsi="Arial"/>
        <w:color w:val="595959"/>
        <w:sz w:val="18"/>
        <w:szCs w:val="18"/>
      </w:rPr>
      <w:t xml:space="preserve">   |   Every function · Every design decision · SM14B fix documented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F4E79"/>
      <w:sz w:val="32"/>
      <w:szCs w:val="32"/>
    </w:rPr>
  </w:style>
  <w:style w:type="paragraph" w:styleId="Heading2">
    <w:name w:val="Heading 2"/>
    <w:basedOn w:val="Normal"/>
    <w:next w:val="Normal"/>
    <w:qFormat/>
    <w:pPr>
      <w:spacing w:before="260" w:after="100"/>
      <w:outlineLvl w:val="1"/>
    </w:pPr>
    <w:rPr>
      <w:rFonts w:ascii="Arial" w:cs="Arial" w:eastAsia="Arial" w:hAnsi="Arial"/>
      <w:b/>
      <w:bCs/>
      <w:color w:val="2E75B6"/>
      <w:sz w:val="26"/>
      <w:szCs w:val="26"/>
    </w:rPr>
  </w:style>
  <w:style w:type="paragraph" w:styleId="Heading3">
    <w:name w:val="Heading 3"/>
    <w:basedOn w:val="Normal"/>
    <w:next w:val="Normal"/>
    <w:qFormat/>
    <w:pPr>
      <w:spacing w:before="200" w:after="80"/>
      <w:outlineLvl w:val="2"/>
    </w:pPr>
    <w:rPr>
      <w:rFonts w:ascii="Arial" w:cs="Arial" w:eastAsia="Arial" w:hAnsi="Arial"/>
      <w:b/>
      <w:bCs/>
      <w:color w:val="595959"/>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2026-03-25T04:24:48.873Z</dcterms:created>
  <dcterms:modified xsi:type="dcterms:W3CDTF">2026-03-25T04:24:48.873Z</dcterms:modified>
</cp:coreProperties>
</file>

<file path=docProps/custom.xml><?xml version="1.0" encoding="utf-8"?>
<Properties xmlns="http://schemas.openxmlformats.org/officeDocument/2006/custom-properties" xmlns:vt="http://schemas.openxmlformats.org/officeDocument/2006/docPropsVTypes"/>
</file>