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Final Research Report — v2</w:t>
      </w:r>
    </w:p>
    <w:p>
      <w:pPr>
        <w:spacing w:after="80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 Multidimensional Health Index for India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Physical Burden · Access Barriers (SM14B fixed) · Social Vulnerability</w:t>
      </w:r>
    </w:p>
    <w:p>
      <w:pPr>
        <w:spacing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ICPSR 36151  ·  IHDS-II (2011–12)  ·  N=46,894  ·  Sick subgroup N=13,280</w:t>
      </w:r>
    </w:p>
    <w:p>
      <w:pPr>
        <w:spacing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States: Uttar Pradesh  ·  Gujarat  ·  Maharashtra  ·  21 notebook cells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Key update: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SM14B (provider location) now correctly codes the geographic access barrier. HAS and MHI values revised upward across all states.</w:t>
      </w:r>
    </w:p>
    <w:p>
      <w:pPr>
        <w:spacing w:after="5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March 2026</w:t>
      </w:r>
    </w:p>
    <w:p>
      <w:pPr>
        <w:pBdr>
          <w:bottom w:val="single" w:color="2E75B6" w:sz="12" w:space="1"/>
        </w:pBdr>
        <w:spacing w:after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26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N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PHI=0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PHI&gt;0 (sick)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21,546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13,142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8,404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39.0% — EAG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9,364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7,334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2,030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15,984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13,138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2,846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46,894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33,614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13,280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28.3%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Physical Health Index — PHI (Cells 6–9)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PHI = 0.30 × STM + 0.40 × CDI + 0.30 × ADL  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20"/>
        <w:gridCol w:w="1120"/>
        <w:gridCol w:w="1120"/>
        <w:gridCol w:w="1200"/>
        <w:gridCol w:w="1200"/>
        <w:gridCol w:w="1200"/>
        <w:gridCol w:w="14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1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P90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floor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0.051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0.049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82.2%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Sick subgroup PHI means: UP=0.131, GJ=0.093, MH=0.109. PCA: PC1 explains 21–23% across all states (below the 30% single-factor threshold), confirming the three-pillar structure. Vision (AD8/AD9) and walking (AD3) dominate PC1; chronic disease loads separately.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Socioeconomic Determinants of PHI (Cell 13)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nested OLS models predicting PHI severity in the sick subgroup (N=13,276), all with state fixed effects. Reference: Inactive (housework, retired, student, too young).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080"/>
        <w:gridCol w:w="1080"/>
        <w:gridCol w:w="1080"/>
        <w:gridCol w:w="1280"/>
        <w:gridCol w:w="1280"/>
      </w:tblGrid>
      <w:tr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Predictor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 coef</w:t>
            </w:r>
          </w:p>
        </w:tc>
        <w:tc>
          <w:tcPr>
            <w:tcW w:type="dxa" w:w="1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 (M3)</w:t>
            </w:r>
          </w:p>
        </w:tc>
        <w:tc>
          <w:tcPr>
            <w:tcW w:type="dxa" w:w="1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Log_COPC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 Survivor selection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Wealth protective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OCC_Agricultural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vs Inactive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OCC_Wage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ns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OCC_Self_employed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-0.016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vs Inactive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OCC_Salaried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-0.021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-0.021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Lowest burden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HHEDUC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Education buffers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URBAN2011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ns once occ. controlled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UP vs GJ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highest burden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MH vs GJ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&lt;.001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MH &gt; GJ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440"/>
        <w:gridCol w:w="1440"/>
        <w:gridCol w:w="1440"/>
      </w:tblGrid>
      <w:tr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0.065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Medical Cost Burden (Cell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80"/>
        <w:gridCol w:w="1680"/>
        <w:gridCol w:w="1680"/>
        <w:gridCol w:w="216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GJ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OOP_STM mean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₹267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Acute, 30-day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OOP_MB mean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₹3,476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₹5,139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₹4,658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Chronic, 12-month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OOP_SHARE mean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3.09%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of consumption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CAT_EXP rate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11.3%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threshold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Provider: Private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90.3%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74.4%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Among treated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Chronic care (OOP_MB) is 10–14× larger than acute costs. Gujarat faces the highest catastrophic expenditure rate (11.3%) despite having lower PHI — confirming that financial burden is not simply a function of illness severity. All occupation groups face higher catastrophic risk than Inactive (self-employed +5.7pp, wage +4.4pp, agricultural +3.8pp, salaried +3.4pp), confirming economic activity does not protect against financial catastrophe without insurance coverage.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Healthcare Access Sub-index — HAS (Cell 15, SM14B fix applied)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 = (ACC_dist_score + ACC_gap_score + ACC_fin_score) / 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barrier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SM14B (provider location)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Home/Same village=0.0, Another village=0.25, Other town=0.50, District town=0.75, Metro/Abroad=1.0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Utilisation 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UNTREATED flag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if ill (PHI&gt;0) but no treatment sought for acute OR chronic episode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barrier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CAT_EXP flag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if OOP ≥ 10% of household consumption (WHO threshold)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40"/>
        <w:gridCol w:w="1680"/>
        <w:gridCol w:w="1680"/>
        <w:gridCol w:w="1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HAS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Geo. barrier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Util. gap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Fin. barrier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8,404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20.9%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2,846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15.6%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SM14B fix: </w:t>
      </w:r>
      <w:r>
        <w:rPr>
          <w:rFonts w:ascii="Arial" w:cs="Arial" w:eastAsia="Arial" w:hAnsi="Arial"/>
          <w:sz w:val="22"/>
          <w:szCs w:val="22"/>
        </w:rPr>
        <w:t xml:space="preserve">The previous version used SM16 (treatment type — allopathic/ayurvedic etc.) as the geographic barrier, which produced ACC_dist_score = 0 everywhere. Cell 15 now uses SM14B (location of first provider visited), coded on an ordinal 0–1 scale. This adds meaningful geographic variation and raises HAS values across all states: UP 0.045→0.078, GJ 0.108→0.133, MH 0.087→0.111.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Gujarat's HAS is highest (0.133): </w:t>
      </w:r>
      <w:r>
        <w:rPr>
          <w:rFonts w:ascii="Arial" w:cs="Arial" w:eastAsia="Arial" w:hAnsi="Arial"/>
          <w:sz w:val="22"/>
          <w:szCs w:val="22"/>
        </w:rPr>
        <w:t xml:space="preserve">driven by a 20.9% untreated morbidity rate — 1 in 5 sick Gujaratis sought no treatment at all. This is the key finding that separates MHI from PHI-only analysis. Gujarat's low PHI (0.093) coexists with high access barriers; PHI alone would rank GJ and MH identically, while MHI correctly captures GJ's access problem.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Social Vulnerability Sub-index — SVI (Cell 16)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SVI = (SOC_gender_score + SOC_caste_score) / 2   </w:t>
      </w:r>
      <w:r>
        <w:rPr>
          <w:rFonts w:ascii="Arial" w:cs="Arial" w:eastAsia="Arial" w:hAnsi="Arial"/>
          <w:sz w:val="22"/>
          <w:szCs w:val="22"/>
        </w:rPr>
        <w:t xml:space="preserve">Female=1, SC/ST=1, OBC=0.5, Forward=0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680"/>
        <w:gridCol w:w="1680"/>
        <w:gridCol w:w="1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SVI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 score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Caste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8,404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0.553 (55.3% female)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0.559 (55.9% female)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2,846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0.530 (53.0% female)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0.308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SVI is only marginally significant in the OLS regression (p=0.058, R²=0.054). The variance is dominated by state fixed effects — UP carries +0.61 SD above GJ in PHI_INT. This indicates state-level structural factors outweigh individual gender and caste in determining severity within states. Decomposing SVI into separate gender and caste predictors is recommended for follow-on analysis.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Multidimensional Health Index — MHI (Cell 17) — Updated Values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MHI = 0.50 × PHI + 0.25 × HAS + 0.25 × SVI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(all values updated after SM14B fix)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Cross-State MHI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360"/>
        <w:gridCol w:w="1360"/>
        <w:gridCol w:w="1360"/>
        <w:gridCol w:w="1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MHI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PHI×50%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HAS×25%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SVI×25%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0.2006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Gujarat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0.1872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SM14B fix closes the GJ–MH gap: GJ (0.192) now sits clearly above MH (0.187), whereas previously they appeared nearly identical. Gujarat's high untreated morbidity (HAS contribution 0.033 vs MH 0.028) is now correctly reflected in the composite.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MHI by Occupation Group (Pooled,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560"/>
        <w:gridCol w:w="1560"/>
        <w:gridCol w:w="1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SVI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MHI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0.2104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worst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Agricultural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Self-employed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0.1043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— best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Agricultural workers now rank second-worst (HAS=0.119): </w:t>
      </w:r>
      <w:r>
        <w:rPr>
          <w:rFonts w:ascii="Arial" w:cs="Arial" w:eastAsia="Arial" w:hAnsi="Arial"/>
          <w:sz w:val="22"/>
          <w:szCs w:val="22"/>
        </w:rPr>
        <w:t xml:space="preserve">With geographic distance now included in HAS, agricultural workers — who are predominantly rural and travel furthest to providers — show the highest HAS of any working group. This was previously masked when ACC_dist_score was zero everywhere.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Inactive remains worst (MHI=0.210): </w:t>
      </w:r>
      <w:r>
        <w:rPr>
          <w:rFonts w:ascii="Arial" w:cs="Arial" w:eastAsia="Arial" w:hAnsi="Arial"/>
          <w:sz w:val="22"/>
          <w:szCs w:val="22"/>
        </w:rPr>
        <w:t xml:space="preserve">Not because of PHI (0.124, similar to Wage=0.124) but because SVI=0.506 — this group is heavily female (housework) and SC/ST-weighted. Economic inactivity in India is a marker of structural marginalisation, not a health-neutral state.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Summary of Changes After SM14B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ACC_dist_score 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+0.100 — now meaningful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ACC_dist_score GJ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ACC_dist_score MH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+0.073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 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+0.033 (+73%)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 GJ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+0.025 (+23%)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 MH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+0.024 (+28%)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MHI 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MHI GJ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MHI MH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+0.006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rank order of states is unchanged (UP &gt; GJ &gt; MH), but the absolute values and relative gaps have shifted. The agricultural occupation group shows the largest HAS increase because rural workers travel the furthest to providers — this was previously invisible when ACC_dist_score was zero.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Literature Cited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Balarajan, Y., Selvaraj, S., &amp; Subramanian, S.V. (2011). Health care and equity in India. The Lancet, 377(9764), 505–515.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Barik, D., &amp; Thorat, A. (2015). Issues of unequal access to public health in India. Frontiers in Public Health, 3, 245.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Ghosh, S. (2014). Health sector reforms and untreated morbidity. International Journal of Health Policy and Management, 2(3), 125–130.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Hooda, S.K. (2020). Health system in transition in India. World Review of Political Economy, 11(4), 506–532.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Singh, H., &amp; Singh, R.A. (2023). Gender and inequality in access to healthcare in India. Millennial Asia.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Beasley, T.M. et al. (2009). A rank-based inverse normal transformation. Genetic Epidemiology, 33(7), 589–594.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1"/>
        </w:pBdr>
        <w:spacing w:before="120"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IHDS-II MHI Final Report v2  ·  SM14B fix applied  ·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ICPSR 36151 · IHDS-II (2011–12) · Updated after SM14B geographic fix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IHDS-II MHI — Final Research Report (v2)</w:t>
    </w:r>
    <w:r>
      <w:rPr>
        <w:rFonts w:ascii="Arial" w:cs="Arial" w:eastAsia="Arial" w:hAnsi="Arial"/>
        <w:color w:val="595959"/>
        <w:sz w:val="18"/>
        <w:szCs w:val="18"/>
      </w:rPr>
      <w:t xml:space="preserve">   |   UP · GJ · MH · SM14B fix applied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2026-03-25T04:24:48.860Z</dcterms:created>
  <dcterms:modified xsi:type="dcterms:W3CDTF">2026-03-25T04:24:48.861Z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