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A5C"/>
          <w:sz w:val="48"/>
          <w:szCs w:val="48"/>
        </w:rPr>
        <w:t xml:space="preserve">Formulas, Mathematics</w:t>
      </w:r>
    </w:p>
    <w:p>
      <w:pPr>
        <w:spacing w:after="240" w:before="0"/>
        <w:jc w:val="center"/>
      </w:pPr>
      <w:r>
        <w:rPr>
          <w:rFonts w:ascii="Arial" w:cs="Arial" w:eastAsia="Arial" w:hAnsi="Arial"/>
          <w:b/>
          <w:bCs/>
          <w:color w:val="1A3A5C"/>
          <w:sz w:val="48"/>
          <w:szCs w:val="48"/>
        </w:rPr>
        <w:t xml:space="preserve">&amp; Implementation Guide</w:t>
      </w:r>
    </w:p>
    <w:p>
      <w:pPr>
        <w:spacing w:after="120" w:before="120"/>
        <w:jc w:val="center"/>
      </w:pPr>
      <w:r>
        <w:rPr>
          <w:rFonts w:ascii="Arial" w:cs="Arial" w:eastAsia="Arial" w:hAnsi="Arial"/>
          <w:color w:val="2E5A8A"/>
          <w:sz w:val="26"/>
          <w:szCs w:val="26"/>
        </w:rPr>
        <w:t xml:space="preserve">Indian Motorcycle Network Bottleneck Analysis Project</w:t>
      </w:r>
    </w:p>
    <w:p>
      <w:pPr>
        <w:pBdr>
          <w:bottom w:val="single" w:color="CCCCCC" w:sz="4" w:space="1"/>
        </w:pBdr>
        <w:spacing w:after="200" w:before="200"/>
      </w:pPr>
      <w:r>
        <w:t xml:space="preserve"/>
      </w:r>
    </w:p>
    <w:p>
      <w:pPr>
        <w:spacing w:after="80" w:before="120"/>
        <w:jc w:val="center"/>
      </w:pPr>
      <w:r>
        <w:rPr>
          <w:rFonts w:ascii="Arial" w:cs="Arial" w:eastAsia="Arial" w:hAnsi="Arial"/>
          <w:color w:val="555555"/>
          <w:sz w:val="22"/>
          <w:szCs w:val="22"/>
        </w:rPr>
        <w:t xml:space="preserve">IIM Sirmaur  |  BMS Batch 2025  |  All formulas in plain English and technical notation</w:t>
      </w:r>
    </w:p>
    <w:p>
      <w:r>
        <w:br w:type="page"/>
      </w:r>
    </w:p>
    <w:p>
      <w:pPr>
        <w:pStyle w:val="Heading1"/>
        <w:spacing w:after="160" w:before="400"/>
      </w:pPr>
      <w:r>
        <w:rPr>
          <w:rFonts w:ascii="Arial" w:cs="Arial" w:eastAsia="Arial" w:hAnsi="Arial"/>
          <w:b/>
          <w:bCs/>
          <w:color w:val="1A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bookmarkStart w:name="s0" w:id="1"/>
      <w:r>
        <w:rPr>
          <w:rFonts w:ascii="Arial" w:cs="Arial" w:eastAsia="Arial" w:hAnsi="Arial"/>
          <w:b/>
          <w:bCs/>
          <w:color w:val="1A3A5C"/>
          <w:sz w:val="32"/>
          <w:szCs w:val="32"/>
        </w:rPr>
        <w:t xml:space="preserve">Introduction: How to Read This Document</w:t>
      </w:r>
      <w:bookmarkEnd w:id="1"/>
    </w:p>
    <w:p>
      <w:pPr>
        <w:spacing w:after="80" w:before="80"/>
      </w:pPr>
      <w:r>
        <w:rPr>
          <w:rFonts w:ascii="Arial" w:cs="Arial" w:eastAsia="Arial" w:hAnsi="Arial"/>
          <w:sz w:val="22"/>
          <w:szCs w:val="22"/>
        </w:rPr>
        <w:t xml:space="preserve">Every analysis in this project follows the same three-part structure:</w:t>
      </w:r>
    </w:p>
    <w:p>
      <w:pPr>
        <w:spacing w:after="80" w:before="80"/>
      </w:pPr>
      <w:r>
        <w:t xml:space="preserve"/>
      </w:r>
    </w:p>
    <w:p>
      <w:pPr>
        <w:pStyle w:val="ListParagraph"/>
        <w:numPr>
          <w:ilvl w:val="0"/>
          <w:numId w:val="2"/>
        </w:numPr>
        <w:spacing w:after="60" w:before="60"/>
      </w:pPr>
      <w:r>
        <w:rPr>
          <w:rFonts w:ascii="Arial" w:cs="Arial" w:eastAsia="Arial" w:hAnsi="Arial"/>
          <w:b/>
          <w:bCs/>
          <w:sz w:val="22"/>
          <w:szCs w:val="22"/>
        </w:rPr>
        <w:t xml:space="preserve">Plain English explanation: </w:t>
      </w:r>
      <w:r>
        <w:rPr>
          <w:rFonts w:ascii="Arial" w:cs="Arial" w:eastAsia="Arial" w:hAnsi="Arial"/>
          <w:sz w:val="22"/>
          <w:szCs w:val="22"/>
        </w:rPr>
        <w:t xml:space="preserve">What the calculation does, described as if to someone with no maths background.</w:t>
      </w:r>
    </w:p>
    <w:p>
      <w:pPr>
        <w:pStyle w:val="ListParagraph"/>
        <w:numPr>
          <w:ilvl w:val="0"/>
          <w:numId w:val="2"/>
        </w:numPr>
        <w:spacing w:after="60" w:before="60"/>
      </w:pPr>
      <w:r>
        <w:rPr>
          <w:rFonts w:ascii="Arial" w:cs="Arial" w:eastAsia="Arial" w:hAnsi="Arial"/>
          <w:b/>
          <w:bCs/>
          <w:sz w:val="22"/>
          <w:szCs w:val="22"/>
        </w:rPr>
        <w:t xml:space="preserve">Technical formula: </w:t>
      </w:r>
      <w:r>
        <w:rPr>
          <w:rFonts w:ascii="Arial" w:cs="Arial" w:eastAsia="Arial" w:hAnsi="Arial"/>
          <w:sz w:val="22"/>
          <w:szCs w:val="22"/>
        </w:rPr>
        <w:t xml:space="preserve">The formal mathematical notation used in the code.</w:t>
      </w:r>
    </w:p>
    <w:p>
      <w:pPr>
        <w:pStyle w:val="ListParagraph"/>
        <w:numPr>
          <w:ilvl w:val="0"/>
          <w:numId w:val="2"/>
        </w:numPr>
        <w:spacing w:after="60" w:before="60"/>
      </w:pPr>
      <w:r>
        <w:rPr>
          <w:rFonts w:ascii="Arial" w:cs="Arial" w:eastAsia="Arial" w:hAnsi="Arial"/>
          <w:b/>
          <w:bCs/>
          <w:sz w:val="22"/>
          <w:szCs w:val="22"/>
        </w:rPr>
        <w:t xml:space="preserve">Data consistency check: </w:t>
      </w:r>
      <w:r>
        <w:rPr>
          <w:rFonts w:ascii="Arial" w:cs="Arial" w:eastAsia="Arial" w:hAnsi="Arial"/>
          <w:sz w:val="22"/>
          <w:szCs w:val="22"/>
        </w:rPr>
        <w:t xml:space="preserve">Confirms that the inputs to this formula come from the same source and are compatible with the inputs used in adjacent formulas.</w:t>
      </w:r>
    </w:p>
    <w:p>
      <w:pPr>
        <w:spacing w:after="80" w:before="80"/>
      </w:pPr>
      <w:r>
        <w:t xml:space="preserve"/>
      </w:r>
    </w:p>
    <w:p>
      <w:pPr>
        <w:spacing w:after="80" w:before="80"/>
      </w:pPr>
      <w:r>
        <w:rPr>
          <w:rFonts w:ascii="Arial" w:cs="Arial" w:eastAsia="Arial" w:hAnsi="Arial"/>
          <w:sz w:val="22"/>
          <w:szCs w:val="22"/>
        </w:rPr>
        <w:t xml:space="preserve">Each section also flags any caveats — places where the formula makes an assumption, where the data has a known limitation, or where the result should be interpreted with care.</w:t>
      </w:r>
    </w:p>
    <w:p>
      <w:pPr>
        <w:spacing w:after="80" w:before="80"/>
      </w:pPr>
      <w:r>
        <w:t xml:space="preserve"/>
      </w:r>
    </w:p>
    <w:p>
      <w:pPr>
        <w:spacing w:after="80" w:before="80"/>
      </w:pPr>
      <w:r>
        <w:rPr>
          <w:rFonts w:ascii="Arial" w:cs="Arial" w:eastAsia="Arial" w:hAnsi="Arial"/>
          <w:sz w:val="22"/>
          <w:szCs w:val="22"/>
        </w:rPr>
        <w:t xml:space="preserve">A note on notation: variables in formulas use subscript notation where b = brand and z = zone. So R(b,z) means 'ratio for brand b in zone z'.</w:t>
      </w:r>
    </w:p>
    <w:p>
      <w:pPr>
        <w:pBdr>
          <w:bottom w:val="single" w:color="CCCCCC" w:sz="4" w:space="1"/>
        </w:pBdr>
        <w:spacing w:after="200" w:before="200"/>
      </w:pPr>
      <w:r>
        <w:t xml:space="preserve"/>
      </w:r>
    </w:p>
    <w:p>
      <w:pPr>
        <w:pStyle w:val="Heading1"/>
        <w:spacing w:after="160" w:before="400"/>
      </w:pPr>
      <w:bookmarkStart w:name="a1" w:id="1"/>
      <w:r>
        <w:rPr>
          <w:rFonts w:ascii="Arial" w:cs="Arial" w:eastAsia="Arial" w:hAnsi="Arial"/>
          <w:b/>
          <w:bCs/>
          <w:color w:val="1A3A5C"/>
          <w:sz w:val="32"/>
          <w:szCs w:val="32"/>
        </w:rPr>
        <w:t xml:space="preserve">Analysis 1: Service-to-Showroom Ratio</w:t>
      </w:r>
      <w:bookmarkEnd w:id="1"/>
    </w:p>
    <w:p>
      <w:pPr>
        <w:pStyle w:val="Heading2"/>
        <w:spacing w:after="120" w:before="280"/>
      </w:pPr>
      <w:bookmarkStart w:name="a1_1" w:id="1"/>
      <w:r>
        <w:rPr>
          <w:rFonts w:ascii="Arial" w:cs="Arial" w:eastAsia="Arial" w:hAnsi="Arial"/>
          <w:b/>
          <w:bCs/>
          <w:color w:val="2E5A8A"/>
          <w:sz w:val="26"/>
          <w:szCs w:val="26"/>
        </w:rPr>
        <w:t xml:space="preserve">1.1 Plain English</w:t>
      </w:r>
      <w:bookmarkEnd w:id="1"/>
    </w:p>
    <w:p>
      <w:pPr>
        <w:spacing w:after="80" w:before="80"/>
      </w:pPr>
      <w:r>
        <w:rPr>
          <w:rFonts w:ascii="Arial" w:cs="Arial" w:eastAsia="Arial" w:hAnsi="Arial"/>
          <w:sz w:val="22"/>
          <w:szCs w:val="22"/>
        </w:rPr>
        <w:t xml:space="preserve">For every brand in every zone, we ask a simple question: for every showroom selling motorcycles, how many service centers are there to maintain them? We divide the number of service centers by the number of showrooms to get a ratio. A ratio of 1.0 means perfect parity — one service center for every showroom. A ratio of 0.3 means there are only 3 service centers for every 10 showrooms.</w:t>
      </w:r>
    </w:p>
    <w:p>
      <w:pPr>
        <w:spacing w:after="80" w:before="80"/>
      </w:pPr>
      <w:r>
        <w:t xml:space="preserve"/>
      </w:r>
    </w:p>
    <w:p>
      <w:pPr>
        <w:spacing w:after="80" w:before="80"/>
      </w:pPr>
      <w:r>
        <w:rPr>
          <w:rFonts w:ascii="Arial" w:cs="Arial" w:eastAsia="Arial" w:hAnsi="Arial"/>
          <w:sz w:val="22"/>
          <w:szCs w:val="22"/>
        </w:rPr>
        <w:t xml:space="preserve">This ratio is the foundation of every other calculation in the project. Every downstream analysis — severity scoring, revenue leakage, correlation, expansion index — uses this ratio as its starting point.</w:t>
      </w:r>
    </w:p>
    <w:p>
      <w:pPr>
        <w:spacing w:after="80" w:before="80"/>
      </w:pPr>
      <w:r>
        <w:t xml:space="preserve"/>
      </w:r>
    </w:p>
    <w:p>
      <w:pPr>
        <w:pStyle w:val="Heading2"/>
        <w:spacing w:after="120" w:before="280"/>
      </w:pPr>
      <w:bookmarkStart w:name="a1_2" w:id="1"/>
      <w:r>
        <w:rPr>
          <w:rFonts w:ascii="Arial" w:cs="Arial" w:eastAsia="Arial" w:hAnsi="Arial"/>
          <w:b/>
          <w:bCs/>
          <w:color w:val="2E5A8A"/>
          <w:sz w:val="26"/>
          <w:szCs w:val="26"/>
        </w:rPr>
        <w:t xml:space="preserve">1.2 Technical Formula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Service-to-Showroom Ratio</w:t>
            </w:r>
          </w:p>
          <w:p>
            <w:pPr>
              <w:spacing w:before="80"/>
            </w:pPr>
            <w:r>
              <w:rPr>
                <w:rFonts w:ascii="Courier New" w:cs="Courier New" w:eastAsia="Courier New" w:hAnsi="Courier New"/>
                <w:b/>
                <w:bCs/>
                <w:color w:val="1A3A5C"/>
                <w:sz w:val="22"/>
                <w:szCs w:val="22"/>
              </w:rPr>
              <w:t xml:space="preserve">R(b,z) = SC(b,z) / SW(b,z)</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4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R(b,z)</w:t>
            </w:r>
          </w:p>
        </w:tc>
        <w:tc>
          <w:tcPr>
            <w:tcW w:type="dxa" w:w="4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Service-to-showroom ratio for brand b in zone z</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Calculated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SC(b,z)</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of service centers for brand b in zone z</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BikeWale scrape</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SW(b,z)</w:t>
            </w:r>
          </w:p>
        </w:tc>
        <w:tc>
          <w:tcPr>
            <w:tcW w:type="dxa" w:w="4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Count of showrooms for brand b in zone z</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BikeWale scrape</w:t>
            </w:r>
          </w:p>
        </w:tc>
      </w:tr>
    </w:tbl>
    <w:p>
      <w:pPr>
        <w:spacing w:after="80" w:before="80"/>
      </w:pPr>
      <w:r>
        <w:t xml:space="preserve"/>
      </w:r>
    </w:p>
    <w:p>
      <w:pPr>
        <w:spacing w:after="80" w:before="80"/>
      </w:pPr>
      <w:r>
        <w:rPr>
          <w:rFonts w:ascii="Arial" w:cs="Arial" w:eastAsia="Arial" w:hAnsi="Arial"/>
          <w:sz w:val="22"/>
          <w:szCs w:val="22"/>
        </w:rPr>
        <w:t xml:space="preserve">In Pandas: df['ratio'] = df['service_centers'] / df['showrooms']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thick" w:color="1A7A3A" w:sz="14"/>
              <w:bottom w:val="single" w:color="1A7A3A" w:sz="2"/>
              <w:right w:val="none" w:color="FFFFFF" w:sz="0"/>
            </w:tcBorders>
            <w:shd w:fill="EDFAF2" w:val="clear"/>
            <w:tcMar>
              <w:top w:type="dxa" w:w="100"/>
              <w:left w:type="dxa" w:w="200"/>
              <w:bottom w:type="dxa" w:w="100"/>
              <w:right w:type="dxa" w:w="120"/>
            </w:tcMar>
          </w:tcPr>
          <w:p>
            <w:r>
              <w:rPr>
                <w:rFonts w:ascii="Arial" w:cs="Arial" w:eastAsia="Arial" w:hAnsi="Arial"/>
                <w:b/>
                <w:bCs/>
                <w:color w:val="1A7A3A"/>
                <w:sz w:val="19"/>
                <w:szCs w:val="19"/>
              </w:rPr>
              <w:t xml:space="preserve">Data Consistency Check</w:t>
            </w:r>
          </w:p>
          <w:p>
            <w:pPr>
              <w:spacing w:before="60"/>
            </w:pPr>
            <w:r>
              <w:rPr>
                <w:rFonts w:ascii="Arial" w:cs="Arial" w:eastAsia="Arial" w:hAnsi="Arial"/>
                <w:color w:val="444444"/>
                <w:sz w:val="20"/>
                <w:szCs w:val="20"/>
              </w:rPr>
              <w:t xml:space="preserve">Both SC(b,z) and SW(b,z) come from the same BikeWale scrape, conducted on the same date, for the same set of cities aggregated into the same zone definitions. No cross-source merging is required for this calculation.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If a zone has zero showrooms for a brand (the brand does not operate there), the ratio is undefined (division by zero). These records must be filtered out before analysis. In practice, this occurs most frequently in the Northeast zone for niche brands like KTM.</w:t>
            </w:r>
          </w:p>
        </w:tc>
      </w:tr>
    </w:tbl>
    <w:p>
      <w:pPr>
        <w:pBdr>
          <w:bottom w:val="single" w:color="CCCCCC" w:sz="4" w:space="1"/>
        </w:pBdr>
        <w:spacing w:after="200" w:before="200"/>
      </w:pPr>
      <w:r>
        <w:t xml:space="preserve"/>
      </w:r>
    </w:p>
    <w:p>
      <w:pPr>
        <w:pStyle w:val="Heading1"/>
        <w:spacing w:after="160" w:before="400"/>
      </w:pPr>
      <w:bookmarkStart w:name="a2" w:id="1"/>
      <w:r>
        <w:rPr>
          <w:rFonts w:ascii="Arial" w:cs="Arial" w:eastAsia="Arial" w:hAnsi="Arial"/>
          <w:b/>
          <w:bCs/>
          <w:color w:val="1A3A5C"/>
          <w:sz w:val="32"/>
          <w:szCs w:val="32"/>
        </w:rPr>
        <w:t xml:space="preserve">Analysis 2: Brand Baseline Ratio</w:t>
      </w:r>
      <w:bookmarkEnd w:id="1"/>
    </w:p>
    <w:p>
      <w:pPr>
        <w:pStyle w:val="Heading2"/>
        <w:spacing w:after="120" w:before="280"/>
      </w:pPr>
      <w:bookmarkStart w:name="a2_1" w:id="1"/>
      <w:r>
        <w:rPr>
          <w:rFonts w:ascii="Arial" w:cs="Arial" w:eastAsia="Arial" w:hAnsi="Arial"/>
          <w:b/>
          <w:bCs/>
          <w:color w:val="2E5A8A"/>
          <w:sz w:val="26"/>
          <w:szCs w:val="26"/>
        </w:rPr>
        <w:t xml:space="preserve">2.1 Plain English</w:t>
      </w:r>
      <w:bookmarkEnd w:id="1"/>
    </w:p>
    <w:p>
      <w:pPr>
        <w:spacing w:after="80" w:before="80"/>
      </w:pPr>
      <w:r>
        <w:rPr>
          <w:rFonts w:ascii="Arial" w:cs="Arial" w:eastAsia="Arial" w:hAnsi="Arial"/>
          <w:sz w:val="22"/>
          <w:szCs w:val="22"/>
        </w:rPr>
        <w:t xml:space="preserve">Different brands naturally have different service architectures. Hero MotoCorp, with decades of network building, may have a national average ratio of 0.55. Royal Enfield, which grew rapidly in recent years, may only average 0.35. These are structurally different companies.</w:t>
      </w:r>
    </w:p>
    <w:p>
      <w:pPr>
        <w:spacing w:after="80" w:before="80"/>
      </w:pPr>
      <w:r>
        <w:t xml:space="preserve"/>
      </w:r>
    </w:p>
    <w:p>
      <w:pPr>
        <w:spacing w:after="80" w:before="80"/>
      </w:pPr>
      <w:r>
        <w:rPr>
          <w:rFonts w:ascii="Arial" w:cs="Arial" w:eastAsia="Arial" w:hAnsi="Arial"/>
          <w:sz w:val="22"/>
          <w:szCs w:val="22"/>
        </w:rPr>
        <w:t xml:space="preserve">If we compared Hero's Northeast ratio directly to Royal Enfield's Northeast ratio, we would be penalising Royal Enfield for being a younger network, not for being poorly distributed. So we compare each brand only to itself — specifically, to its own national average across all zones. The baseline is the brand's average ratio, and the deviation tells us whether a particular zone is above or below that brand's own standard.</w:t>
      </w:r>
    </w:p>
    <w:p>
      <w:pPr>
        <w:spacing w:after="80" w:before="80"/>
      </w:pPr>
      <w:r>
        <w:t xml:space="preserve"/>
      </w:r>
    </w:p>
    <w:p>
      <w:pPr>
        <w:pStyle w:val="Heading2"/>
        <w:spacing w:after="120" w:before="280"/>
      </w:pPr>
      <w:bookmarkStart w:name="a2_2" w:id="1"/>
      <w:r>
        <w:rPr>
          <w:rFonts w:ascii="Arial" w:cs="Arial" w:eastAsia="Arial" w:hAnsi="Arial"/>
          <w:b/>
          <w:bCs/>
          <w:color w:val="2E5A8A"/>
          <w:sz w:val="26"/>
          <w:szCs w:val="26"/>
        </w:rPr>
        <w:t xml:space="preserve">2.2 Technical Formula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Brand Baseline (national average ratio)</w:t>
            </w:r>
          </w:p>
          <w:p>
            <w:pPr>
              <w:spacing w:before="80"/>
            </w:pPr>
            <w:r>
              <w:rPr>
                <w:rFonts w:ascii="Courier New" w:cs="Courier New" w:eastAsia="Courier New" w:hAnsi="Courier New"/>
                <w:b/>
                <w:bCs/>
                <w:color w:val="1A3A5C"/>
                <w:sz w:val="22"/>
                <w:szCs w:val="22"/>
              </w:rPr>
              <w:t xml:space="preserve">B(b) = (1/Z) * SUM over all zones z of R(b,z)</w:t>
            </w:r>
          </w:p>
        </w:tc>
      </w:tr>
    </w:tbl>
    <w:p>
      <w:pPr>
        <w:spacing w:after="80" w:before="80"/>
      </w:pPr>
      <w:r>
        <w:t xml:space="preserve"/>
      </w:r>
    </w:p>
    <w:p>
      <w:pPr>
        <w:spacing w:after="80" w:before="80"/>
      </w:pPr>
      <w:r>
        <w:rPr>
          <w:rFonts w:ascii="Arial" w:cs="Arial" w:eastAsia="Arial" w:hAnsi="Arial"/>
          <w:sz w:val="22"/>
          <w:szCs w:val="22"/>
        </w:rPr>
        <w:t xml:space="preserve">Where Z is the number of zones in which brand b operates (excluding zones with zero showrooms).</w:t>
      </w:r>
    </w:p>
    <w:p>
      <w:pPr>
        <w:spacing w:after="80" w:before="80"/>
      </w:pPr>
      <w:r>
        <w:t xml:space="preserve"/>
      </w:r>
    </w:p>
    <w:p>
      <w:pPr>
        <w:spacing w:after="80" w:before="80"/>
      </w:pPr>
      <w:r>
        <w:rPr>
          <w:rFonts w:ascii="Arial" w:cs="Arial" w:eastAsia="Arial" w:hAnsi="Arial"/>
          <w:sz w:val="22"/>
          <w:szCs w:val="22"/>
        </w:rPr>
        <w:t xml:space="preserve">In Pandas: df['brand_baseline'] = df.groupby('brand')['ratio'].transform('mean')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thick" w:color="1A7A3A" w:sz="14"/>
              <w:bottom w:val="single" w:color="1A7A3A" w:sz="2"/>
              <w:right w:val="none" w:color="FFFFFF" w:sz="0"/>
            </w:tcBorders>
            <w:shd w:fill="EDFAF2" w:val="clear"/>
            <w:tcMar>
              <w:top w:type="dxa" w:w="100"/>
              <w:left w:type="dxa" w:w="200"/>
              <w:bottom w:type="dxa" w:w="100"/>
              <w:right w:type="dxa" w:w="120"/>
            </w:tcMar>
          </w:tcPr>
          <w:p>
            <w:r>
              <w:rPr>
                <w:rFonts w:ascii="Arial" w:cs="Arial" w:eastAsia="Arial" w:hAnsi="Arial"/>
                <w:b/>
                <w:bCs/>
                <w:color w:val="1A7A3A"/>
                <w:sz w:val="19"/>
                <w:szCs w:val="19"/>
              </w:rPr>
              <w:t xml:space="preserve">Data Consistency Check</w:t>
            </w:r>
          </w:p>
          <w:p>
            <w:pPr>
              <w:spacing w:before="60"/>
            </w:pPr>
            <w:r>
              <w:rPr>
                <w:rFonts w:ascii="Arial" w:cs="Arial" w:eastAsia="Arial" w:hAnsi="Arial"/>
                <w:color w:val="444444"/>
                <w:sz w:val="20"/>
                <w:szCs w:val="20"/>
              </w:rPr>
              <w:t xml:space="preserve">R(b,z) is computed in Analysis 1 from the same dataset. The groupby operation in Pandas ensures the baseline uses exactly the same set of brand-zone records as the ratio calculation — no additional data is introduced.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The baseline is an unweighted mean — each zone contributes equally regardless of how many showrooms it contains. A weighted mean (weighting by showroom count) would give more accurate results. Both versions should be computed and compared. If results differ significantly, report both.</w:t>
            </w:r>
          </w:p>
        </w:tc>
      </w:tr>
    </w:tbl>
    <w:p>
      <w:pPr>
        <w:pBdr>
          <w:bottom w:val="single" w:color="CCCCCC" w:sz="4" w:space="1"/>
        </w:pBdr>
        <w:spacing w:after="200" w:before="200"/>
      </w:pPr>
      <w:r>
        <w:t xml:space="preserve"/>
      </w:r>
    </w:p>
    <w:p>
      <w:pPr>
        <w:pStyle w:val="Heading1"/>
        <w:spacing w:after="160" w:before="400"/>
      </w:pPr>
      <w:bookmarkStart w:name="a3" w:id="1"/>
      <w:r>
        <w:rPr>
          <w:rFonts w:ascii="Arial" w:cs="Arial" w:eastAsia="Arial" w:hAnsi="Arial"/>
          <w:b/>
          <w:bCs/>
          <w:color w:val="1A3A5C"/>
          <w:sz w:val="32"/>
          <w:szCs w:val="32"/>
        </w:rPr>
        <w:t xml:space="preserve">Analysis 3: Deviation from Brand Baseline</w:t>
      </w:r>
      <w:bookmarkEnd w:id="1"/>
    </w:p>
    <w:p>
      <w:pPr>
        <w:pStyle w:val="Heading2"/>
        <w:spacing w:after="120" w:before="280"/>
      </w:pPr>
      <w:bookmarkStart w:name="a3_1" w:id="1"/>
      <w:r>
        <w:rPr>
          <w:rFonts w:ascii="Arial" w:cs="Arial" w:eastAsia="Arial" w:hAnsi="Arial"/>
          <w:b/>
          <w:bCs/>
          <w:color w:val="2E5A8A"/>
          <w:sz w:val="26"/>
          <w:szCs w:val="26"/>
        </w:rPr>
        <w:t xml:space="preserve">3.1 Plain English</w:t>
      </w:r>
      <w:bookmarkEnd w:id="1"/>
    </w:p>
    <w:p>
      <w:pPr>
        <w:spacing w:after="80" w:before="80"/>
      </w:pPr>
      <w:r>
        <w:rPr>
          <w:rFonts w:ascii="Arial" w:cs="Arial" w:eastAsia="Arial" w:hAnsi="Arial"/>
          <w:sz w:val="22"/>
          <w:szCs w:val="22"/>
        </w:rPr>
        <w:t xml:space="preserve">Once we know the brand's average ratio and a specific zone's ratio, the deviation tells us how far that zone is from the brand's own norm — expressed as a percentage. A deviation of -70% means the zone is 70% worse than the brand's own average. A deviation of +20% means it is 20% better.</w:t>
      </w:r>
    </w:p>
    <w:p>
      <w:pPr>
        <w:spacing w:after="80" w:before="80"/>
      </w:pPr>
      <w:r>
        <w:t xml:space="preserve"/>
      </w:r>
    </w:p>
    <w:p>
      <w:pPr>
        <w:spacing w:after="80" w:before="80"/>
      </w:pPr>
      <w:r>
        <w:rPr>
          <w:rFonts w:ascii="Arial" w:cs="Arial" w:eastAsia="Arial" w:hAnsi="Arial"/>
          <w:sz w:val="22"/>
          <w:szCs w:val="22"/>
        </w:rPr>
        <w:t xml:space="preserve">This percentage framing is important because it makes deviations comparable across brands. A drop of 0.1 in absolute ratio terms means something very different for a brand with a baseline of 0.2 versus one with a baseline of 0.8. The percentage deviation normalises this.</w:t>
      </w:r>
    </w:p>
    <w:p>
      <w:pPr>
        <w:spacing w:after="80" w:before="80"/>
      </w:pPr>
      <w:r>
        <w:t xml:space="preserve"/>
      </w:r>
    </w:p>
    <w:p>
      <w:pPr>
        <w:pStyle w:val="Heading2"/>
        <w:spacing w:after="120" w:before="280"/>
      </w:pPr>
      <w:bookmarkStart w:name="a3_2" w:id="1"/>
      <w:r>
        <w:rPr>
          <w:rFonts w:ascii="Arial" w:cs="Arial" w:eastAsia="Arial" w:hAnsi="Arial"/>
          <w:b/>
          <w:bCs/>
          <w:color w:val="2E5A8A"/>
          <w:sz w:val="26"/>
          <w:szCs w:val="26"/>
        </w:rPr>
        <w:t xml:space="preserve">3.2 Technical Formula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Percentage Deviation</w:t>
            </w:r>
          </w:p>
          <w:p>
            <w:pPr>
              <w:spacing w:before="80"/>
            </w:pPr>
            <w:r>
              <w:rPr>
                <w:rFonts w:ascii="Courier New" w:cs="Courier New" w:eastAsia="Courier New" w:hAnsi="Courier New"/>
                <w:b/>
                <w:bCs/>
                <w:color w:val="1A3A5C"/>
                <w:sz w:val="22"/>
                <w:szCs w:val="22"/>
              </w:rPr>
              <w:t xml:space="preserve">D(b,z) = ( R(b,z) - B(b) ) / B(b) * 100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7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D(b,z)</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Deviation for brand b in zone z (in percent)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R(b,z)</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ratio from Analysis 1</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B(b)</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Brand baseline from Analysis 2</w:t>
            </w:r>
          </w:p>
        </w:tc>
      </w:tr>
    </w:tbl>
    <w:p>
      <w:pPr>
        <w:spacing w:after="80" w:before="80"/>
      </w:pPr>
      <w:r>
        <w:t xml:space="preserve"/>
      </w:r>
    </w:p>
    <w:p>
      <w:pPr>
        <w:spacing w:after="80" w:before="80"/>
      </w:pPr>
      <w:r>
        <w:rPr>
          <w:rFonts w:ascii="Arial" w:cs="Arial" w:eastAsia="Arial" w:hAnsi="Arial"/>
          <w:sz w:val="22"/>
          <w:szCs w:val="22"/>
        </w:rPr>
        <w:t xml:space="preserve">Negative D(b,z) means underservice. Positive means overservice. In Pandas: df['deviation_pct'] = (df['ratio'] - df['brand_baseline']) / df['brand_baseline'] * 100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thick" w:color="1A7A3A" w:sz="14"/>
              <w:bottom w:val="single" w:color="1A7A3A" w:sz="2"/>
              <w:right w:val="none" w:color="FFFFFF" w:sz="0"/>
            </w:tcBorders>
            <w:shd w:fill="EDFAF2" w:val="clear"/>
            <w:tcMar>
              <w:top w:type="dxa" w:w="100"/>
              <w:left w:type="dxa" w:w="200"/>
              <w:bottom w:type="dxa" w:w="100"/>
              <w:right w:type="dxa" w:w="120"/>
            </w:tcMar>
          </w:tcPr>
          <w:p>
            <w:r>
              <w:rPr>
                <w:rFonts w:ascii="Arial" w:cs="Arial" w:eastAsia="Arial" w:hAnsi="Arial"/>
                <w:b/>
                <w:bCs/>
                <w:color w:val="1A7A3A"/>
                <w:sz w:val="19"/>
                <w:szCs w:val="19"/>
              </w:rPr>
              <w:t xml:space="preserve">Data Consistency Check</w:t>
            </w:r>
          </w:p>
          <w:p>
            <w:pPr>
              <w:spacing w:before="60"/>
            </w:pPr>
            <w:r>
              <w:rPr>
                <w:rFonts w:ascii="Arial" w:cs="Arial" w:eastAsia="Arial" w:hAnsi="Arial"/>
                <w:color w:val="444444"/>
                <w:sz w:val="20"/>
                <w:szCs w:val="20"/>
              </w:rPr>
              <w:t xml:space="preserve">R(b,z) and B(b) are both derived from the same BikeWale scrape. B(b) is calculated from the same set of R(b,z) values. There is no inconsistency — this is purely derived from Analysis 1 and 2.</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Deviation is sensitive to the baseline. If one zone has extremely high service density (an outlier), it inflates B(b) and makes all other zones look worse. Check for outliers in R(b,z) before computing the baseline.</w:t>
            </w:r>
          </w:p>
        </w:tc>
      </w:tr>
    </w:tbl>
    <w:p>
      <w:pPr>
        <w:pBdr>
          <w:bottom w:val="single" w:color="CCCCCC" w:sz="4" w:space="1"/>
        </w:pBdr>
        <w:spacing w:after="200" w:before="200"/>
      </w:pPr>
      <w:r>
        <w:t xml:space="preserve"/>
      </w:r>
    </w:p>
    <w:p>
      <w:pPr>
        <w:pStyle w:val="Heading1"/>
        <w:spacing w:after="160" w:before="400"/>
      </w:pPr>
      <w:bookmarkStart w:name="a4" w:id="1"/>
      <w:r>
        <w:rPr>
          <w:rFonts w:ascii="Arial" w:cs="Arial" w:eastAsia="Arial" w:hAnsi="Arial"/>
          <w:b/>
          <w:bCs/>
          <w:color w:val="1A3A5C"/>
          <w:sz w:val="32"/>
          <w:szCs w:val="32"/>
        </w:rPr>
        <w:t xml:space="preserve">Analysis 4: Bottleneck Severity Classification</w:t>
      </w:r>
      <w:bookmarkEnd w:id="1"/>
    </w:p>
    <w:p>
      <w:pPr>
        <w:pStyle w:val="Heading2"/>
        <w:spacing w:after="120" w:before="280"/>
      </w:pPr>
      <w:bookmarkStart w:name="a4_1" w:id="1"/>
      <w:r>
        <w:rPr>
          <w:rFonts w:ascii="Arial" w:cs="Arial" w:eastAsia="Arial" w:hAnsi="Arial"/>
          <w:b/>
          <w:bCs/>
          <w:color w:val="2E5A8A"/>
          <w:sz w:val="26"/>
          <w:szCs w:val="26"/>
        </w:rPr>
        <w:t xml:space="preserve">4.1 Plain English</w:t>
      </w:r>
      <w:bookmarkEnd w:id="1"/>
    </w:p>
    <w:p>
      <w:pPr>
        <w:spacing w:after="80" w:before="80"/>
      </w:pPr>
      <w:r>
        <w:rPr>
          <w:rFonts w:ascii="Arial" w:cs="Arial" w:eastAsia="Arial" w:hAnsi="Arial"/>
          <w:sz w:val="22"/>
          <w:szCs w:val="22"/>
        </w:rPr>
        <w:t xml:space="preserve">The deviation score gives a continuous number. For communication purposes — especially in maps and presentations — we convert this into three severity buckets: mild, moderate, and severe. A zone is only flagged as a bottleneck if its deviation is negative (it is underperforming the brand average) and crosses a minimum threshold.</w:t>
      </w:r>
    </w:p>
    <w:p>
      <w:pPr>
        <w:spacing w:after="80" w:before="80"/>
      </w:pPr>
      <w:r>
        <w:t xml:space="preserve"/>
      </w:r>
    </w:p>
    <w:p>
      <w:pPr>
        <w:pStyle w:val="Heading2"/>
        <w:spacing w:after="120" w:before="280"/>
      </w:pPr>
      <w:bookmarkStart w:name="a4_2" w:id="1"/>
      <w:r>
        <w:rPr>
          <w:rFonts w:ascii="Arial" w:cs="Arial" w:eastAsia="Arial" w:hAnsi="Arial"/>
          <w:b/>
          <w:bCs/>
          <w:color w:val="2E5A8A"/>
          <w:sz w:val="26"/>
          <w:szCs w:val="26"/>
        </w:rPr>
        <w:t xml:space="preserve">4.2 Technical Formula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Severity Classification</w:t>
            </w:r>
          </w:p>
          <w:p>
            <w:pPr>
              <w:spacing w:before="80"/>
            </w:pPr>
            <w:r>
              <w:rPr>
                <w:rFonts w:ascii="Courier New" w:cs="Courier New" w:eastAsia="Courier New" w:hAnsi="Courier New"/>
                <w:b/>
                <w:bCs/>
                <w:color w:val="1A3A5C"/>
                <w:sz w:val="22"/>
                <w:szCs w:val="22"/>
              </w:rPr>
              <w:t xml:space="preserve">If D(b,z) &gt;= -30%  -&gt; No bottleneck
If -50% &lt;= D(b,z) &lt; -30%  -&gt; Mild
If -70% &lt;= D(b,z) &lt; -50%  -&gt; Moderate
If D(b,z) &lt; -70%  -&gt; Severe</w:t>
            </w:r>
          </w:p>
        </w:tc>
      </w:tr>
    </w:tbl>
    <w:p>
      <w:pPr>
        <w:spacing w:after="80" w:before="80"/>
      </w:pPr>
      <w:r>
        <w:t xml:space="preserve"/>
      </w:r>
    </w:p>
    <w:p>
      <w:pPr>
        <w:spacing w:after="80" w:before="80"/>
      </w:pPr>
      <w:r>
        <w:rPr>
          <w:rFonts w:ascii="Arial" w:cs="Arial" w:eastAsia="Arial" w:hAnsi="Arial"/>
          <w:sz w:val="22"/>
          <w:szCs w:val="22"/>
        </w:rPr>
        <w:t xml:space="preserve">In Pandas:</w:t>
      </w:r>
    </w:p>
    <w:p>
      <w:pPr>
        <w:spacing w:after="80" w:before="80"/>
      </w:pPr>
      <w:r>
        <w:rPr>
          <w:rFonts w:ascii="Arial" w:cs="Arial" w:eastAsia="Arial" w:hAnsi="Arial"/>
          <w:sz w:val="22"/>
          <w:szCs w:val="22"/>
        </w:rPr>
        <w:t xml:space="preserve">conditions = [D &gt;= -30, (D &gt;= -50) &amp; (D &lt; -30), (D &gt;= -70) &amp; (D &lt; -50), D &lt; -70]</w:t>
      </w:r>
    </w:p>
    <w:p>
      <w:pPr>
        <w:spacing w:after="80" w:before="80"/>
      </w:pPr>
      <w:r>
        <w:rPr>
          <w:rFonts w:ascii="Arial" w:cs="Arial" w:eastAsia="Arial" w:hAnsi="Arial"/>
          <w:sz w:val="22"/>
          <w:szCs w:val="22"/>
        </w:rPr>
        <w:t xml:space="preserve">labels = ['None', 'Mild', 'Moderate', 'Severe']</w:t>
      </w:r>
    </w:p>
    <w:p>
      <w:pPr>
        <w:spacing w:after="80" w:before="80"/>
      </w:pPr>
      <w:r>
        <w:rPr>
          <w:rFonts w:ascii="Arial" w:cs="Arial" w:eastAsia="Arial" w:hAnsi="Arial"/>
          <w:sz w:val="22"/>
          <w:szCs w:val="22"/>
        </w:rPr>
        <w:t xml:space="preserve">df['severity'] = np.select(conditions, labels)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thick" w:color="1A7A3A" w:sz="14"/>
              <w:bottom w:val="single" w:color="1A7A3A" w:sz="2"/>
              <w:right w:val="none" w:color="FFFFFF" w:sz="0"/>
            </w:tcBorders>
            <w:shd w:fill="EDFAF2" w:val="clear"/>
            <w:tcMar>
              <w:top w:type="dxa" w:w="100"/>
              <w:left w:type="dxa" w:w="200"/>
              <w:bottom w:type="dxa" w:w="100"/>
              <w:right w:type="dxa" w:w="120"/>
            </w:tcMar>
          </w:tcPr>
          <w:p>
            <w:r>
              <w:rPr>
                <w:rFonts w:ascii="Arial" w:cs="Arial" w:eastAsia="Arial" w:hAnsi="Arial"/>
                <w:b/>
                <w:bCs/>
                <w:color w:val="1A7A3A"/>
                <w:sz w:val="19"/>
                <w:szCs w:val="19"/>
              </w:rPr>
              <w:t xml:space="preserve">Data Consistency Check</w:t>
            </w:r>
          </w:p>
          <w:p>
            <w:pPr>
              <w:spacing w:before="60"/>
            </w:pPr>
            <w:r>
              <w:rPr>
                <w:rFonts w:ascii="Arial" w:cs="Arial" w:eastAsia="Arial" w:hAnsi="Arial"/>
                <w:color w:val="444444"/>
                <w:sz w:val="20"/>
                <w:szCs w:val="20"/>
              </w:rPr>
              <w:t xml:space="preserve">Severity is computed directly from D(b,z) from Analysis 3. No new data is introduced. The same brand-zone rows used throughout.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The thresholds (-30%, -50%, -70%) are modelling choices, not statistical benchmarks. The report should be run at three different threshold sets to demonstrate that the top bottlenecks appear consistently regardless of where the lines are drawn. If a zone only becomes 'severe' under the loosest threshold, it should not be headlined as a key finding.</w:t>
            </w:r>
          </w:p>
        </w:tc>
      </w:tr>
    </w:tbl>
    <w:p>
      <w:pPr>
        <w:pBdr>
          <w:bottom w:val="single" w:color="CCCCCC" w:sz="4" w:space="1"/>
        </w:pBdr>
        <w:spacing w:after="200" w:before="200"/>
      </w:pPr>
      <w:r>
        <w:t xml:space="preserve"/>
      </w:r>
    </w:p>
    <w:p>
      <w:pPr>
        <w:pStyle w:val="Heading1"/>
        <w:spacing w:after="160" w:before="400"/>
      </w:pPr>
      <w:bookmarkStart w:name="a5" w:id="1"/>
      <w:r>
        <w:rPr>
          <w:rFonts w:ascii="Arial" w:cs="Arial" w:eastAsia="Arial" w:hAnsi="Arial"/>
          <w:b/>
          <w:bCs/>
          <w:color w:val="1A3A5C"/>
          <w:sz w:val="32"/>
          <w:szCs w:val="32"/>
        </w:rPr>
        <w:t xml:space="preserve">Analysis 5: Revenue Leakage Estimate</w:t>
      </w:r>
      <w:bookmarkEnd w:id="1"/>
    </w:p>
    <w:p>
      <w:pPr>
        <w:pStyle w:val="Heading2"/>
        <w:spacing w:after="120" w:before="280"/>
      </w:pPr>
      <w:bookmarkStart w:name="a5_1" w:id="1"/>
      <w:r>
        <w:rPr>
          <w:rFonts w:ascii="Arial" w:cs="Arial" w:eastAsia="Arial" w:hAnsi="Arial"/>
          <w:b/>
          <w:bCs/>
          <w:color w:val="2E5A8A"/>
          <w:sz w:val="26"/>
          <w:szCs w:val="26"/>
        </w:rPr>
        <w:t xml:space="preserve">5.1 Plain English</w:t>
      </w:r>
      <w:bookmarkEnd w:id="1"/>
    </w:p>
    <w:p>
      <w:pPr>
        <w:spacing w:after="80" w:before="80"/>
      </w:pPr>
      <w:r>
        <w:rPr>
          <w:rFonts w:ascii="Arial" w:cs="Arial" w:eastAsia="Arial" w:hAnsi="Arial"/>
          <w:sz w:val="22"/>
          <w:szCs w:val="22"/>
        </w:rPr>
        <w:t xml:space="preserve">To estimate the money a brand is losing in a bottlenecked zone, we ask: what if that zone performed as well as the brand's best zones? The gap between what a zone actually sells per showroom and what a healthy zone sells per showroom — multiplied by the number of showrooms in the bottlenecked zone and by the price of a typical bike — gives us the rupee estimate of lost revenue.</w:t>
      </w:r>
    </w:p>
    <w:p>
      <w:pPr>
        <w:spacing w:after="80" w:before="80"/>
      </w:pPr>
      <w:r>
        <w:t xml:space="preserve"/>
      </w:r>
    </w:p>
    <w:p>
      <w:pPr>
        <w:spacing w:after="80" w:before="80"/>
      </w:pPr>
      <w:r>
        <w:rPr>
          <w:rFonts w:ascii="Arial" w:cs="Arial" w:eastAsia="Arial" w:hAnsi="Arial"/>
          <w:sz w:val="22"/>
          <w:szCs w:val="22"/>
        </w:rPr>
        <w:t xml:space="preserve">This is a counterfactual estimate. It answers 'how much more could this zone be generating?' — not 'how much has already been lost.' The distinction matters for how the finding is communicated.</w:t>
      </w:r>
    </w:p>
    <w:p>
      <w:pPr>
        <w:spacing w:after="80" w:before="80"/>
      </w:pPr>
      <w:r>
        <w:t xml:space="preserve"/>
      </w:r>
    </w:p>
    <w:p>
      <w:pPr>
        <w:pStyle w:val="Heading2"/>
        <w:spacing w:after="120" w:before="280"/>
      </w:pPr>
      <w:bookmarkStart w:name="a5_2" w:id="1"/>
      <w:r>
        <w:rPr>
          <w:rFonts w:ascii="Arial" w:cs="Arial" w:eastAsia="Arial" w:hAnsi="Arial"/>
          <w:b/>
          <w:bCs/>
          <w:color w:val="2E5A8A"/>
          <w:sz w:val="26"/>
          <w:szCs w:val="26"/>
        </w:rPr>
        <w:t xml:space="preserve">5.2 Technical Formula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Sales per showroom per zone</w:t>
            </w:r>
          </w:p>
          <w:p>
            <w:pPr>
              <w:spacing w:before="80"/>
            </w:pPr>
            <w:r>
              <w:rPr>
                <w:rFonts w:ascii="Courier New" w:cs="Courier New" w:eastAsia="Courier New" w:hAnsi="Courier New"/>
                <w:b/>
                <w:bCs/>
                <w:color w:val="1A3A5C"/>
                <w:sz w:val="22"/>
                <w:szCs w:val="22"/>
              </w:rPr>
              <w:t xml:space="preserve">SPsW(b,z) = UNITS(b,z) / SW(b,z)</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Healthy benchmark (mean of non-bottleneck zones)</w:t>
            </w:r>
          </w:p>
          <w:p>
            <w:pPr>
              <w:spacing w:before="80"/>
            </w:pPr>
            <w:r>
              <w:rPr>
                <w:rFonts w:ascii="Courier New" w:cs="Courier New" w:eastAsia="Courier New" w:hAnsi="Courier New"/>
                <w:b/>
                <w:bCs/>
                <w:color w:val="1A3A5C"/>
                <w:sz w:val="22"/>
                <w:szCs w:val="22"/>
              </w:rPr>
              <w:t xml:space="preserve">H(b) = mean of SPsW(b,z) for all z where severity = 'None'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Unit gap per showroom</w:t>
            </w:r>
          </w:p>
          <w:p>
            <w:pPr>
              <w:spacing w:before="80"/>
            </w:pPr>
            <w:r>
              <w:rPr>
                <w:rFonts w:ascii="Courier New" w:cs="Courier New" w:eastAsia="Courier New" w:hAnsi="Courier New"/>
                <w:b/>
                <w:bCs/>
                <w:color w:val="1A3A5C"/>
                <w:sz w:val="22"/>
                <w:szCs w:val="22"/>
              </w:rPr>
              <w:t xml:space="preserve">GAP(b,z) = H(b) - SPsW(b,z)     [only calculated where GAP &gt; 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Revenue leakage estimate</w:t>
            </w:r>
          </w:p>
          <w:p>
            <w:pPr>
              <w:spacing w:before="80"/>
            </w:pPr>
            <w:r>
              <w:rPr>
                <w:rFonts w:ascii="Courier New" w:cs="Courier New" w:eastAsia="Courier New" w:hAnsi="Courier New"/>
                <w:b/>
                <w:bCs/>
                <w:color w:val="1A3A5C"/>
                <w:sz w:val="22"/>
                <w:szCs w:val="22"/>
              </w:rPr>
              <w:t xml:space="preserve">LEAK(b,z) = GAP(b,z) * SW(b,z) * ASP(b)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4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UNITS(b,z)</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Units sold by brand b in zone z (annual)</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FADA state-wise retail data, aggregated to zone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SW(b,z)</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Showroom count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BikeWale scrape (Analysis 1)</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SPsW(b,z)</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Sales per showroom in zone z</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Calculated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Healthy benchmark: avg sales/showroom in non-bottleneck zones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Calculated</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GAP(b,z)</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Shortfall in sales per showroom</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Calculated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ASP(b)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selling price for brand b (rupees)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annual report: Revenue / Units sold</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LEAK(b,z)</w:t>
            </w:r>
          </w:p>
        </w:tc>
        <w:tc>
          <w:tcPr>
            <w:tcW w:type="dxa" w:w="4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Estimated annual revenue leakage (rupees)</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Final output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thick" w:color="1A7A3A" w:sz="14"/>
              <w:bottom w:val="single" w:color="1A7A3A" w:sz="2"/>
              <w:right w:val="none" w:color="FFFFFF" w:sz="0"/>
            </w:tcBorders>
            <w:shd w:fill="EDFAF2" w:val="clear"/>
            <w:tcMar>
              <w:top w:type="dxa" w:w="100"/>
              <w:left w:type="dxa" w:w="200"/>
              <w:bottom w:type="dxa" w:w="100"/>
              <w:right w:type="dxa" w:w="120"/>
            </w:tcMar>
          </w:tcPr>
          <w:p>
            <w:r>
              <w:rPr>
                <w:rFonts w:ascii="Arial" w:cs="Arial" w:eastAsia="Arial" w:hAnsi="Arial"/>
                <w:b/>
                <w:bCs/>
                <w:color w:val="1A7A3A"/>
                <w:sz w:val="19"/>
                <w:szCs w:val="19"/>
              </w:rPr>
              <w:t xml:space="preserve">Data Consistency Check</w:t>
            </w:r>
          </w:p>
          <w:p>
            <w:pPr>
              <w:spacing w:before="60"/>
            </w:pPr>
            <w:r>
              <w:rPr>
                <w:rFonts w:ascii="Arial" w:cs="Arial" w:eastAsia="Arial" w:hAnsi="Arial"/>
                <w:color w:val="444444"/>
                <w:sz w:val="20"/>
                <w:szCs w:val="20"/>
              </w:rPr>
              <w:t xml:space="preserve">SW(b,z) is shared directly from Analysis 1. UNITS(b,z) comes from a different source (FADA) but is mapped to the same zone definitions. The zone mapping must use identical state-to-zone assignment for both the BikeWale scrape and the FADA data — this is a critical consistency requirement. ASP(b) is a single scalar per brand per year, applied uniformly.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Three assumptions are embedded in this estimate: (1) that the healthy zone benchmark is achievable in the bottlenecked zone, (2) that the only reason the zone underperforms is service scarcity, and (3) that ASP is uniform across zones. All three are simplifications. The report must present LEAK(b,z) as an upper-bound estimate and acknowledge that actual recoverable revenue would be lower.</w:t>
            </w:r>
          </w:p>
        </w:tc>
      </w:tr>
    </w:tbl>
    <w:p>
      <w:pPr>
        <w:pBdr>
          <w:bottom w:val="single" w:color="CCCCCC" w:sz="4" w:space="1"/>
        </w:pBdr>
        <w:spacing w:after="200" w:before="200"/>
      </w:pPr>
      <w:r>
        <w:t xml:space="preserve"/>
      </w:r>
    </w:p>
    <w:p>
      <w:pPr>
        <w:pStyle w:val="Heading1"/>
        <w:spacing w:after="160" w:before="400"/>
      </w:pPr>
      <w:bookmarkStart w:name="a6" w:id="1"/>
      <w:r>
        <w:rPr>
          <w:rFonts w:ascii="Arial" w:cs="Arial" w:eastAsia="Arial" w:hAnsi="Arial"/>
          <w:b/>
          <w:bCs/>
          <w:color w:val="1A3A5C"/>
          <w:sz w:val="32"/>
          <w:szCs w:val="32"/>
        </w:rPr>
        <w:t xml:space="preserve">Analysis 6: Pearson Correlation (Service Ratio vs. Sales Volume)</w:t>
      </w:r>
      <w:bookmarkEnd w:id="1"/>
    </w:p>
    <w:p>
      <w:pPr>
        <w:pStyle w:val="Heading2"/>
        <w:spacing w:after="120" w:before="280"/>
      </w:pPr>
      <w:bookmarkStart w:name="a6_1" w:id="1"/>
      <w:r>
        <w:rPr>
          <w:rFonts w:ascii="Arial" w:cs="Arial" w:eastAsia="Arial" w:hAnsi="Arial"/>
          <w:b/>
          <w:bCs/>
          <w:color w:val="2E5A8A"/>
          <w:sz w:val="26"/>
          <w:szCs w:val="26"/>
        </w:rPr>
        <w:t xml:space="preserve">6.1 Plain English</w:t>
      </w:r>
      <w:bookmarkEnd w:id="1"/>
    </w:p>
    <w:p>
      <w:pPr>
        <w:spacing w:after="80" w:before="80"/>
      </w:pPr>
      <w:r>
        <w:rPr>
          <w:rFonts w:ascii="Arial" w:cs="Arial" w:eastAsia="Arial" w:hAnsi="Arial"/>
          <w:sz w:val="22"/>
          <w:szCs w:val="22"/>
        </w:rPr>
        <w:t xml:space="preserve">Correlation measures whether two things tend to move together. Here, the question is: in zones where the service-to-showroom ratio is higher, do brands also tend to sell more motorcycles? If yes, the correlation is positive. If zones with better service also tend to sell more, that supports the project's central argument.</w:t>
      </w:r>
    </w:p>
    <w:p>
      <w:pPr>
        <w:spacing w:after="80" w:before="80"/>
      </w:pPr>
      <w:r>
        <w:t xml:space="preserve"/>
      </w:r>
    </w:p>
    <w:p>
      <w:pPr>
        <w:spacing w:after="80" w:before="80"/>
      </w:pPr>
      <w:r>
        <w:rPr>
          <w:rFonts w:ascii="Arial" w:cs="Arial" w:eastAsia="Arial" w:hAnsi="Arial"/>
          <w:sz w:val="22"/>
          <w:szCs w:val="22"/>
        </w:rPr>
        <w:t xml:space="preserve">The Pearson r coefficient is a number between -1 and +1. A value above +0.6 indicates a strong positive relationship. The p-value tells us whether the result could be due to chance — p &lt; 0.05 means there is less than a 5% probability the relationship is random.</w:t>
      </w:r>
    </w:p>
    <w:p>
      <w:pPr>
        <w:spacing w:after="80" w:before="80"/>
      </w:pPr>
      <w:r>
        <w:t xml:space="preserve"/>
      </w:r>
    </w:p>
    <w:p>
      <w:pPr>
        <w:pStyle w:val="Heading2"/>
        <w:spacing w:after="120" w:before="280"/>
      </w:pPr>
      <w:bookmarkStart w:name="a6_2" w:id="1"/>
      <w:r>
        <w:rPr>
          <w:rFonts w:ascii="Arial" w:cs="Arial" w:eastAsia="Arial" w:hAnsi="Arial"/>
          <w:b/>
          <w:bCs/>
          <w:color w:val="2E5A8A"/>
          <w:sz w:val="26"/>
          <w:szCs w:val="26"/>
        </w:rPr>
        <w:t xml:space="preserve">6.2 Technical Formula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Pearson Correlation Coefficient</w:t>
            </w:r>
          </w:p>
          <w:p>
            <w:pPr>
              <w:spacing w:before="80"/>
            </w:pPr>
            <w:r>
              <w:rPr>
                <w:rFonts w:ascii="Courier New" w:cs="Courier New" w:eastAsia="Courier New" w:hAnsi="Courier New"/>
                <w:b/>
                <w:bCs/>
                <w:color w:val="1A3A5C"/>
                <w:sz w:val="22"/>
                <w:szCs w:val="22"/>
              </w:rPr>
              <w:t xml:space="preserve">r = SUM[(R_i - R_mean)(U_i - U_mean)] / SQRT[SUM(R_i-R_mean)^2 * SUM(U_i-U_mean)^2]</w:t>
            </w:r>
          </w:p>
        </w:tc>
      </w:tr>
    </w:tbl>
    <w:p>
      <w:pPr>
        <w:spacing w:after="80" w:before="80"/>
      </w:pPr>
      <w:r>
        <w:t xml:space="preserve"/>
      </w:r>
    </w:p>
    <w:p>
      <w:pPr>
        <w:spacing w:after="80" w:before="80"/>
      </w:pPr>
      <w:r>
        <w:rPr>
          <w:rFonts w:ascii="Arial" w:cs="Arial" w:eastAsia="Arial" w:hAnsi="Arial"/>
          <w:sz w:val="22"/>
          <w:szCs w:val="22"/>
        </w:rPr>
        <w:t xml:space="preserve">Where R_i = service ratio for zone i, U_i = units sold in zone i. The test is run separately for each brand, treating each zone as one data point.</w:t>
      </w:r>
    </w:p>
    <w:p>
      <w:pPr>
        <w:spacing w:after="80" w:before="80"/>
      </w:pPr>
      <w:r>
        <w:t xml:space="preserve"/>
      </w:r>
    </w:p>
    <w:p>
      <w:pPr>
        <w:spacing w:after="80" w:before="80"/>
      </w:pPr>
      <w:r>
        <w:rPr>
          <w:rFonts w:ascii="Arial" w:cs="Arial" w:eastAsia="Arial" w:hAnsi="Arial"/>
          <w:sz w:val="22"/>
          <w:szCs w:val="22"/>
        </w:rPr>
        <w:t xml:space="preserve">In Python (SciPy): r, p_value = scipy.stats.pearsonr(df_brand['ratio'], df_brand['units_sold'])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c>
          <w:tcPr>
            <w:tcW w:type="dxa" w:w="6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 &gt; 0.6, p &lt; 0.05</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Strong positive correlation — service density and sales volume move together. Supports the hypothesis.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 &lt; r &lt; 0.6, p &lt; 0.05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positive correlation — some relationship exists but other factors also play a role.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 &lt; 0.3 or p &gt;= 0.05</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Weak or statistically insignificant — cannot conclude a systematic relationship from this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&lt; 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 correlation — higher service density associates with lower sales. Investigate for confounders (e.g. brand may have built service centers after sales fell).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thick" w:color="1A7A3A" w:sz="14"/>
              <w:bottom w:val="single" w:color="1A7A3A" w:sz="2"/>
              <w:right w:val="none" w:color="FFFFFF" w:sz="0"/>
            </w:tcBorders>
            <w:shd w:fill="EDFAF2" w:val="clear"/>
            <w:tcMar>
              <w:top w:type="dxa" w:w="100"/>
              <w:left w:type="dxa" w:w="200"/>
              <w:bottom w:type="dxa" w:w="100"/>
              <w:right w:type="dxa" w:w="120"/>
            </w:tcMar>
          </w:tcPr>
          <w:p>
            <w:r>
              <w:rPr>
                <w:rFonts w:ascii="Arial" w:cs="Arial" w:eastAsia="Arial" w:hAnsi="Arial"/>
                <w:b/>
                <w:bCs/>
                <w:color w:val="1A7A3A"/>
                <w:sz w:val="19"/>
                <w:szCs w:val="19"/>
              </w:rPr>
              <w:t xml:space="preserve">Data Consistency Check</w:t>
            </w:r>
          </w:p>
          <w:p>
            <w:pPr>
              <w:spacing w:before="60"/>
            </w:pPr>
            <w:r>
              <w:rPr>
                <w:rFonts w:ascii="Arial" w:cs="Arial" w:eastAsia="Arial" w:hAnsi="Arial"/>
                <w:color w:val="444444"/>
                <w:sz w:val="20"/>
                <w:szCs w:val="20"/>
              </w:rPr>
              <w:t xml:space="preserve">R(b,z) comes from Analysis 1. UNITS(b,z) comes from FADA data mapped to the same zone definitions. The critical consistency requirement is that both datasets use the same 6-zone structure with identical state assignments. A mismatch in zone mapping would silently corrupt the correlation.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With only 6 zones per brand, the sample size is very small for a statistical test. Pearson r with n=6 requires r &gt; 0.71 to achieve p &lt; 0.05. Results will frequently be directionally interesting but not statistically significant. This does not invalidate the finding — it should be reported as indicative evidence rather than a proven causal relationship. The project should combine the correlation evidence with the revenue leakage estimate to build a holistic argument.</w:t>
            </w:r>
          </w:p>
        </w:tc>
      </w:tr>
    </w:tbl>
    <w:p>
      <w:pPr>
        <w:pBdr>
          <w:bottom w:val="single" w:color="CCCCCC" w:sz="4" w:space="1"/>
        </w:pBdr>
        <w:spacing w:after="200" w:before="200"/>
      </w:pPr>
      <w:r>
        <w:t xml:space="preserve"/>
      </w:r>
    </w:p>
    <w:p>
      <w:pPr>
        <w:pStyle w:val="Heading1"/>
        <w:spacing w:after="160" w:before="400"/>
      </w:pPr>
      <w:bookmarkStart w:name="a7" w:id="1"/>
      <w:r>
        <w:rPr>
          <w:rFonts w:ascii="Arial" w:cs="Arial" w:eastAsia="Arial" w:hAnsi="Arial"/>
          <w:b/>
          <w:bCs/>
          <w:color w:val="1A3A5C"/>
          <w:sz w:val="32"/>
          <w:szCs w:val="32"/>
        </w:rPr>
        <w:t xml:space="preserve">Analysis 7: Expansion Priority Index</w:t>
      </w:r>
      <w:bookmarkEnd w:id="1"/>
    </w:p>
    <w:p>
      <w:pPr>
        <w:pStyle w:val="Heading2"/>
        <w:spacing w:after="120" w:before="280"/>
      </w:pPr>
      <w:bookmarkStart w:name="a7_1" w:id="1"/>
      <w:r>
        <w:rPr>
          <w:rFonts w:ascii="Arial" w:cs="Arial" w:eastAsia="Arial" w:hAnsi="Arial"/>
          <w:b/>
          <w:bCs/>
          <w:color w:val="2E5A8A"/>
          <w:sz w:val="26"/>
          <w:szCs w:val="26"/>
        </w:rPr>
        <w:t xml:space="preserve">7.1 Plain English</w:t>
      </w:r>
      <w:bookmarkEnd w:id="1"/>
    </w:p>
    <w:p>
      <w:pPr>
        <w:spacing w:after="80" w:before="80"/>
      </w:pPr>
      <w:r>
        <w:rPr>
          <w:rFonts w:ascii="Arial" w:cs="Arial" w:eastAsia="Arial" w:hAnsi="Arial"/>
          <w:sz w:val="22"/>
          <w:szCs w:val="22"/>
        </w:rPr>
        <w:t xml:space="preserve">The bottleneck map tells us where problems exist. The expansion priority index tells us where to fix them first. Two factors matter: how bad the bottleneck is (the deviation score), and how much commercial opportunity exists there (the sales volume). A zone with a severe bottleneck but very low sales volume is not the first place to invest. A zone with a moderate bottleneck and very high sales volume is a much more urgent priority.</w:t>
      </w:r>
    </w:p>
    <w:p>
      <w:pPr>
        <w:spacing w:after="80" w:before="80"/>
      </w:pPr>
      <w:r>
        <w:t xml:space="preserve"/>
      </w:r>
    </w:p>
    <w:p>
      <w:pPr>
        <w:spacing w:after="80" w:before="80"/>
      </w:pPr>
      <w:r>
        <w:rPr>
          <w:rFonts w:ascii="Arial" w:cs="Arial" w:eastAsia="Arial" w:hAnsi="Arial"/>
          <w:sz w:val="22"/>
          <w:szCs w:val="22"/>
        </w:rPr>
        <w:t xml:space="preserve">The index combines these two factors into a single score. Each factor is normalised to a 0-1 scale first, then combined with equal weight. Optionally, the weights can be adjusted — for example, a brand that prioritises commercial return might weight sales volume higher.</w:t>
      </w:r>
    </w:p>
    <w:p>
      <w:pPr>
        <w:spacing w:after="80" w:before="80"/>
      </w:pPr>
      <w:r>
        <w:t xml:space="preserve"/>
      </w:r>
    </w:p>
    <w:p>
      <w:pPr>
        <w:pStyle w:val="Heading2"/>
        <w:spacing w:after="120" w:before="280"/>
      </w:pPr>
      <w:bookmarkStart w:name="a7_2" w:id="1"/>
      <w:r>
        <w:rPr>
          <w:rFonts w:ascii="Arial" w:cs="Arial" w:eastAsia="Arial" w:hAnsi="Arial"/>
          <w:b/>
          <w:bCs/>
          <w:color w:val="2E5A8A"/>
          <w:sz w:val="26"/>
          <w:szCs w:val="26"/>
        </w:rPr>
        <w:t xml:space="preserve">7.2 Technical Formula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Normalised deviation severity (0 to 1)</w:t>
            </w:r>
          </w:p>
          <w:p>
            <w:pPr>
              <w:spacing w:before="80"/>
            </w:pPr>
            <w:r>
              <w:rPr>
                <w:rFonts w:ascii="Courier New" w:cs="Courier New" w:eastAsia="Courier New" w:hAnsi="Courier New"/>
                <w:b/>
                <w:bCs/>
                <w:color w:val="1A3A5C"/>
                <w:sz w:val="22"/>
                <w:szCs w:val="22"/>
              </w:rPr>
              <w:t xml:space="preserve">NSEV(b,z) = |D(b,z)| / max(|D(b,z)|) over all z for brand b    [only for D(b,z) &lt; 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Normalised sales volume (0 to 1)</w:t>
            </w:r>
          </w:p>
          <w:p>
            <w:pPr>
              <w:spacing w:before="80"/>
            </w:pPr>
            <w:r>
              <w:rPr>
                <w:rFonts w:ascii="Courier New" w:cs="Courier New" w:eastAsia="Courier New" w:hAnsi="Courier New"/>
                <w:b/>
                <w:bCs/>
                <w:color w:val="1A3A5C"/>
                <w:sz w:val="22"/>
                <w:szCs w:val="22"/>
              </w:rPr>
              <w:t xml:space="preserve">NVOL(b,z) = UNITS(b,z) / max(UNITS(b,z)) over all z for brand 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Expansion Priority Index</w:t>
            </w:r>
          </w:p>
          <w:p>
            <w:pPr>
              <w:spacing w:before="80"/>
            </w:pPr>
            <w:r>
              <w:rPr>
                <w:rFonts w:ascii="Courier New" w:cs="Courier New" w:eastAsia="Courier New" w:hAnsi="Courier New"/>
                <w:b/>
                <w:bCs/>
                <w:color w:val="1A3A5C"/>
                <w:sz w:val="22"/>
                <w:szCs w:val="22"/>
              </w:rPr>
              <w:t xml:space="preserve">EPI(b,z) = w1 * NSEV(b,z) + w2 * NVOL(b,z)     where w1 + w2 = 1, default w1=0.5, w2=0.5</w:t>
            </w:r>
          </w:p>
        </w:tc>
      </w:tr>
    </w:tbl>
    <w:p>
      <w:pPr>
        <w:spacing w:after="80" w:before="80"/>
      </w:pPr>
      <w:r>
        <w:t xml:space="preserve"/>
      </w:r>
    </w:p>
    <w:p>
      <w:pPr>
        <w:spacing w:after="80" w:before="80"/>
      </w:pPr>
      <w:r>
        <w:rPr>
          <w:rFonts w:ascii="Arial" w:cs="Arial" w:eastAsia="Arial" w:hAnsi="Arial"/>
          <w:sz w:val="22"/>
          <w:szCs w:val="22"/>
        </w:rPr>
        <w:t xml:space="preserve">In Pandas: df['nsev'] = df['abs_deviation'] / df.groupby('brand')['abs_deviation'].transform('max')</w:t>
      </w:r>
    </w:p>
    <w:p>
      <w:pPr>
        <w:spacing w:after="80" w:before="80"/>
      </w:pPr>
      <w:r>
        <w:rPr>
          <w:rFonts w:ascii="Arial" w:cs="Arial" w:eastAsia="Arial" w:hAnsi="Arial"/>
          <w:sz w:val="22"/>
          <w:szCs w:val="22"/>
        </w:rPr>
        <w:t xml:space="preserve">df['nvol'] = df['units'] / df.groupby('brand')['units'].transform('max')</w:t>
      </w:r>
    </w:p>
    <w:p>
      <w:pPr>
        <w:spacing w:after="80" w:before="80"/>
      </w:pPr>
      <w:r>
        <w:rPr>
          <w:rFonts w:ascii="Arial" w:cs="Arial" w:eastAsia="Arial" w:hAnsi="Arial"/>
          <w:sz w:val="22"/>
          <w:szCs w:val="22"/>
        </w:rPr>
        <w:t xml:space="preserve">df['epi'] = 0.5 * df['nsev'] + 0.5 * df['nvol']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thick" w:color="1A7A3A" w:sz="14"/>
              <w:bottom w:val="single" w:color="1A7A3A" w:sz="2"/>
              <w:right w:val="none" w:color="FFFFFF" w:sz="0"/>
            </w:tcBorders>
            <w:shd w:fill="EDFAF2" w:val="clear"/>
            <w:tcMar>
              <w:top w:type="dxa" w:w="100"/>
              <w:left w:type="dxa" w:w="200"/>
              <w:bottom w:type="dxa" w:w="100"/>
              <w:right w:type="dxa" w:w="120"/>
            </w:tcMar>
          </w:tcPr>
          <w:p>
            <w:r>
              <w:rPr>
                <w:rFonts w:ascii="Arial" w:cs="Arial" w:eastAsia="Arial" w:hAnsi="Arial"/>
                <w:b/>
                <w:bCs/>
                <w:color w:val="1A7A3A"/>
                <w:sz w:val="19"/>
                <w:szCs w:val="19"/>
              </w:rPr>
              <w:t xml:space="preserve">Data Consistency Check</w:t>
            </w:r>
          </w:p>
          <w:p>
            <w:pPr>
              <w:spacing w:before="60"/>
            </w:pPr>
            <w:r>
              <w:rPr>
                <w:rFonts w:ascii="Arial" w:cs="Arial" w:eastAsia="Arial" w:hAnsi="Arial"/>
                <w:color w:val="444444"/>
                <w:sz w:val="20"/>
                <w:szCs w:val="20"/>
              </w:rPr>
              <w:t xml:space="preserve">NSEV uses |D(b,z)| from Analysis 3. NVOL uses UNITS(b,z) from FADA data (same source as Analysis 5). Both are normalised within-brand, so the zone definitions must match exactly — which they do because zone mapping is applied once during data ingestion and carried through all analyses.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The 50/50 weighting is a default choice that can be debated. A brand in a growth phase might weight volume higher; one focused on customer retention might weight severity higher. The report should present results at three weight combinations (70/30, 50/50, 30/70) and note whether rankings change materially.</w:t>
            </w:r>
          </w:p>
        </w:tc>
      </w:tr>
    </w:tbl>
    <w:p>
      <w:pPr>
        <w:pBdr>
          <w:bottom w:val="single" w:color="CCCCCC" w:sz="4" w:space="1"/>
        </w:pBdr>
        <w:spacing w:after="200" w:before="200"/>
      </w:pPr>
      <w:r>
        <w:t xml:space="preserve"/>
      </w:r>
    </w:p>
    <w:p>
      <w:pPr>
        <w:pStyle w:val="Heading1"/>
        <w:spacing w:after="160" w:before="400"/>
      </w:pPr>
      <w:bookmarkStart w:name="a8" w:id="1"/>
      <w:r>
        <w:rPr>
          <w:rFonts w:ascii="Arial" w:cs="Arial" w:eastAsia="Arial" w:hAnsi="Arial"/>
          <w:b/>
          <w:bCs/>
          <w:color w:val="1A3A5C"/>
          <w:sz w:val="32"/>
          <w:szCs w:val="32"/>
        </w:rPr>
        <w:t xml:space="preserve">Analysis 8: Herfindahl-Hirschman Index (Service Center Clustering)</w:t>
      </w:r>
      <w:bookmarkEnd w:id="1"/>
    </w:p>
    <w:p>
      <w:pPr>
        <w:pStyle w:val="Heading2"/>
        <w:spacing w:after="120" w:before="280"/>
      </w:pPr>
      <w:bookmarkStart w:name="a8_1" w:id="1"/>
      <w:r>
        <w:rPr>
          <w:rFonts w:ascii="Arial" w:cs="Arial" w:eastAsia="Arial" w:hAnsi="Arial"/>
          <w:b/>
          <w:bCs/>
          <w:color w:val="2E5A8A"/>
          <w:sz w:val="26"/>
          <w:szCs w:val="26"/>
        </w:rPr>
        <w:t xml:space="preserve">8.1 Plain English</w:t>
      </w:r>
      <w:bookmarkEnd w:id="1"/>
    </w:p>
    <w:p>
      <w:pPr>
        <w:spacing w:after="80" w:before="80"/>
      </w:pPr>
      <w:r>
        <w:rPr>
          <w:rFonts w:ascii="Arial" w:cs="Arial" w:eastAsia="Arial" w:hAnsi="Arial"/>
          <w:sz w:val="22"/>
          <w:szCs w:val="22"/>
        </w:rPr>
        <w:t xml:space="preserve">Two brands can have the same number of service centers in a zone but be completely different in how spread out those centers are. One brand might have all 10 service centers in the zone's biggest city. Another might have them across 8 different towns. The first brand's customers in smaller towns are effectively unserved even though the zone-level count looks fine.</w:t>
      </w:r>
    </w:p>
    <w:p>
      <w:pPr>
        <w:spacing w:after="80" w:before="80"/>
      </w:pPr>
      <w:r>
        <w:t xml:space="preserve"/>
      </w:r>
    </w:p>
    <w:p>
      <w:pPr>
        <w:spacing w:after="80" w:before="80"/>
      </w:pPr>
      <w:r>
        <w:rPr>
          <w:rFonts w:ascii="Arial" w:cs="Arial" w:eastAsia="Arial" w:hAnsi="Arial"/>
          <w:sz w:val="22"/>
          <w:szCs w:val="22"/>
        </w:rPr>
        <w:t xml:space="preserve">The Herfindahl-Hirschman Index (HHI) is borrowed from competition economics — it is normally used to measure market concentration — but it works equally well to measure geographic concentration. A high HHI means service centers are concentrated in a few cities. A low HHI means they are spread across many.</w:t>
      </w:r>
    </w:p>
    <w:p>
      <w:pPr>
        <w:spacing w:after="80" w:before="80"/>
      </w:pPr>
      <w:r>
        <w:t xml:space="preserve"/>
      </w:r>
    </w:p>
    <w:p>
      <w:pPr>
        <w:pStyle w:val="Heading2"/>
        <w:spacing w:after="120" w:before="280"/>
      </w:pPr>
      <w:bookmarkStart w:name="a8_2" w:id="1"/>
      <w:r>
        <w:rPr>
          <w:rFonts w:ascii="Arial" w:cs="Arial" w:eastAsia="Arial" w:hAnsi="Arial"/>
          <w:b/>
          <w:bCs/>
          <w:color w:val="2E5A8A"/>
          <w:sz w:val="26"/>
          <w:szCs w:val="26"/>
        </w:rPr>
        <w:t xml:space="preserve">8.2 Technical Formula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City share of zone's service centers</w:t>
            </w:r>
          </w:p>
          <w:p>
            <w:pPr>
              <w:spacing w:before="80"/>
            </w:pPr>
            <w:r>
              <w:rPr>
                <w:rFonts w:ascii="Courier New" w:cs="Courier New" w:eastAsia="Courier New" w:hAnsi="Courier New"/>
                <w:b/>
                <w:bCs/>
                <w:color w:val="1A3A5C"/>
                <w:sz w:val="22"/>
                <w:szCs w:val="22"/>
              </w:rPr>
              <w:t xml:space="preserve">s(b,z,c) = SC(b,z,c) / SC(b,z)</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Herfindahl-Hirschman Index for brand b, zone z</w:t>
            </w:r>
          </w:p>
          <w:p>
            <w:pPr>
              <w:spacing w:before="80"/>
            </w:pPr>
            <w:r>
              <w:rPr>
                <w:rFonts w:ascii="Courier New" w:cs="Courier New" w:eastAsia="Courier New" w:hAnsi="Courier New"/>
                <w:b/>
                <w:bCs/>
                <w:color w:val="1A3A5C"/>
                <w:sz w:val="22"/>
                <w:szCs w:val="22"/>
              </w:rPr>
              <w:t xml:space="preserve">HHI(b,z) = SUM over all cities c in zone z of [ s(b,z,c) ]^2</w:t>
            </w:r>
          </w:p>
        </w:tc>
      </w:tr>
    </w:tbl>
    <w:p>
      <w:pPr>
        <w:spacing w:after="80" w:before="80"/>
      </w:pPr>
      <w:r>
        <w:t xml:space="preserve"/>
      </w:r>
    </w:p>
    <w:p>
      <w:pPr>
        <w:spacing w:after="80" w:before="80"/>
      </w:pPr>
      <w:r>
        <w:rPr>
          <w:rFonts w:ascii="Arial" w:cs="Arial" w:eastAsia="Arial" w:hAnsi="Arial"/>
          <w:sz w:val="22"/>
          <w:szCs w:val="22"/>
        </w:rPr>
        <w:t xml:space="preserve">HHI ranges from 1/n (perfectly spread across n cities) to 1.0 (all in one city). In practice, values above 0.25 indicate significant concentration.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HHI Range</w:t>
            </w:r>
          </w:p>
        </w:tc>
        <w:tc>
          <w:tcPr>
            <w:tcW w:type="dxa" w:w="7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Below 0.15</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Well dispersed — service centers spread across many cities in the zone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 to 0.25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Moderately concentrated — a few cities dominate but reasonable spread exists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Above 0.25</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Highly concentrated — most service centers in one or two cities; rural customers underserved</w:t>
            </w:r>
          </w:p>
        </w:tc>
      </w:tr>
    </w:tbl>
    <w:p>
      <w:pPr>
        <w:spacing w:after="80" w:before="80"/>
      </w:pPr>
      <w:r>
        <w:t xml:space="preserve"/>
      </w:r>
    </w:p>
    <w:p>
      <w:pPr>
        <w:spacing w:after="80" w:before="80"/>
      </w:pPr>
      <w:r>
        <w:rPr>
          <w:rFonts w:ascii="Arial" w:cs="Arial" w:eastAsia="Arial" w:hAnsi="Arial"/>
          <w:sz w:val="22"/>
          <w:szCs w:val="22"/>
        </w:rPr>
        <w:t xml:space="preserve">In Pandas: df_city['share'] = df_city['sc_count'] / df_city.groupby(['brand','zone'])['sc_count'].transform('sum')</w:t>
      </w:r>
    </w:p>
    <w:p>
      <w:pPr>
        <w:spacing w:after="80" w:before="80"/>
      </w:pPr>
      <w:r>
        <w:rPr>
          <w:rFonts w:ascii="Arial" w:cs="Arial" w:eastAsia="Arial" w:hAnsi="Arial"/>
          <w:sz w:val="22"/>
          <w:szCs w:val="22"/>
        </w:rPr>
        <w:t xml:space="preserve">hhi = df_city.groupby(['brand','zone'])['share'].apply(lambda x: (x**2).sum()).reset_index(name='hhi')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thick" w:color="1A7A3A" w:sz="14"/>
              <w:bottom w:val="single" w:color="1A7A3A" w:sz="2"/>
              <w:right w:val="none" w:color="FFFFFF" w:sz="0"/>
            </w:tcBorders>
            <w:shd w:fill="EDFAF2" w:val="clear"/>
            <w:tcMar>
              <w:top w:type="dxa" w:w="100"/>
              <w:left w:type="dxa" w:w="200"/>
              <w:bottom w:type="dxa" w:w="100"/>
              <w:right w:type="dxa" w:w="120"/>
            </w:tcMar>
          </w:tcPr>
          <w:p>
            <w:r>
              <w:rPr>
                <w:rFonts w:ascii="Arial" w:cs="Arial" w:eastAsia="Arial" w:hAnsi="Arial"/>
                <w:b/>
                <w:bCs/>
                <w:color w:val="1A7A3A"/>
                <w:sz w:val="19"/>
                <w:szCs w:val="19"/>
              </w:rPr>
              <w:t xml:space="preserve">Data Consistency Check</w:t>
            </w:r>
          </w:p>
          <w:p>
            <w:pPr>
              <w:spacing w:before="60"/>
            </w:pPr>
            <w:r>
              <w:rPr>
                <w:rFonts w:ascii="Arial" w:cs="Arial" w:eastAsia="Arial" w:hAnsi="Arial"/>
                <w:color w:val="444444"/>
                <w:sz w:val="20"/>
                <w:szCs w:val="20"/>
              </w:rPr>
              <w:t xml:space="preserve">This analysis uses city-level data from the BikeWale scrape — the same raw data as Analysis 1, but not aggregated to zone level. Both are from the same scrape. The only requirement is that the city field is consistently named across records.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HHI is sensitive to how 'city' is defined. BikeWale may list 'Mumbai', 'Mumbai Suburbs', and 'Navi Mumbai' as separate entries. If not normalised, this will artificially lower the HHI for Mumbai, making the concentration appear lower than it is. City name normalisation must be applied before this calculation.</w:t>
            </w:r>
          </w:p>
        </w:tc>
      </w:tr>
    </w:tbl>
    <w:p>
      <w:pPr>
        <w:pBdr>
          <w:bottom w:val="single" w:color="CCCCCC" w:sz="4" w:space="1"/>
        </w:pBdr>
        <w:spacing w:after="200" w:before="200"/>
      </w:pPr>
      <w:r>
        <w:t xml:space="preserve"/>
      </w:r>
    </w:p>
    <w:p>
      <w:pPr>
        <w:pStyle w:val="Heading1"/>
        <w:spacing w:after="160" w:before="400"/>
      </w:pPr>
      <w:bookmarkStart w:name="a9" w:id="1"/>
      <w:r>
        <w:rPr>
          <w:rFonts w:ascii="Arial" w:cs="Arial" w:eastAsia="Arial" w:hAnsi="Arial"/>
          <w:b/>
          <w:bCs/>
          <w:color w:val="1A3A5C"/>
          <w:sz w:val="32"/>
          <w:szCs w:val="32"/>
        </w:rPr>
        <w:t xml:space="preserve">Analysis 9: Brand Maturity vs Network Balance</w:t>
      </w:r>
      <w:bookmarkEnd w:id="1"/>
    </w:p>
    <w:p>
      <w:pPr>
        <w:pStyle w:val="Heading2"/>
        <w:spacing w:after="120" w:before="280"/>
      </w:pPr>
      <w:bookmarkStart w:name="a9_1" w:id="1"/>
      <w:r>
        <w:rPr>
          <w:rFonts w:ascii="Arial" w:cs="Arial" w:eastAsia="Arial" w:hAnsi="Arial"/>
          <w:b/>
          <w:bCs/>
          <w:color w:val="2E5A8A"/>
          <w:sz w:val="26"/>
          <w:szCs w:val="26"/>
        </w:rPr>
        <w:t xml:space="preserve">9.1 Plain English</w:t>
      </w:r>
      <w:bookmarkEnd w:id="1"/>
    </w:p>
    <w:p>
      <w:pPr>
        <w:spacing w:after="80" w:before="80"/>
      </w:pPr>
      <w:r>
        <w:rPr>
          <w:rFonts w:ascii="Arial" w:cs="Arial" w:eastAsia="Arial" w:hAnsi="Arial"/>
          <w:sz w:val="22"/>
          <w:szCs w:val="22"/>
        </w:rPr>
        <w:t xml:space="preserve">Some brands are growing their sales very fast but have not expanded their service networks at the same pace. This creates a structural imbalance — the brand is selling more bikes than its service infrastructure can support. This analysis compares how fast sales grew over a multi-year period against how fast the service network grew. The wider the gap, the greater the structural risk.</w:t>
      </w:r>
    </w:p>
    <w:p>
      <w:pPr>
        <w:spacing w:after="80" w:before="80"/>
      </w:pPr>
      <w:r>
        <w:t xml:space="preserve"/>
      </w:r>
    </w:p>
    <w:p>
      <w:pPr>
        <w:pStyle w:val="Heading2"/>
        <w:spacing w:after="120" w:before="280"/>
      </w:pPr>
      <w:bookmarkStart w:name="a9_2" w:id="1"/>
      <w:r>
        <w:rPr>
          <w:rFonts w:ascii="Arial" w:cs="Arial" w:eastAsia="Arial" w:hAnsi="Arial"/>
          <w:b/>
          <w:bCs/>
          <w:color w:val="2E5A8A"/>
          <w:sz w:val="26"/>
          <w:szCs w:val="26"/>
        </w:rPr>
        <w:t xml:space="preserve">9.2 Technical Formula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Sales CAGR (Compound Annual Growth Rate)</w:t>
            </w:r>
          </w:p>
          <w:p>
            <w:pPr>
              <w:spacing w:before="80"/>
            </w:pPr>
            <w:r>
              <w:rPr>
                <w:rFonts w:ascii="Courier New" w:cs="Courier New" w:eastAsia="Courier New" w:hAnsi="Courier New"/>
                <w:b/>
                <w:bCs/>
                <w:color w:val="1A3A5C"/>
                <w:sz w:val="22"/>
                <w:szCs w:val="22"/>
              </w:rPr>
              <w:t xml:space="preserve">CAGR_sales(b) = (UNITS(b, year_n) / UNITS(b, year_0))^(1/(n)) - 1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Service network CAGR</w:t>
            </w:r>
          </w:p>
          <w:p>
            <w:pPr>
              <w:spacing w:before="80"/>
            </w:pPr>
            <w:r>
              <w:rPr>
                <w:rFonts w:ascii="Courier New" w:cs="Courier New" w:eastAsia="Courier New" w:hAnsi="Courier New"/>
                <w:b/>
                <w:bCs/>
                <w:color w:val="1A3A5C"/>
                <w:sz w:val="22"/>
                <w:szCs w:val="22"/>
              </w:rPr>
              <w:t xml:space="preserve">CAGR_sc(b) = (SC_total(b, year_n) / SC_total(b, year_0))^(1/(n)) - 1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Network balance gap</w:t>
            </w:r>
          </w:p>
          <w:p>
            <w:pPr>
              <w:spacing w:before="80"/>
            </w:pPr>
            <w:r>
              <w:rPr>
                <w:rFonts w:ascii="Courier New" w:cs="Courier New" w:eastAsia="Courier New" w:hAnsi="Courier New"/>
                <w:b/>
                <w:bCs/>
                <w:color w:val="1A3A5C"/>
                <w:sz w:val="22"/>
                <w:szCs w:val="22"/>
              </w:rPr>
              <w:t xml:space="preserve">GAP_maturity(b) = CAGR_sales(b) - CAGR_sc(b)</w:t>
            </w:r>
          </w:p>
        </w:tc>
      </w:tr>
    </w:tbl>
    <w:p>
      <w:pPr>
        <w:spacing w:after="80" w:before="80"/>
      </w:pPr>
      <w:r>
        <w:t xml:space="preserve"/>
      </w:r>
    </w:p>
    <w:p>
      <w:pPr>
        <w:spacing w:after="80" w:before="80"/>
      </w:pPr>
      <w:r>
        <w:rPr>
          <w:rFonts w:ascii="Arial" w:cs="Arial" w:eastAsia="Arial" w:hAnsi="Arial"/>
          <w:sz w:val="22"/>
          <w:szCs w:val="22"/>
        </w:rPr>
        <w:t xml:space="preserve">A positive GAP_maturity means sales are growing faster than service capacity. A negative value means the opposite (service network expanding ahead of sales — ideal).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UNITS(b, year_0) and UNITS(b, year_n)</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FADA annual retail data or brand annual reports — national totals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SC_total(b, year_0) and SC_total(b, year_n)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Brand annual reports (many disclose total service center count). If not, use BikeWale current count as year_n and estimate year_0 from older press releases or investor presentations.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Number of years in the CAGR window (recommend 3-5 years)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thick" w:color="1A7A3A" w:sz="14"/>
              <w:bottom w:val="single" w:color="1A7A3A" w:sz="2"/>
              <w:right w:val="none" w:color="FFFFFF" w:sz="0"/>
            </w:tcBorders>
            <w:shd w:fill="EDFAF2" w:val="clear"/>
            <w:tcMar>
              <w:top w:type="dxa" w:w="100"/>
              <w:left w:type="dxa" w:w="200"/>
              <w:bottom w:type="dxa" w:w="100"/>
              <w:right w:type="dxa" w:w="120"/>
            </w:tcMar>
          </w:tcPr>
          <w:p>
            <w:r>
              <w:rPr>
                <w:rFonts w:ascii="Arial" w:cs="Arial" w:eastAsia="Arial" w:hAnsi="Arial"/>
                <w:b/>
                <w:bCs/>
                <w:color w:val="1A7A3A"/>
                <w:sz w:val="19"/>
                <w:szCs w:val="19"/>
              </w:rPr>
              <w:t xml:space="preserve">Data Consistency Check</w:t>
            </w:r>
          </w:p>
          <w:p>
            <w:pPr>
              <w:spacing w:before="60"/>
            </w:pPr>
            <w:r>
              <w:rPr>
                <w:rFonts w:ascii="Arial" w:cs="Arial" w:eastAsia="Arial" w:hAnsi="Arial"/>
                <w:color w:val="444444"/>
                <w:sz w:val="20"/>
                <w:szCs w:val="20"/>
              </w:rPr>
              <w:t xml:space="preserve">UNITS data from FADA is consistent with the same FADA source used in Analysis 5 and 6. However, SC_total for year_0 may require a different source (historical brand disclosures) than the current-year BikeWale scrape. This is the one analysis that deliberately crosses two time periods of data. The scrape date and disclosure date must both be noted in the methodology.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Historical service center counts are often not publicly available. Royal Enfield and Hero MotoCorp include network growth figures in investor presentations; others do not. Where historical counts are unavailable, this analysis must be marked as approximate or omitted for that brand.</w:t>
            </w:r>
          </w:p>
        </w:tc>
      </w:tr>
    </w:tbl>
    <w:p>
      <w:pPr>
        <w:pBdr>
          <w:bottom w:val="single" w:color="CCCCCC" w:sz="4" w:space="1"/>
        </w:pBdr>
        <w:spacing w:after="200" w:before="200"/>
      </w:pPr>
      <w:r>
        <w:t xml:space="preserve"/>
      </w:r>
    </w:p>
    <w:p>
      <w:pPr>
        <w:pStyle w:val="Heading1"/>
        <w:spacing w:after="160" w:before="400"/>
      </w:pPr>
      <w:bookmarkStart w:name="a10" w:id="1"/>
      <w:r>
        <w:rPr>
          <w:rFonts w:ascii="Arial" w:cs="Arial" w:eastAsia="Arial" w:hAnsi="Arial"/>
          <w:b/>
          <w:bCs/>
          <w:color w:val="1A3A5C"/>
          <w:sz w:val="32"/>
          <w:szCs w:val="32"/>
        </w:rPr>
        <w:t xml:space="preserve">Analysis 10: Northeast and Hill-State Neglect Score</w:t>
      </w:r>
      <w:bookmarkEnd w:id="1"/>
    </w:p>
    <w:p>
      <w:pPr>
        <w:pStyle w:val="Heading2"/>
        <w:spacing w:after="120" w:before="280"/>
      </w:pPr>
      <w:bookmarkStart w:name="a10_1" w:id="1"/>
      <w:r>
        <w:rPr>
          <w:rFonts w:ascii="Arial" w:cs="Arial" w:eastAsia="Arial" w:hAnsi="Arial"/>
          <w:b/>
          <w:bCs/>
          <w:color w:val="2E5A8A"/>
          <w:sz w:val="26"/>
          <w:szCs w:val="26"/>
        </w:rPr>
        <w:t xml:space="preserve">10.1 Plain English</w:t>
      </w:r>
      <w:bookmarkEnd w:id="1"/>
    </w:p>
    <w:p>
      <w:pPr>
        <w:spacing w:after="80" w:before="80"/>
      </w:pPr>
      <w:r>
        <w:rPr>
          <w:rFonts w:ascii="Arial" w:cs="Arial" w:eastAsia="Arial" w:hAnsi="Arial"/>
          <w:sz w:val="22"/>
          <w:szCs w:val="22"/>
        </w:rPr>
        <w:t xml:space="preserve">The Northeast zone and mountain states (Himachal Pradesh, Uttarakhand, Jammu &amp; Kashmir) are geographically isolated and historically underserved by most consumer industries. This analysis produces a single score for each brand representing how severely it neglects these regions compared to both its national average and compared to other brands.</w:t>
      </w:r>
    </w:p>
    <w:p>
      <w:pPr>
        <w:spacing w:after="80" w:before="80"/>
      </w:pPr>
      <w:r>
        <w:t xml:space="preserve"/>
      </w:r>
    </w:p>
    <w:p>
      <w:pPr>
        <w:spacing w:after="80" w:before="80"/>
      </w:pPr>
      <w:r>
        <w:rPr>
          <w:rFonts w:ascii="Arial" w:cs="Arial" w:eastAsia="Arial" w:hAnsi="Arial"/>
          <w:sz w:val="22"/>
          <w:szCs w:val="22"/>
        </w:rPr>
        <w:t xml:space="preserve">The score is a weighted average of the deviation in these specific states, weighted by the state's population (since a more populated state being neglected is a bigger problem).</w:t>
      </w:r>
    </w:p>
    <w:p>
      <w:pPr>
        <w:spacing w:after="80" w:before="80"/>
      </w:pPr>
      <w:r>
        <w:t xml:space="preserve"/>
      </w:r>
    </w:p>
    <w:p>
      <w:pPr>
        <w:pStyle w:val="Heading2"/>
        <w:spacing w:after="120" w:before="280"/>
      </w:pPr>
      <w:bookmarkStart w:name="a10_2" w:id="1"/>
      <w:r>
        <w:rPr>
          <w:rFonts w:ascii="Arial" w:cs="Arial" w:eastAsia="Arial" w:hAnsi="Arial"/>
          <w:b/>
          <w:bCs/>
          <w:color w:val="2E5A8A"/>
          <w:sz w:val="26"/>
          <w:szCs w:val="26"/>
        </w:rPr>
        <w:t xml:space="preserve">10.2 Technical Formula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Population-weighted deviation for isolated states</w:t>
            </w:r>
          </w:p>
          <w:p>
            <w:pPr>
              <w:spacing w:before="80"/>
            </w:pPr>
            <w:r>
              <w:rPr>
                <w:rFonts w:ascii="Courier New" w:cs="Courier New" w:eastAsia="Courier New" w:hAnsi="Courier New"/>
                <w:b/>
                <w:bCs/>
                <w:color w:val="1A3A5C"/>
                <w:sz w:val="22"/>
                <w:szCs w:val="22"/>
              </w:rPr>
              <w:t xml:space="preserve">NEGLECT(b) = SUM over isolated states s of [ D(b,s) * POP(s) ] / SUM of POP(s)</w:t>
            </w:r>
          </w:p>
        </w:tc>
      </w:tr>
    </w:tbl>
    <w:p>
      <w:pPr>
        <w:spacing w:after="80" w:before="80"/>
      </w:pPr>
      <w:r>
        <w:t xml:space="preserve"/>
      </w:r>
    </w:p>
    <w:p>
      <w:pPr>
        <w:spacing w:after="80" w:before="80"/>
      </w:pPr>
      <w:r>
        <w:rPr>
          <w:rFonts w:ascii="Arial" w:cs="Arial" w:eastAsia="Arial" w:hAnsi="Arial"/>
          <w:sz w:val="22"/>
          <w:szCs w:val="22"/>
        </w:rPr>
        <w:t xml:space="preserve">D(b,s) is computed at state level rather than zone level for this analysis. This requires the BikeWale scrape data to be kept at state granularity — it is only aggregated to zone for the zone-level analyses.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7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D(b,s)</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Deviation at state level — computed from the same formula as Analysis 3 but using state-level R(b,s) and a state-level baseline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population from Census of India 2011 (or 2021 when released) — free from censusindia.gov.in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thick" w:color="1A7A3A" w:sz="14"/>
              <w:bottom w:val="single" w:color="1A7A3A" w:sz="2"/>
              <w:right w:val="none" w:color="FFFFFF" w:sz="0"/>
            </w:tcBorders>
            <w:shd w:fill="EDFAF2" w:val="clear"/>
            <w:tcMar>
              <w:top w:type="dxa" w:w="100"/>
              <w:left w:type="dxa" w:w="200"/>
              <w:bottom w:type="dxa" w:w="100"/>
              <w:right w:type="dxa" w:w="120"/>
            </w:tcMar>
          </w:tcPr>
          <w:p>
            <w:r>
              <w:rPr>
                <w:rFonts w:ascii="Arial" w:cs="Arial" w:eastAsia="Arial" w:hAnsi="Arial"/>
                <w:b/>
                <w:bCs/>
                <w:color w:val="1A7A3A"/>
                <w:sz w:val="19"/>
                <w:szCs w:val="19"/>
              </w:rPr>
              <w:t xml:space="preserve">Data Consistency Check</w:t>
            </w:r>
          </w:p>
          <w:p>
            <w:pPr>
              <w:spacing w:before="60"/>
            </w:pPr>
            <w:r>
              <w:rPr>
                <w:rFonts w:ascii="Arial" w:cs="Arial" w:eastAsia="Arial" w:hAnsi="Arial"/>
                <w:color w:val="444444"/>
                <w:sz w:val="20"/>
                <w:szCs w:val="20"/>
              </w:rPr>
              <w:t xml:space="preserve">D(b,s) uses the same BikeWale scrape data as all ratio-based analyses — it is simply not aggregated to zone. POP(s) is an external source introduced only in this analysis and used again in Analysis 12 (rural/urban split). The zone definitions from earlier analyses are not used here — this analysis works at state level directly.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The Northeast has small populations compared to major states. Population weighting reduces the apparent severity of neglect in Manipur relative to Assam. Whether to weight by population or treat each state equally is a choice that changes the results. Both versions should be reported.</w:t>
            </w:r>
          </w:p>
        </w:tc>
      </w:tr>
    </w:tbl>
    <w:p>
      <w:pPr>
        <w:pBdr>
          <w:bottom w:val="single" w:color="CCCCCC" w:sz="4" w:space="1"/>
        </w:pBdr>
        <w:spacing w:after="200" w:before="200"/>
      </w:pPr>
      <w:r>
        <w:t xml:space="preserve"/>
      </w:r>
    </w:p>
    <w:p>
      <w:pPr>
        <w:pStyle w:val="Heading1"/>
        <w:spacing w:after="160" w:before="400"/>
      </w:pPr>
      <w:bookmarkStart w:name="a11" w:id="1"/>
      <w:r>
        <w:rPr>
          <w:rFonts w:ascii="Arial" w:cs="Arial" w:eastAsia="Arial" w:hAnsi="Arial"/>
          <w:b/>
          <w:bCs/>
          <w:color w:val="1A3A5C"/>
          <w:sz w:val="32"/>
          <w:szCs w:val="32"/>
        </w:rPr>
        <w:t xml:space="preserve">Analysis 11: Competitor Advantage Map</w:t>
      </w:r>
      <w:bookmarkEnd w:id="1"/>
    </w:p>
    <w:p>
      <w:pPr>
        <w:pStyle w:val="Heading2"/>
        <w:spacing w:after="120" w:before="280"/>
      </w:pPr>
      <w:bookmarkStart w:name="a11_1" w:id="1"/>
      <w:r>
        <w:rPr>
          <w:rFonts w:ascii="Arial" w:cs="Arial" w:eastAsia="Arial" w:hAnsi="Arial"/>
          <w:b/>
          <w:bCs/>
          <w:color w:val="2E5A8A"/>
          <w:sz w:val="26"/>
          <w:szCs w:val="26"/>
        </w:rPr>
        <w:t xml:space="preserve">11.1 Plain English</w:t>
      </w:r>
      <w:bookmarkEnd w:id="1"/>
    </w:p>
    <w:p>
      <w:pPr>
        <w:spacing w:after="80" w:before="80"/>
      </w:pPr>
      <w:r>
        <w:rPr>
          <w:rFonts w:ascii="Arial" w:cs="Arial" w:eastAsia="Arial" w:hAnsi="Arial"/>
          <w:sz w:val="22"/>
          <w:szCs w:val="22"/>
        </w:rPr>
        <w:t xml:space="preserve">When Brand A has a service bottleneck in a zone, it creates an opening for competitors. This analysis identifies, for each zone where Brand A is bottlenecked, which competitor has the highest service center density — and is therefore best positioned to capture dissatisfied customers.</w:t>
      </w:r>
    </w:p>
    <w:p>
      <w:pPr>
        <w:spacing w:after="80" w:before="80"/>
      </w:pPr>
      <w:r>
        <w:t xml:space="preserve"/>
      </w:r>
    </w:p>
    <w:p>
      <w:pPr>
        <w:spacing w:after="80" w:before="80"/>
      </w:pPr>
      <w:r>
        <w:rPr>
          <w:rFonts w:ascii="Arial" w:cs="Arial" w:eastAsia="Arial" w:hAnsi="Arial"/>
          <w:sz w:val="22"/>
          <w:szCs w:val="22"/>
        </w:rPr>
        <w:t xml:space="preserve">This is not a new calculation — it re-uses the R(b,z) ratios from Analysis 1. The logic is: for each zone where brand A has severity = 'Moderate' or 'Severe', rank all other brands by their R(b,z) in that same zone. The brand with the highest ratio is the biggest beneficiary.</w:t>
      </w:r>
    </w:p>
    <w:p>
      <w:pPr>
        <w:spacing w:after="80" w:before="80"/>
      </w:pPr>
      <w:r>
        <w:t xml:space="preserve"/>
      </w:r>
    </w:p>
    <w:p>
      <w:pPr>
        <w:pStyle w:val="Heading2"/>
        <w:spacing w:after="120" w:before="280"/>
      </w:pPr>
      <w:bookmarkStart w:name="a11_2" w:id="1"/>
      <w:r>
        <w:rPr>
          <w:rFonts w:ascii="Arial" w:cs="Arial" w:eastAsia="Arial" w:hAnsi="Arial"/>
          <w:b/>
          <w:bCs/>
          <w:color w:val="2E5A8A"/>
          <w:sz w:val="26"/>
          <w:szCs w:val="26"/>
        </w:rPr>
        <w:t xml:space="preserve">11.2 Technical Formula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Competitor advantage in zone z for bottlenecked brand b_A</w:t>
            </w:r>
          </w:p>
          <w:p>
            <w:pPr>
              <w:spacing w:before="80"/>
            </w:pPr>
            <w:r>
              <w:rPr>
                <w:rFonts w:ascii="Courier New" w:cs="Courier New" w:eastAsia="Courier New" w:hAnsi="Courier New"/>
                <w:b/>
                <w:bCs/>
                <w:color w:val="1A3A5C"/>
                <w:sz w:val="22"/>
                <w:szCs w:val="22"/>
              </w:rPr>
              <w:t xml:space="preserve">COMP_ADV(z, b_A) = argmax over all b != b_A of [ R(b, z) ]</w:t>
            </w:r>
          </w:p>
        </w:tc>
      </w:tr>
    </w:tbl>
    <w:p>
      <w:pPr>
        <w:spacing w:after="80" w:before="80"/>
      </w:pPr>
      <w:r>
        <w:t xml:space="preserve"/>
      </w:r>
    </w:p>
    <w:p>
      <w:pPr>
        <w:spacing w:after="80" w:before="80"/>
      </w:pPr>
      <w:r>
        <w:rPr>
          <w:rFonts w:ascii="Arial" w:cs="Arial" w:eastAsia="Arial" w:hAnsi="Arial"/>
          <w:sz w:val="22"/>
          <w:szCs w:val="22"/>
        </w:rPr>
        <w:t xml:space="preserve">In Pandas: For each (brand, zone) pair flagged as bottlenecked, filter the ratio table to other brands in the same zone and return the brand with the max ratio.</w:t>
      </w:r>
    </w:p>
    <w:p>
      <w:pPr>
        <w:spacing w:after="80" w:before="80"/>
      </w:pPr>
      <w:r>
        <w:t xml:space="preserve"/>
      </w:r>
    </w:p>
    <w:p>
      <w:pPr>
        <w:spacing w:after="80" w:before="80"/>
      </w:pPr>
      <w:r>
        <w:rPr>
          <w:rFonts w:ascii="Arial" w:cs="Arial" w:eastAsia="Arial" w:hAnsi="Arial"/>
          <w:sz w:val="22"/>
          <w:szCs w:val="22"/>
        </w:rPr>
        <w:t xml:space="preserve">pivot = df.pivot_table(index='zone', columns='brand', values='ratio')</w:t>
      </w:r>
    </w:p>
    <w:p>
      <w:pPr>
        <w:spacing w:after="80" w:before="80"/>
      </w:pPr>
      <w:r>
        <w:rPr>
          <w:rFonts w:ascii="Arial" w:cs="Arial" w:eastAsia="Arial" w:hAnsi="Arial"/>
          <w:sz w:val="22"/>
          <w:szCs w:val="22"/>
        </w:rPr>
        <w:t xml:space="preserve">For each bottlenecked (brand, zone): competitor = pivot.loc[zone].drop(brand).idxmax()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thick" w:color="1A7A3A" w:sz="14"/>
              <w:bottom w:val="single" w:color="1A7A3A" w:sz="2"/>
              <w:right w:val="none" w:color="FFFFFF" w:sz="0"/>
            </w:tcBorders>
            <w:shd w:fill="EDFAF2" w:val="clear"/>
            <w:tcMar>
              <w:top w:type="dxa" w:w="100"/>
              <w:left w:type="dxa" w:w="200"/>
              <w:bottom w:type="dxa" w:w="100"/>
              <w:right w:type="dxa" w:w="120"/>
            </w:tcMar>
          </w:tcPr>
          <w:p>
            <w:r>
              <w:rPr>
                <w:rFonts w:ascii="Arial" w:cs="Arial" w:eastAsia="Arial" w:hAnsi="Arial"/>
                <w:b/>
                <w:bCs/>
                <w:color w:val="1A7A3A"/>
                <w:sz w:val="19"/>
                <w:szCs w:val="19"/>
              </w:rPr>
              <w:t xml:space="preserve">Data Consistency Check</w:t>
            </w:r>
          </w:p>
          <w:p>
            <w:pPr>
              <w:spacing w:before="60"/>
            </w:pPr>
            <w:r>
              <w:rPr>
                <w:rFonts w:ascii="Arial" w:cs="Arial" w:eastAsia="Arial" w:hAnsi="Arial"/>
                <w:color w:val="444444"/>
                <w:sz w:val="20"/>
                <w:szCs w:val="20"/>
              </w:rPr>
              <w:t xml:space="preserve">This analysis uses only R(b,z) from Analysis 1 and severity from Analysis 4. Both are derived from the same scrape. No new data sources are introduced. Consistency is guaranteed as long as all brands are scraped on the same date.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A competitor having a high R(b,z) does not mean it is actively poaching customers — it means it is better positioned to do so. The analysis makes no claim about customer behaviour. Frame findings as 'competitive exposure' or 'vulnerability' rather than confirmed customer loss.</w:t>
            </w:r>
          </w:p>
        </w:tc>
      </w:tr>
    </w:tbl>
    <w:p>
      <w:pPr>
        <w:pBdr>
          <w:bottom w:val="single" w:color="CCCCCC" w:sz="4" w:space="1"/>
        </w:pBdr>
        <w:spacing w:after="200" w:before="200"/>
      </w:pPr>
      <w:r>
        <w:t xml:space="preserve"/>
      </w:r>
    </w:p>
    <w:p>
      <w:pPr>
        <w:pStyle w:val="Heading1"/>
        <w:spacing w:after="160" w:before="400"/>
      </w:pPr>
      <w:bookmarkStart w:name="a12" w:id="1"/>
      <w:r>
        <w:rPr>
          <w:rFonts w:ascii="Arial" w:cs="Arial" w:eastAsia="Arial" w:hAnsi="Arial"/>
          <w:b/>
          <w:bCs/>
          <w:color w:val="1A3A5C"/>
          <w:sz w:val="32"/>
          <w:szCs w:val="32"/>
        </w:rPr>
        <w:t xml:space="preserve">Analysis 12: Rural vs Urban Bottleneck Split</w:t>
      </w:r>
      <w:bookmarkEnd w:id="1"/>
    </w:p>
    <w:p>
      <w:pPr>
        <w:pStyle w:val="Heading2"/>
        <w:spacing w:after="120" w:before="280"/>
      </w:pPr>
      <w:bookmarkStart w:name="a12_1" w:id="1"/>
      <w:r>
        <w:rPr>
          <w:rFonts w:ascii="Arial" w:cs="Arial" w:eastAsia="Arial" w:hAnsi="Arial"/>
          <w:b/>
          <w:bCs/>
          <w:color w:val="2E5A8A"/>
          <w:sz w:val="26"/>
          <w:szCs w:val="26"/>
        </w:rPr>
        <w:t xml:space="preserve">12.1 Plain English</w:t>
      </w:r>
      <w:bookmarkEnd w:id="1"/>
    </w:p>
    <w:p>
      <w:pPr>
        <w:spacing w:after="80" w:before="80"/>
      </w:pPr>
      <w:r>
        <w:rPr>
          <w:rFonts w:ascii="Arial" w:cs="Arial" w:eastAsia="Arial" w:hAnsi="Arial"/>
          <w:sz w:val="22"/>
          <w:szCs w:val="22"/>
        </w:rPr>
        <w:t xml:space="preserve">Even within a zone, service centers may be concentrated in big cities (tier 1) while smaller towns (tier 2 and tier 3) are left with very little coverage. Since mass-market brands like Hero and Bajaj derive more than half their volume from smaller towns and rural markets, a bottleneck concentrated in tier 2/3 cities is more commercially damaging than one in a metro.</w:t>
      </w:r>
    </w:p>
    <w:p>
      <w:pPr>
        <w:spacing w:after="80" w:before="80"/>
      </w:pPr>
      <w:r>
        <w:t xml:space="preserve"/>
      </w:r>
    </w:p>
    <w:p>
      <w:pPr>
        <w:spacing w:after="80" w:before="80"/>
      </w:pPr>
      <w:r>
        <w:rPr>
          <w:rFonts w:ascii="Arial" w:cs="Arial" w:eastAsia="Arial" w:hAnsi="Arial"/>
          <w:sz w:val="22"/>
          <w:szCs w:val="22"/>
        </w:rPr>
        <w:t xml:space="preserve">This analysis classifies every city in the scrape dataset into tier 1, 2, or 3 based on Census population, then computes a separate service-to-showroom ratio for each tier.</w:t>
      </w:r>
    </w:p>
    <w:p>
      <w:pPr>
        <w:spacing w:after="80" w:before="80"/>
      </w:pPr>
      <w:r>
        <w:t xml:space="preserve"/>
      </w:r>
    </w:p>
    <w:p>
      <w:pPr>
        <w:pStyle w:val="Heading2"/>
        <w:spacing w:after="120" w:before="280"/>
      </w:pPr>
      <w:bookmarkStart w:name="a12_2" w:id="1"/>
      <w:r>
        <w:rPr>
          <w:rFonts w:ascii="Arial" w:cs="Arial" w:eastAsia="Arial" w:hAnsi="Arial"/>
          <w:b/>
          <w:bCs/>
          <w:color w:val="2E5A8A"/>
          <w:sz w:val="26"/>
          <w:szCs w:val="26"/>
        </w:rPr>
        <w:t xml:space="preserve">12.2 Technical Formula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City tier classification</w:t>
            </w:r>
          </w:p>
          <w:p>
            <w:pPr>
              <w:spacing w:before="80"/>
            </w:pPr>
            <w:r>
              <w:rPr>
                <w:rFonts w:ascii="Courier New" w:cs="Courier New" w:eastAsia="Courier New" w:hAnsi="Courier New"/>
                <w:b/>
                <w:bCs/>
                <w:color w:val="1A3A5C"/>
                <w:sz w:val="22"/>
                <w:szCs w:val="22"/>
              </w:rPr>
              <w:t xml:space="preserve">TIER(c) = 1  if POP(c) &gt;= 1,000,000
           = 2  if 100,000 &lt;= POP(c) &lt; 1,000,000
           = 3  if POP(c) &lt; 100,000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2"/>
              <w:left w:val="thick" w:color="2E5A8A" w:sz="14"/>
              <w:bottom w:val="single" w:color="2E5A8A" w:sz="2"/>
              <w:right w:val="none" w:color="FFFFFF" w:sz="0"/>
            </w:tcBorders>
            <w:shd w:fill="EBF3FB" w:val="clear"/>
            <w:tcMar>
              <w:top w:type="dxa" w:w="120"/>
              <w:left w:type="dxa" w:w="240"/>
              <w:bottom w:type="dxa" w:w="120"/>
              <w:right w:type="dxa" w:w="120"/>
            </w:tcMar>
          </w:tcPr>
          <w:p>
            <w:r>
              <w:rPr>
                <w:rFonts w:ascii="Arial" w:cs="Arial" w:eastAsia="Arial" w:hAnsi="Arial"/>
                <w:b/>
                <w:bCs/>
                <w:color w:val="555555"/>
                <w:sz w:val="19"/>
                <w:szCs w:val="19"/>
              </w:rPr>
              <w:t xml:space="preserve">Tier-level ratio per brand</w:t>
            </w:r>
          </w:p>
          <w:p>
            <w:pPr>
              <w:spacing w:before="80"/>
            </w:pPr>
            <w:r>
              <w:rPr>
                <w:rFonts w:ascii="Courier New" w:cs="Courier New" w:eastAsia="Courier New" w:hAnsi="Courier New"/>
                <w:b/>
                <w:bCs/>
                <w:color w:val="1A3A5C"/>
                <w:sz w:val="22"/>
                <w:szCs w:val="22"/>
              </w:rPr>
              <w:t xml:space="preserve">R_tier(b, t) = SUM of SC(b,c) for all cities c with TIER(c)=t  /  SUM of SW(b,c) for same cities</w:t>
            </w:r>
          </w:p>
        </w:tc>
      </w:tr>
    </w:tbl>
    <w:p>
      <w:pPr>
        <w:spacing w:after="80" w:before="80"/>
      </w:pPr>
      <w:r>
        <w:t xml:space="preserve"/>
      </w:r>
    </w:p>
    <w:p>
      <w:pPr>
        <w:spacing w:after="80" w:before="80"/>
      </w:pPr>
      <w:r>
        <w:rPr>
          <w:rFonts w:ascii="Arial" w:cs="Arial" w:eastAsia="Arial" w:hAnsi="Arial"/>
          <w:sz w:val="22"/>
          <w:szCs w:val="22"/>
        </w:rPr>
        <w:t xml:space="preserve">In Pandas: df = df.merge(city_tier_df, on='city', how='left')</w:t>
      </w:r>
    </w:p>
    <w:p>
      <w:pPr>
        <w:spacing w:after="80" w:before="80"/>
      </w:pPr>
      <w:r>
        <w:rPr>
          <w:rFonts w:ascii="Arial" w:cs="Arial" w:eastAsia="Arial" w:hAnsi="Arial"/>
          <w:sz w:val="22"/>
          <w:szCs w:val="22"/>
        </w:rPr>
        <w:t xml:space="preserve">tier_ratio = df.groupby(['brand','tier'])[['service_centers','showrooms']].sum()</w:t>
      </w:r>
    </w:p>
    <w:p>
      <w:pPr>
        <w:spacing w:after="80" w:before="80"/>
      </w:pPr>
      <w:r>
        <w:rPr>
          <w:rFonts w:ascii="Arial" w:cs="Arial" w:eastAsia="Arial" w:hAnsi="Arial"/>
          <w:sz w:val="22"/>
          <w:szCs w:val="22"/>
        </w:rPr>
        <w:t xml:space="preserve">tier_ratio['ratio'] = tier_ratio['service_centers'] / tier_ratio['showrooms']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A" w:sz="2"/>
              <w:left w:val="thick" w:color="1A7A3A" w:sz="14"/>
              <w:bottom w:val="single" w:color="1A7A3A" w:sz="2"/>
              <w:right w:val="none" w:color="FFFFFF" w:sz="0"/>
            </w:tcBorders>
            <w:shd w:fill="EDFAF2" w:val="clear"/>
            <w:tcMar>
              <w:top w:type="dxa" w:w="100"/>
              <w:left w:type="dxa" w:w="200"/>
              <w:bottom w:type="dxa" w:w="100"/>
              <w:right w:type="dxa" w:w="120"/>
            </w:tcMar>
          </w:tcPr>
          <w:p>
            <w:r>
              <w:rPr>
                <w:rFonts w:ascii="Arial" w:cs="Arial" w:eastAsia="Arial" w:hAnsi="Arial"/>
                <w:b/>
                <w:bCs/>
                <w:color w:val="1A7A3A"/>
                <w:sz w:val="19"/>
                <w:szCs w:val="19"/>
              </w:rPr>
              <w:t xml:space="preserve">Data Consistency Check</w:t>
            </w:r>
          </w:p>
          <w:p>
            <w:pPr>
              <w:spacing w:before="60"/>
            </w:pPr>
            <w:r>
              <w:rPr>
                <w:rFonts w:ascii="Arial" w:cs="Arial" w:eastAsia="Arial" w:hAnsi="Arial"/>
                <w:color w:val="444444"/>
                <w:sz w:val="20"/>
                <w:szCs w:val="20"/>
              </w:rPr>
              <w:t xml:space="preserve">City tier data (Census populations) is merged onto the BikeWale scrape data using city name as the join key. This join is the primary consistency risk — city names in the scrape may not exactly match city names in the Census. Fuzzy matching (using the rapidfuzz Python library with a match threshold of 85%) is required. All unmatched cities should be manually reviewed before including this analysis in the final report.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700" w:sz="2"/>
              <w:left w:val="thick" w:color="CC7700" w:sz="14"/>
              <w:bottom w:val="single" w:color="CC7700" w:sz="2"/>
              <w:right w:val="none" w:color="FFFFFF" w:sz="0"/>
            </w:tcBorders>
            <w:shd w:fill="FFF8EC" w:val="clear"/>
            <w:tcMar>
              <w:top w:type="dxa" w:w="100"/>
              <w:left w:type="dxa" w:w="200"/>
              <w:bottom w:type="dxa" w:w="100"/>
              <w:right w:type="dxa" w:w="120"/>
            </w:tcMar>
          </w:tcPr>
          <w:p>
            <w:r>
              <w:rPr>
                <w:rFonts w:ascii="Arial" w:cs="Arial" w:eastAsia="Arial" w:hAnsi="Arial"/>
                <w:b/>
                <w:bCs/>
                <w:color w:val="CC7700"/>
                <w:sz w:val="19"/>
                <w:szCs w:val="19"/>
              </w:rPr>
              <w:t xml:space="preserve">Caveat</w:t>
            </w:r>
          </w:p>
          <w:p>
            <w:pPr>
              <w:spacing w:before="60"/>
            </w:pPr>
            <w:r>
              <w:rPr>
                <w:rFonts w:ascii="Arial" w:cs="Arial" w:eastAsia="Arial" w:hAnsi="Arial"/>
                <w:color w:val="444444"/>
                <w:sz w:val="20"/>
                <w:szCs w:val="20"/>
              </w:rPr>
              <w:t xml:space="preserve">The tier cutoffs (1M, 100K population) are standard but not universal — different analysts use different boundaries. The analysis should note which classification scheme was used. Additionally, several tier 2 and tier 3 cities may have grown significantly since the 2011 Census. Where possible, use 2021 Census projections or urban agglomeration data.</w:t>
            </w:r>
          </w:p>
        </w:tc>
      </w:tr>
    </w:tbl>
    <w:p>
      <w:pPr>
        <w:pBdr>
          <w:bottom w:val="single" w:color="CCCCCC" w:sz="4" w:space="1"/>
        </w:pBdr>
        <w:spacing w:after="200" w:before="200"/>
      </w:pPr>
      <w:r>
        <w:t xml:space="preserve"/>
      </w:r>
    </w:p>
    <w:p>
      <w:pPr>
        <w:pStyle w:val="Heading1"/>
        <w:spacing w:after="160" w:before="400"/>
      </w:pPr>
      <w:bookmarkStart w:name="consistency" w:id="1"/>
      <w:r>
        <w:rPr>
          <w:rFonts w:ascii="Arial" w:cs="Arial" w:eastAsia="Arial" w:hAnsi="Arial"/>
          <w:b/>
          <w:bCs/>
          <w:color w:val="1A3A5C"/>
          <w:sz w:val="32"/>
          <w:szCs w:val="32"/>
        </w:rPr>
        <w:t xml:space="preserve">Cross-Formula Data Consistency Summary</w:t>
      </w:r>
      <w:bookmarkEnd w:id="1"/>
    </w:p>
    <w:p>
      <w:pPr>
        <w:spacing w:after="80" w:before="80"/>
      </w:pPr>
      <w:r>
        <w:rPr>
          <w:rFonts w:ascii="Arial" w:cs="Arial" w:eastAsia="Arial" w:hAnsi="Arial"/>
          <w:sz w:val="22"/>
          <w:szCs w:val="22"/>
        </w:rPr>
        <w:t xml:space="preserve">The following table summarises which data sources feed each analysis and confirms that shared sources use identical definitions.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rPr>
          <w:tblHeader/>
        </w:trPr>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Analysis</w:t>
            </w:r>
          </w:p>
        </w:tc>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Data Sources Used</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Shared Variables</w:t>
            </w:r>
          </w:p>
        </w:tc>
        <w:tc>
          <w:tcPr>
            <w:tcW w:type="dxa" w:w="2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Consistency Risk</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 Service ratio</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BikeWale scrape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SC(b,z), SW(b,z)</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None — single source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Brand baseline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BikeWale scrape (via Analysis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R(b,z)</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pure derivation</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 Deviation</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Analyses 1 &amp; 2</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R(b,z), B(b)</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None — pure derivation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Severity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D(b,z)</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pure derivation</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 Revenue leakage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BikeWale + FADA + Brand ASP</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SW(b,z), UNITS(b,z), ASP(b)</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Zone mapping must match between BikeWale and FADA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Correlation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BikeWale + FADA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R(b,z), UNITS(b,z)</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zone mapping requirement as Analysis 5</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7. Expansion index</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Analyses 3 &amp; 5</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D(b,z), UNITS(b,z)</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Inherits consistency from parent analyses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HHI clustering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BikeWale (city level)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SC(b,z,c)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 name normalisation required</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9. Maturity/balance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FADA (multi-year) + brand disclosures</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CAGR inputs</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Historical SC counts from different source — note dates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Neglect 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BikeWale (state level) + Census POP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D(b,s), POP(s)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State-level zone map must be consistent</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11. Competitor map</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Analyses 1 &amp; 4</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R(b,z), severity</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All brands must be scraped on same date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Tier split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BikeWale + Census city population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SC(b,c), SW(b,c), TIER(c)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 name fuzzy match — review unmatched cities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A" w:sz="3"/>
              <w:left w:val="thick" w:color="2E5A8A" w:sz="12"/>
              <w:bottom w:val="single" w:color="2E5A8A" w:sz="3"/>
              <w:right w:val="single" w:color="CCCCCC" w:sz="1"/>
            </w:tcBorders>
            <w:shd w:fill="EBF3FB" w:val="clear"/>
            <w:tcMar>
              <w:top w:type="dxa" w:w="120"/>
              <w:left w:type="dxa" w:w="200"/>
              <w:bottom w:type="dxa" w:w="120"/>
              <w:right w:type="dxa" w:w="120"/>
            </w:tcMar>
          </w:tcPr>
          <w:p>
            <w:r>
              <w:rPr>
                <w:rFonts w:ascii="Arial" w:cs="Arial" w:eastAsia="Arial" w:hAnsi="Arial"/>
                <w:b/>
                <w:bCs/>
                <w:color w:val="1A3A5C"/>
                <w:sz w:val="20"/>
                <w:szCs w:val="20"/>
              </w:rPr>
              <w:t xml:space="preserve">Critical consistency rule</w:t>
            </w:r>
          </w:p>
          <w:p>
            <w:pPr>
              <w:spacing w:before="60"/>
            </w:pPr>
            <w:r>
              <w:rPr>
                <w:rFonts w:ascii="Arial" w:cs="Arial" w:eastAsia="Arial" w:hAnsi="Arial"/>
                <w:color w:val="333333"/>
                <w:sz w:val="20"/>
                <w:szCs w:val="20"/>
              </w:rPr>
              <w:t xml:space="preserve">The single most important consistency requirement across this entire project is that the state-to-zone mapping is defined exactly once — in a single Python dictionary or CSV lookup table — and imported by every analysis script. Never define zone mappings separately in different scripts. One mapping file, used everywhere.</w:t>
            </w:r>
          </w:p>
        </w:tc>
      </w:tr>
    </w:tbl>
    <w:p>
      <w:pPr>
        <w:pBdr>
          <w:bottom w:val="single" w:color="CCCCCC" w:sz="4" w:space="1"/>
        </w:pBdr>
        <w:spacing w:after="200" w:before="200"/>
      </w:pPr>
      <w:r>
        <w:t xml:space="preserve"/>
      </w:r>
    </w:p>
    <w:p>
      <w:pPr>
        <w:spacing w:after="80" w:before="240"/>
        <w:jc w:val="center"/>
      </w:pPr>
      <w:r>
        <w:rPr>
          <w:rFonts w:ascii="Arial" w:cs="Arial" w:eastAsia="Arial" w:hAnsi="Arial"/>
          <w:i/>
          <w:iCs/>
          <w:color w:val="888888"/>
          <w:sz w:val="20"/>
          <w:szCs w:val="20"/>
        </w:rPr>
        <w:t xml:space="preserve">— End of Document 2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888888"/>
        <w:sz w:val="16"/>
        <w:szCs w:val="16"/>
      </w:rPr>
      <w:t xml:space="preserve">Confidential — IIM Sirmaur BMS Research Project</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1"/>
      </w:pBdr>
    </w:pPr>
    <w:r>
      <w:rPr>
        <w:rFonts w:ascii="Arial" w:cs="Arial" w:eastAsia="Arial" w:hAnsi="Arial"/>
        <w:b/>
        <w:bCs/>
        <w:color w:val="1A3A5C"/>
        <w:sz w:val="18"/>
        <w:szCs w:val="18"/>
      </w:rPr>
      <w:t xml:space="preserve">Indian Motorcycle Network Analysis</w:t>
    </w:r>
    <w:r>
      <w:rPr>
        <w:rFonts w:ascii="Arial" w:cs="Arial" w:eastAsia="Arial" w:hAnsi="Arial"/>
        <w:color w:val="666666"/>
        <w:sz w:val="18"/>
        <w:szCs w:val="18"/>
      </w:rPr>
      <w:t xml:space="preserve">		Formulas, Mathematics &amp;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A8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A6E9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2026-06-05T20:13:35.150Z</dcterms:created>
  <dcterms:modified xsi:type="dcterms:W3CDTF">2026-06-05T20:13:35.150Z</dcterms:modified>
</cp:coreProperties>
</file>

<file path=docProps/custom.xml><?xml version="1.0" encoding="utf-8"?>
<Properties xmlns="http://schemas.openxmlformats.org/officeDocument/2006/custom-properties" xmlns:vt="http://schemas.openxmlformats.org/officeDocument/2006/docPropsVTypes"/>
</file>