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0"/>
          <w:szCs w:val="30"/>
        </w:rPr>
        <w:t xml:space="preserve">SALES FORECASTING &amp; DEMAND INTELLIGENCE</w:t>
      </w:r>
    </w:p>
    <w:p>
      <w:pPr>
        <w:spacing w:after="200"/>
      </w:pPr>
      <w:r>
        <w:rPr>
          <w:i/>
          <w:iCs/>
          <w:color w:val="595959"/>
          <w:sz w:val="16"/>
          <w:szCs w:val="16"/>
        </w:rPr>
        <w:t xml:space="preserve">Executive Business Report — Prepared for the Head of Supply Chain and the CFO</w:t>
      </w:r>
    </w:p>
    <w:p>
      <w:pPr>
        <w:pBdr>
          <w:bottom w:val="single" w:color="BFBFBF" w:sz="6" w:space="1"/>
        </w:pBdr>
        <w:spacing w:after="160"/>
      </w:pPr>
    </w:p>
    <w:p>
      <w:pPr>
        <w:pStyle w:val="Heading1"/>
        <w:spacing w:after="90" w:before="180"/>
      </w:pPr>
      <w:r>
        <w:rPr>
          <w:b/>
          <w:bCs/>
          <w:color w:val="1F3864"/>
          <w:sz w:val="24"/>
          <w:szCs w:val="24"/>
        </w:rPr>
        <w:t xml:space="preserve">Executive Summary</w:t>
      </w:r>
    </w:p>
    <w:p>
      <w:pPr>
        <w:spacing w:after="100" w:line="256"/>
      </w:pPr>
      <w:r>
        <w:rPr>
          <w:color w:val="222222"/>
          <w:sz w:val="19"/>
          <w:szCs w:val="19"/>
        </w:rPr>
        <w:t xml:space="preserve">Over the past four years, the company generated $2.26 million in sales across Furniture, Office Supplies, and Technology products, sold nationwide through four regions. We built a system that studies this sales history, predicts how much we will sell over the next three months, flags weeks where sales behaved strangely, and groups products by how predictable their demand is. The bottom line: Technology is our fastest-growing category, West is our strongest region, and our best forecasting model expects total sales to land between roughly $38,000 and $51,000 per month over the next quarter, with typical forecast error of about 15%. Acting on this forecast — and on the anomaly and segmentation findings below — can reduce both stockouts and excess inventory.</w:t>
      </w:r>
    </w:p>
    <w:p>
      <w:pPr>
        <w:pStyle w:val="Heading1"/>
        <w:spacing w:after="90" w:before="180"/>
      </w:pPr>
      <w:r>
        <w:rPr>
          <w:b/>
          <w:bCs/>
          <w:color w:val="1F3864"/>
          <w:sz w:val="24"/>
          <w:szCs w:val="24"/>
        </w:rPr>
        <w:t xml:space="preserve">Key Findings</w:t>
      </w:r>
    </w:p>
    <w:p>
      <w:pPr>
        <w:pStyle w:val="Heading2"/>
        <w:spacing w:after="60" w:before="130"/>
      </w:pPr>
      <w:r>
        <w:rPr>
          <w:b/>
          <w:bCs/>
          <w:color w:val="2E74B5"/>
          <w:sz w:val="20"/>
          <w:szCs w:val="20"/>
        </w:rPr>
        <w:t xml:space="preserve">From Exploratory Analysis</w:t>
      </w:r>
    </w:p>
    <w:p>
      <w:pPr>
        <w:pStyle w:val="ListParagraph"/>
        <w:numPr>
          <w:ilvl w:val="0"/>
          <w:numId w:val="1"/>
        </w:numPr>
        <w:spacing w:after="50" w:line="250"/>
      </w:pPr>
      <w:r>
        <w:rPr>
          <w:color w:val="222222"/>
          <w:sz w:val="19"/>
          <w:szCs w:val="19"/>
        </w:rPr>
        <w:t xml:space="preserve">Technology is the highest-revenue category at $827,456 in total sales, ahead of Furniture ($728,659) and Office Supplies ($705,422).</w:t>
      </w:r>
    </w:p>
    <w:p>
      <w:pPr>
        <w:pStyle w:val="ListParagraph"/>
        <w:numPr>
          <w:ilvl w:val="0"/>
          <w:numId w:val="1"/>
        </w:numPr>
        <w:spacing w:after="50" w:line="250"/>
      </w:pPr>
      <w:r>
        <w:rPr>
          <w:color w:val="222222"/>
          <w:sz w:val="19"/>
          <w:szCs w:val="19"/>
        </w:rPr>
        <w:t xml:space="preserve">The West region leads in total sales ($710,220), followed closely by East ($669,519); Central and South trail behind.</w:t>
      </w:r>
    </w:p>
    <w:p>
      <w:pPr>
        <w:pStyle w:val="ListParagraph"/>
        <w:numPr>
          <w:ilvl w:val="0"/>
          <w:numId w:val="1"/>
        </w:numPr>
        <w:spacing w:after="50" w:line="250"/>
      </w:pPr>
      <w:r>
        <w:rPr>
          <w:color w:val="222222"/>
          <w:sz w:val="19"/>
          <w:szCs w:val="19"/>
        </w:rPr>
        <w:t xml:space="preserve">Average time from order to shipment is about 4 days and is consistent across all four regions (3.9–4.1 days), so shipping delay is not a regional problem today.</w:t>
      </w:r>
    </w:p>
    <w:p>
      <w:pPr>
        <w:pStyle w:val="ListParagraph"/>
        <w:numPr>
          <w:ilvl w:val="0"/>
          <w:numId w:val="1"/>
        </w:numPr>
        <w:spacing w:after="50" w:line="250"/>
      </w:pPr>
      <w:r>
        <w:rPr>
          <w:color w:val="222222"/>
          <w:sz w:val="19"/>
          <w:szCs w:val="19"/>
        </w:rPr>
        <w:t xml:space="preserve">Sales spike consistently in November and December every year, confirming a strong, repeatable holiday-season pattern.</w:t>
      </w:r>
    </w:p>
    <w:p>
      <w:pPr>
        <w:pStyle w:val="Heading2"/>
        <w:spacing w:after="60" w:before="130"/>
      </w:pPr>
      <w:r>
        <w:rPr>
          <w:b/>
          <w:bCs/>
          <w:color w:val="2E74B5"/>
          <w:sz w:val="20"/>
          <w:szCs w:val="20"/>
        </w:rPr>
        <w:t xml:space="preserve">From Time Series Analysis</w:t>
      </w:r>
    </w:p>
    <w:p>
      <w:pPr>
        <w:pStyle w:val="ListParagraph"/>
        <w:numPr>
          <w:ilvl w:val="0"/>
          <w:numId w:val="1"/>
        </w:numPr>
        <w:spacing w:after="50" w:line="250"/>
      </w:pPr>
      <w:r>
        <w:rPr>
          <w:color w:val="222222"/>
          <w:sz w:val="19"/>
          <w:szCs w:val="19"/>
        </w:rPr>
        <w:t xml:space="preserve">Monthly sales show a mild long-term upward trend beneath a strong, repeating yearly seasonal pattern (high in Q4, softer in Q1).</w:t>
      </w:r>
    </w:p>
    <w:p>
      <w:pPr>
        <w:pStyle w:val="ListParagraph"/>
        <w:numPr>
          <w:ilvl w:val="0"/>
          <w:numId w:val="1"/>
        </w:numPr>
        <w:spacing w:after="50" w:line="250"/>
      </w:pPr>
      <w:r>
        <w:rPr>
          <w:color w:val="222222"/>
          <w:sz w:val="19"/>
          <w:szCs w:val="19"/>
        </w:rPr>
        <w:t xml:space="preserve">A statistical stationarity test (Augmented Dickey-Fuller) showed the raw monthly series is non-stationary; after differencing (looking at month-over-month change instead of raw totals), the series became stationary, which is what allows the SARIMA model to work reliably.</w:t>
      </w:r>
    </w:p>
    <w:p>
      <w:pPr>
        <w:pStyle w:val="Heading1"/>
        <w:spacing w:after="90" w:before="180"/>
      </w:pPr>
      <w:r>
        <w:rPr>
          <w:b/>
          <w:bCs/>
          <w:color w:val="1F3864"/>
          <w:sz w:val="24"/>
          <w:szCs w:val="24"/>
        </w:rPr>
        <w:t xml:space="preserve">3-Month Sales Forecast</w:t>
      </w:r>
    </w:p>
    <w:p>
      <w:pPr>
        <w:spacing w:after="100" w:line="256"/>
      </w:pPr>
      <w:r>
        <w:rPr>
          <w:color w:val="222222"/>
          <w:sz w:val="19"/>
          <w:szCs w:val="19"/>
        </w:rPr>
        <w:t xml:space="preserve">We tested three different forecasting techniques — a classical statistical model (SARIMA), an industry-standard forecasting tool built by Meta (Prophet), and a machine-learning model (XGBoost) — and compared them on three months of data none of them had seen during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2280"/>
      </w:tblGrid>
      <w:tr>
        <w:trPr>
          <w:tblHeader/>
        </w:trPr>
        <w:tc>
          <w:tcPr>
            <w:tcW w:type="dxa" w:w="2400"/>
            <w:shd w:fill="1F3864" w:val="clear"/>
            <w:tcMar>
              <w:top w:type="dxa" w:w="80"/>
              <w:left w:type="dxa" w:w="100"/>
              <w:bottom w:type="dxa" w:w="80"/>
              <w:right w:type="dxa" w:w="100"/>
            </w:tcMar>
          </w:tcPr>
          <w:p>
            <w:r>
              <w:rPr>
                <w:b/>
                <w:bCs/>
                <w:color w:val="FFFFFF"/>
                <w:sz w:val="17"/>
                <w:szCs w:val="17"/>
              </w:rPr>
              <w:t xml:space="preserve">Model</w:t>
            </w:r>
          </w:p>
        </w:tc>
        <w:tc>
          <w:tcPr>
            <w:tcW w:type="dxa" w:w="1560"/>
            <w:shd w:fill="1F3864" w:val="clear"/>
            <w:tcMar>
              <w:top w:type="dxa" w:w="80"/>
              <w:left w:type="dxa" w:w="100"/>
              <w:bottom w:type="dxa" w:w="80"/>
              <w:right w:type="dxa" w:w="100"/>
            </w:tcMar>
          </w:tcPr>
          <w:p>
            <w:r>
              <w:rPr>
                <w:b/>
                <w:bCs/>
                <w:color w:val="FFFFFF"/>
                <w:sz w:val="17"/>
                <w:szCs w:val="17"/>
              </w:rPr>
              <w:t xml:space="preserve">MAE</w:t>
            </w:r>
          </w:p>
        </w:tc>
        <w:tc>
          <w:tcPr>
            <w:tcW w:type="dxa" w:w="1560"/>
            <w:shd w:fill="1F3864" w:val="clear"/>
            <w:tcMar>
              <w:top w:type="dxa" w:w="80"/>
              <w:left w:type="dxa" w:w="100"/>
              <w:bottom w:type="dxa" w:w="80"/>
              <w:right w:type="dxa" w:w="100"/>
            </w:tcMar>
          </w:tcPr>
          <w:p>
            <w:r>
              <w:rPr>
                <w:b/>
                <w:bCs/>
                <w:color w:val="FFFFFF"/>
                <w:sz w:val="17"/>
                <w:szCs w:val="17"/>
              </w:rPr>
              <w:t xml:space="preserve">RMSE</w:t>
            </w:r>
          </w:p>
        </w:tc>
        <w:tc>
          <w:tcPr>
            <w:tcW w:type="dxa" w:w="1560"/>
            <w:shd w:fill="1F3864" w:val="clear"/>
            <w:tcMar>
              <w:top w:type="dxa" w:w="80"/>
              <w:left w:type="dxa" w:w="100"/>
              <w:bottom w:type="dxa" w:w="80"/>
              <w:right w:type="dxa" w:w="100"/>
            </w:tcMar>
          </w:tcPr>
          <w:p>
            <w:r>
              <w:rPr>
                <w:b/>
                <w:bCs/>
                <w:color w:val="FFFFFF"/>
                <w:sz w:val="17"/>
                <w:szCs w:val="17"/>
              </w:rPr>
              <w:t xml:space="preserve">MAPE</w:t>
            </w:r>
          </w:p>
        </w:tc>
        <w:tc>
          <w:tcPr>
            <w:tcW w:type="dxa" w:w="2280"/>
            <w:shd w:fill="1F3864" w:val="clear"/>
            <w:tcMar>
              <w:top w:type="dxa" w:w="80"/>
              <w:left w:type="dxa" w:w="100"/>
              <w:bottom w:type="dxa" w:w="80"/>
              <w:right w:type="dxa" w:w="100"/>
            </w:tcMar>
          </w:tcPr>
          <w:p>
            <w:r>
              <w:rPr>
                <w:b/>
                <w:bCs/>
                <w:color w:val="FFFFFF"/>
                <w:sz w:val="17"/>
                <w:szCs w:val="17"/>
              </w:rPr>
              <w:t xml:space="preserve">Recommended?</w:t>
            </w:r>
          </w:p>
        </w:tc>
      </w:tr>
      <w:tr>
        <w:tc>
          <w:tcPr>
            <w:tcW w:type="dxa" w:w="2400"/>
            <w:shd w:fill="DCE6F1" w:val="clear"/>
            <w:tcMar>
              <w:top w:type="dxa" w:w="80"/>
              <w:left w:type="dxa" w:w="100"/>
              <w:bottom w:type="dxa" w:w="80"/>
              <w:right w:type="dxa" w:w="100"/>
            </w:tcMar>
          </w:tcPr>
          <w:p>
            <w:r>
              <w:rPr>
                <w:b w:val="false"/>
                <w:bCs w:val="false"/>
                <w:color w:val="222222"/>
                <w:sz w:val="17"/>
                <w:szCs w:val="17"/>
              </w:rPr>
              <w:t xml:space="preserve">XGBoost</w:t>
            </w:r>
          </w:p>
        </w:tc>
        <w:tc>
          <w:tcPr>
            <w:tcW w:type="dxa" w:w="1560"/>
            <w:shd w:fill="DCE6F1" w:val="clear"/>
            <w:tcMar>
              <w:top w:type="dxa" w:w="80"/>
              <w:left w:type="dxa" w:w="100"/>
              <w:bottom w:type="dxa" w:w="80"/>
              <w:right w:type="dxa" w:w="100"/>
            </w:tcMar>
          </w:tcPr>
          <w:p>
            <w:r>
              <w:rPr>
                <w:b w:val="false"/>
                <w:bCs w:val="false"/>
                <w:color w:val="222222"/>
                <w:sz w:val="17"/>
                <w:szCs w:val="17"/>
              </w:rPr>
              <w:t xml:space="preserve">15,007</w:t>
            </w:r>
          </w:p>
        </w:tc>
        <w:tc>
          <w:tcPr>
            <w:tcW w:type="dxa" w:w="1560"/>
            <w:shd w:fill="DCE6F1" w:val="clear"/>
            <w:tcMar>
              <w:top w:type="dxa" w:w="80"/>
              <w:left w:type="dxa" w:w="100"/>
              <w:bottom w:type="dxa" w:w="80"/>
              <w:right w:type="dxa" w:w="100"/>
            </w:tcMar>
          </w:tcPr>
          <w:p>
            <w:r>
              <w:rPr>
                <w:b w:val="false"/>
                <w:bCs w:val="false"/>
                <w:color w:val="222222"/>
                <w:sz w:val="17"/>
                <w:szCs w:val="17"/>
              </w:rPr>
              <w:t xml:space="preserve">18,677</w:t>
            </w:r>
          </w:p>
        </w:tc>
        <w:tc>
          <w:tcPr>
            <w:tcW w:type="dxa" w:w="1560"/>
            <w:shd w:fill="DCE6F1" w:val="clear"/>
            <w:tcMar>
              <w:top w:type="dxa" w:w="80"/>
              <w:left w:type="dxa" w:w="100"/>
              <w:bottom w:type="dxa" w:w="80"/>
              <w:right w:type="dxa" w:w="100"/>
            </w:tcMar>
          </w:tcPr>
          <w:p>
            <w:r>
              <w:rPr>
                <w:b w:val="false"/>
                <w:bCs w:val="false"/>
                <w:color w:val="222222"/>
                <w:sz w:val="17"/>
                <w:szCs w:val="17"/>
              </w:rPr>
              <w:t xml:space="preserve">14.6%</w:t>
            </w:r>
          </w:p>
        </w:tc>
        <w:tc>
          <w:tcPr>
            <w:tcW w:type="dxa" w:w="2280"/>
            <w:shd w:fill="DCE6F1" w:val="clear"/>
            <w:tcMar>
              <w:top w:type="dxa" w:w="80"/>
              <w:left w:type="dxa" w:w="100"/>
              <w:bottom w:type="dxa" w:w="80"/>
              <w:right w:type="dxa" w:w="100"/>
            </w:tcMar>
          </w:tcPr>
          <w:p>
            <w:r>
              <w:rPr>
                <w:b w:val="false"/>
                <w:bCs w:val="false"/>
                <w:color w:val="222222"/>
                <w:sz w:val="17"/>
                <w:szCs w:val="17"/>
              </w:rPr>
              <w:t xml:space="preserve">Yes — lowest error on all 3 measures</w:t>
            </w:r>
          </w:p>
        </w:tc>
      </w:tr>
      <w:tr>
        <w:tc>
          <w:tcPr>
            <w:tcW w:type="dxa" w:w="2400"/>
            <w:tcMar>
              <w:top w:type="dxa" w:w="80"/>
              <w:left w:type="dxa" w:w="100"/>
              <w:bottom w:type="dxa" w:w="80"/>
              <w:right w:type="dxa" w:w="100"/>
            </w:tcMar>
          </w:tcPr>
          <w:p>
            <w:r>
              <w:rPr>
                <w:b w:val="false"/>
                <w:bCs w:val="false"/>
                <w:color w:val="222222"/>
                <w:sz w:val="17"/>
                <w:szCs w:val="17"/>
              </w:rPr>
              <w:t xml:space="preserve">SARIMA</w:t>
            </w:r>
          </w:p>
        </w:tc>
        <w:tc>
          <w:tcPr>
            <w:tcW w:type="dxa" w:w="1560"/>
            <w:tcMar>
              <w:top w:type="dxa" w:w="80"/>
              <w:left w:type="dxa" w:w="100"/>
              <w:bottom w:type="dxa" w:w="80"/>
              <w:right w:type="dxa" w:w="100"/>
            </w:tcMar>
          </w:tcPr>
          <w:p>
            <w:r>
              <w:rPr>
                <w:b w:val="false"/>
                <w:bCs w:val="false"/>
                <w:color w:val="222222"/>
                <w:sz w:val="17"/>
                <w:szCs w:val="17"/>
              </w:rPr>
              <w:t xml:space="preserve">19,244</w:t>
            </w:r>
          </w:p>
        </w:tc>
        <w:tc>
          <w:tcPr>
            <w:tcW w:type="dxa" w:w="1560"/>
            <w:tcMar>
              <w:top w:type="dxa" w:w="80"/>
              <w:left w:type="dxa" w:w="100"/>
              <w:bottom w:type="dxa" w:w="80"/>
              <w:right w:type="dxa" w:w="100"/>
            </w:tcMar>
          </w:tcPr>
          <w:p>
            <w:r>
              <w:rPr>
                <w:b w:val="false"/>
                <w:bCs w:val="false"/>
                <w:color w:val="222222"/>
                <w:sz w:val="17"/>
                <w:szCs w:val="17"/>
              </w:rPr>
              <w:t xml:space="preserve">19,950</w:t>
            </w:r>
          </w:p>
        </w:tc>
        <w:tc>
          <w:tcPr>
            <w:tcW w:type="dxa" w:w="1560"/>
            <w:tcMar>
              <w:top w:type="dxa" w:w="80"/>
              <w:left w:type="dxa" w:w="100"/>
              <w:bottom w:type="dxa" w:w="80"/>
              <w:right w:type="dxa" w:w="100"/>
            </w:tcMar>
          </w:tcPr>
          <w:p>
            <w:r>
              <w:rPr>
                <w:b w:val="false"/>
                <w:bCs w:val="false"/>
                <w:color w:val="222222"/>
                <w:sz w:val="17"/>
                <w:szCs w:val="17"/>
              </w:rPr>
              <w:t xml:space="preserve">20.5%</w:t>
            </w:r>
          </w:p>
        </w:tc>
        <w:tc>
          <w:tcPr>
            <w:tcW w:type="dxa" w:w="2280"/>
            <w:tcMar>
              <w:top w:type="dxa" w:w="80"/>
              <w:left w:type="dxa" w:w="100"/>
              <w:bottom w:type="dxa" w:w="80"/>
              <w:right w:type="dxa" w:w="100"/>
            </w:tcMar>
          </w:tcPr>
          <w:p>
            <w:r>
              <w:rPr>
                <w:b w:val="false"/>
                <w:bCs w:val="false"/>
                <w:color w:val="222222"/>
                <w:sz w:val="17"/>
                <w:szCs w:val="17"/>
              </w:rPr>
              <w:t xml:space="preserve">No — higher error</w:t>
            </w:r>
          </w:p>
        </w:tc>
      </w:tr>
      <w:tr>
        <w:tc>
          <w:tcPr>
            <w:tcW w:type="dxa" w:w="2400"/>
            <w:shd w:fill="DCE6F1" w:val="clear"/>
            <w:tcMar>
              <w:top w:type="dxa" w:w="80"/>
              <w:left w:type="dxa" w:w="100"/>
              <w:bottom w:type="dxa" w:w="80"/>
              <w:right w:type="dxa" w:w="100"/>
            </w:tcMar>
          </w:tcPr>
          <w:p>
            <w:r>
              <w:rPr>
                <w:b w:val="false"/>
                <w:bCs w:val="false"/>
                <w:color w:val="222222"/>
                <w:sz w:val="17"/>
                <w:szCs w:val="17"/>
              </w:rPr>
              <w:t xml:space="preserve">Prophet</w:t>
            </w:r>
          </w:p>
        </w:tc>
        <w:tc>
          <w:tcPr>
            <w:tcW w:type="dxa" w:w="1560"/>
            <w:shd w:fill="DCE6F1" w:val="clear"/>
            <w:tcMar>
              <w:top w:type="dxa" w:w="80"/>
              <w:left w:type="dxa" w:w="100"/>
              <w:bottom w:type="dxa" w:w="80"/>
              <w:right w:type="dxa" w:w="100"/>
            </w:tcMar>
          </w:tcPr>
          <w:p>
            <w:r>
              <w:rPr>
                <w:b w:val="false"/>
                <w:bCs w:val="false"/>
                <w:color w:val="222222"/>
                <w:sz w:val="17"/>
                <w:szCs w:val="17"/>
              </w:rPr>
              <w:t xml:space="preserve">20,296</w:t>
            </w:r>
          </w:p>
        </w:tc>
        <w:tc>
          <w:tcPr>
            <w:tcW w:type="dxa" w:w="1560"/>
            <w:shd w:fill="DCE6F1" w:val="clear"/>
            <w:tcMar>
              <w:top w:type="dxa" w:w="80"/>
              <w:left w:type="dxa" w:w="100"/>
              <w:bottom w:type="dxa" w:w="80"/>
              <w:right w:type="dxa" w:w="100"/>
            </w:tcMar>
          </w:tcPr>
          <w:p>
            <w:r>
              <w:rPr>
                <w:b w:val="false"/>
                <w:bCs w:val="false"/>
                <w:color w:val="222222"/>
                <w:sz w:val="17"/>
                <w:szCs w:val="17"/>
              </w:rPr>
              <w:t xml:space="preserve">22,487</w:t>
            </w:r>
          </w:p>
        </w:tc>
        <w:tc>
          <w:tcPr>
            <w:tcW w:type="dxa" w:w="1560"/>
            <w:shd w:fill="DCE6F1" w:val="clear"/>
            <w:tcMar>
              <w:top w:type="dxa" w:w="80"/>
              <w:left w:type="dxa" w:w="100"/>
              <w:bottom w:type="dxa" w:w="80"/>
              <w:right w:type="dxa" w:w="100"/>
            </w:tcMar>
          </w:tcPr>
          <w:p>
            <w:r>
              <w:rPr>
                <w:b w:val="false"/>
                <w:bCs w:val="false"/>
                <w:color w:val="222222"/>
                <w:sz w:val="17"/>
                <w:szCs w:val="17"/>
              </w:rPr>
              <w:t xml:space="preserve">21.9%</w:t>
            </w:r>
          </w:p>
        </w:tc>
        <w:tc>
          <w:tcPr>
            <w:tcW w:type="dxa" w:w="2280"/>
            <w:shd w:fill="DCE6F1" w:val="clear"/>
            <w:tcMar>
              <w:top w:type="dxa" w:w="80"/>
              <w:left w:type="dxa" w:w="100"/>
              <w:bottom w:type="dxa" w:w="80"/>
              <w:right w:type="dxa" w:w="100"/>
            </w:tcMar>
          </w:tcPr>
          <w:p>
            <w:r>
              <w:rPr>
                <w:b w:val="false"/>
                <w:bCs w:val="false"/>
                <w:color w:val="222222"/>
                <w:sz w:val="17"/>
                <w:szCs w:val="17"/>
              </w:rPr>
              <w:t xml:space="preserve">No — highest error</w:t>
            </w:r>
          </w:p>
        </w:tc>
      </w:tr>
    </w:tbl>
    <w:p>
      <w:pPr>
        <w:spacing w:after="100" w:before="160"/>
      </w:pPr>
    </w:p>
    <w:p>
      <w:pPr>
        <w:spacing w:after="100" w:line="256"/>
      </w:pPr>
      <w:r>
        <w:rPr>
          <w:color w:val="222222"/>
          <w:sz w:val="19"/>
          <w:szCs w:val="19"/>
        </w:rPr>
        <w:t xml:space="preserve">XGBoost is the recommended production model: it produced the smallest average error (MAE), the smallest error on large misses (RMSE), and the smallest percentage error (MAPE) of the three. In plain terms, its typical monthly forecast is off by about 15%, which is tighter than the other two models.</w:t>
      </w:r>
    </w:p>
    <w:p>
      <w:pPr>
        <w:spacing w:after="100" w:line="256"/>
      </w:pPr>
      <w:r>
        <w:rPr>
          <w:b w:val="false"/>
          <w:bCs w:val="false"/>
          <w:color w:val="222222"/>
          <w:sz w:val="19"/>
          <w:szCs w:val="19"/>
        </w:rPr>
        <w:t xml:space="preserve">In plain language, based on the XGBoost model, expect total company sales of approximately:</w:t>
      </w:r>
    </w:p>
    <w:p>
      <w:pPr>
        <w:pStyle w:val="ListParagraph"/>
        <w:numPr>
          <w:ilvl w:val="0"/>
          <w:numId w:val="1"/>
        </w:numPr>
        <w:spacing w:after="50" w:line="250"/>
      </w:pPr>
      <w:r>
        <w:rPr>
          <w:color w:val="222222"/>
          <w:sz w:val="19"/>
          <w:szCs w:val="19"/>
        </w:rPr>
        <w:t xml:space="preserve">Month 1: ~$44,500 (typically accurate within about ±15%, i.e. roughly $38,000–$51,000)</w:t>
      </w:r>
    </w:p>
    <w:p>
      <w:pPr>
        <w:pStyle w:val="ListParagraph"/>
        <w:numPr>
          <w:ilvl w:val="0"/>
          <w:numId w:val="1"/>
        </w:numPr>
        <w:spacing w:after="50" w:line="250"/>
      </w:pPr>
      <w:r>
        <w:rPr>
          <w:color w:val="222222"/>
          <w:sz w:val="19"/>
          <w:szCs w:val="19"/>
        </w:rPr>
        <w:t xml:space="preserve">Month 2: ~$37,800 (roughly $32,000–$43,000)</w:t>
      </w:r>
    </w:p>
    <w:p>
      <w:pPr>
        <w:pStyle w:val="ListParagraph"/>
        <w:numPr>
          <w:ilvl w:val="0"/>
          <w:numId w:val="1"/>
        </w:numPr>
        <w:spacing w:after="50" w:line="250"/>
      </w:pPr>
      <w:r>
        <w:rPr>
          <w:color w:val="222222"/>
          <w:sz w:val="19"/>
          <w:szCs w:val="19"/>
        </w:rPr>
        <w:t xml:space="preserve">Month 3: ~$50,800 (roughly $43,000–$58,000)</w:t>
      </w:r>
    </w:p>
    <w:p>
      <w:pPr>
        <w:spacing w:after="100" w:line="256"/>
      </w:pPr>
      <w:r>
        <w:rPr>
          <w:color w:val="222222"/>
          <w:sz w:val="19"/>
          <w:szCs w:val="19"/>
        </w:rPr>
        <w:t xml:space="preserve">These are single best-guess numbers, not guarantees — the ±15% range reflects the model's typical historical error and should be used to set safety-stock buffers rather than exact order quantities.</w:t>
      </w:r>
    </w:p>
    <w:p>
      <w:pPr>
        <w:pStyle w:val="Heading1"/>
        <w:spacing w:after="90" w:before="180"/>
      </w:pPr>
      <w:r>
        <w:rPr>
          <w:b/>
          <w:bCs/>
          <w:color w:val="1F3864"/>
          <w:sz w:val="24"/>
          <w:szCs w:val="24"/>
        </w:rPr>
        <w:t xml:space="preserve">Top 3 Anomalies Detected</w:t>
      </w:r>
    </w:p>
    <w:p>
      <w:pPr>
        <w:spacing w:after="100" w:line="256"/>
      </w:pPr>
      <w:r>
        <w:rPr>
          <w:color w:val="222222"/>
          <w:sz w:val="19"/>
          <w:szCs w:val="19"/>
        </w:rPr>
        <w:t xml:space="preserve">We used two independent methods — Isolation Forest (a machine-learning outlier detector) and a rolling Z-Score (flags weeks more than 2 standard deviations from the recent average) — to scan four years of weekly sales. The two methods agreed on some weeks and disagreed on others, which is expected: Isolation Forest is better at catching unusual patterns generally, while Z-Score is better tuned to sudden jumps relative to a recent baseline. The three largest anomalies were:</w:t>
      </w:r>
    </w:p>
    <w:p>
      <w:pPr>
        <w:pStyle w:val="ListParagraph"/>
        <w:numPr>
          <w:ilvl w:val="0"/>
          <w:numId w:val="1"/>
        </w:numPr>
        <w:spacing w:after="50" w:line="250"/>
      </w:pPr>
      <w:r>
        <w:rPr>
          <w:color w:val="222222"/>
          <w:sz w:val="19"/>
          <w:szCs w:val="19"/>
        </w:rPr>
        <w:t xml:space="preserve">March 22, 2015 — sales spiked to $37,704 in a single week (flagged by both methods). Likely cause: a large bulk order or a short-term promotion.</w:t>
      </w:r>
    </w:p>
    <w:p>
      <w:pPr>
        <w:pStyle w:val="ListParagraph"/>
        <w:numPr>
          <w:ilvl w:val="0"/>
          <w:numId w:val="1"/>
        </w:numPr>
        <w:spacing w:after="50" w:line="250"/>
      </w:pPr>
      <w:r>
        <w:rPr>
          <w:color w:val="222222"/>
          <w:sz w:val="19"/>
          <w:szCs w:val="19"/>
        </w:rPr>
        <w:t xml:space="preserve">December 2, 2018 — sales reached $35,999 during the holiday shopping period. Likely cause: year-end/holiday promotional demand.</w:t>
      </w:r>
    </w:p>
    <w:p>
      <w:pPr>
        <w:pStyle w:val="ListParagraph"/>
        <w:numPr>
          <w:ilvl w:val="0"/>
          <w:numId w:val="1"/>
        </w:numPr>
        <w:spacing w:after="50" w:line="250"/>
      </w:pPr>
      <w:r>
        <w:rPr>
          <w:color w:val="222222"/>
          <w:sz w:val="19"/>
          <w:szCs w:val="19"/>
        </w:rPr>
        <w:t xml:space="preserve">November 18, 2018 — sales reached $30,572, also within the November–December holiday window. Likely cause: Black Friday/Cyber Monday-style promotional activity.</w:t>
      </w:r>
    </w:p>
    <w:p>
      <w:pPr>
        <w:pStyle w:val="Heading1"/>
        <w:spacing w:after="90" w:before="180"/>
      </w:pPr>
      <w:r>
        <w:rPr>
          <w:b/>
          <w:bCs/>
          <w:color w:val="1F3864"/>
          <w:sz w:val="24"/>
          <w:szCs w:val="24"/>
        </w:rPr>
        <w:t xml:space="preserve">Product Demand Segmentation</w:t>
      </w:r>
    </w:p>
    <w:p>
      <w:pPr>
        <w:spacing w:after="100" w:line="256"/>
      </w:pPr>
      <w:r>
        <w:rPr>
          <w:color w:val="222222"/>
          <w:sz w:val="19"/>
          <w:szCs w:val="19"/>
        </w:rPr>
        <w:t xml:space="preserve">We grouped the 17 product sub-categories into four demand segments based on how much they sell, how volatile their sales are, and how fast they are growing: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260"/>
      </w:tblGrid>
      <w:tr>
        <w:trPr>
          <w:tblHeader/>
        </w:trPr>
        <w:tc>
          <w:tcPr>
            <w:tcW w:type="dxa" w:w="2700"/>
            <w:shd w:fill="1F3864" w:val="clear"/>
            <w:tcMar>
              <w:top w:type="dxa" w:w="80"/>
              <w:left w:type="dxa" w:w="100"/>
              <w:bottom w:type="dxa" w:w="80"/>
              <w:right w:type="dxa" w:w="100"/>
            </w:tcMar>
          </w:tcPr>
          <w:p>
            <w:r>
              <w:rPr>
                <w:b/>
                <w:bCs/>
                <w:color w:val="FFFFFF"/>
                <w:sz w:val="17"/>
                <w:szCs w:val="17"/>
              </w:rPr>
              <w:t xml:space="preserve">Segment</w:t>
            </w:r>
          </w:p>
        </w:tc>
        <w:tc>
          <w:tcPr>
            <w:tcW w:type="dxa" w:w="3400"/>
            <w:shd w:fill="1F3864" w:val="clear"/>
            <w:tcMar>
              <w:top w:type="dxa" w:w="80"/>
              <w:left w:type="dxa" w:w="100"/>
              <w:bottom w:type="dxa" w:w="80"/>
              <w:right w:type="dxa" w:w="100"/>
            </w:tcMar>
          </w:tcPr>
          <w:p>
            <w:r>
              <w:rPr>
                <w:b/>
                <w:bCs/>
                <w:color w:val="FFFFFF"/>
                <w:sz w:val="17"/>
                <w:szCs w:val="17"/>
              </w:rPr>
              <w:t xml:space="preserve">Example Sub-Categories</w:t>
            </w:r>
          </w:p>
        </w:tc>
        <w:tc>
          <w:tcPr>
            <w:tcW w:type="dxa" w:w="3260"/>
            <w:shd w:fill="1F3864" w:val="clear"/>
            <w:tcMar>
              <w:top w:type="dxa" w:w="80"/>
              <w:left w:type="dxa" w:w="100"/>
              <w:bottom w:type="dxa" w:w="80"/>
              <w:right w:type="dxa" w:w="100"/>
            </w:tcMar>
          </w:tcPr>
          <w:p>
            <w:r>
              <w:rPr>
                <w:b/>
                <w:bCs/>
                <w:color w:val="FFFFFF"/>
                <w:sz w:val="17"/>
                <w:szCs w:val="17"/>
              </w:rPr>
              <w:t xml:space="preserve">Recommended Stocking Strategy</w:t>
            </w:r>
          </w:p>
        </w:tc>
      </w:tr>
      <w:tr>
        <w:tc>
          <w:tcPr>
            <w:tcW w:type="dxa" w:w="2700"/>
            <w:shd w:fill="DCE6F1" w:val="clear"/>
            <w:tcMar>
              <w:top w:type="dxa" w:w="80"/>
              <w:left w:type="dxa" w:w="100"/>
              <w:bottom w:type="dxa" w:w="80"/>
              <w:right w:type="dxa" w:w="100"/>
            </w:tcMar>
          </w:tcPr>
          <w:p>
            <w:r>
              <w:rPr>
                <w:b w:val="false"/>
                <w:bCs w:val="false"/>
                <w:color w:val="222222"/>
                <w:sz w:val="17"/>
                <w:szCs w:val="17"/>
              </w:rPr>
              <w:t xml:space="preserve">High Volume, Stable Demand</w:t>
            </w:r>
          </w:p>
        </w:tc>
        <w:tc>
          <w:tcPr>
            <w:tcW w:type="dxa" w:w="3400"/>
            <w:shd w:fill="DCE6F1" w:val="clear"/>
            <w:tcMar>
              <w:top w:type="dxa" w:w="80"/>
              <w:left w:type="dxa" w:w="100"/>
              <w:bottom w:type="dxa" w:w="80"/>
              <w:right w:type="dxa" w:w="100"/>
            </w:tcMar>
          </w:tcPr>
          <w:p>
            <w:r>
              <w:rPr>
                <w:b w:val="false"/>
                <w:bCs w:val="false"/>
                <w:color w:val="222222"/>
                <w:sz w:val="17"/>
                <w:szCs w:val="17"/>
              </w:rPr>
              <w:t xml:space="preserve">Phones, Chairs, Storage, Binders, Tables, Accessories</w:t>
            </w:r>
          </w:p>
        </w:tc>
        <w:tc>
          <w:tcPr>
            <w:tcW w:type="dxa" w:w="3260"/>
            <w:shd w:fill="DCE6F1" w:val="clear"/>
            <w:tcMar>
              <w:top w:type="dxa" w:w="80"/>
              <w:left w:type="dxa" w:w="100"/>
              <w:bottom w:type="dxa" w:w="80"/>
              <w:right w:type="dxa" w:w="100"/>
            </w:tcMar>
          </w:tcPr>
          <w:p>
            <w:r>
              <w:rPr>
                <w:b w:val="false"/>
                <w:bCs w:val="false"/>
                <w:color w:val="222222"/>
                <w:sz w:val="17"/>
                <w:szCs w:val="17"/>
              </w:rPr>
              <w:t xml:space="preserve">Keep high base stock; replenish frequently and predictably.</w:t>
            </w:r>
          </w:p>
        </w:tc>
      </w:tr>
      <w:tr>
        <w:tc>
          <w:tcPr>
            <w:tcW w:type="dxa" w:w="2700"/>
            <w:tcMar>
              <w:top w:type="dxa" w:w="80"/>
              <w:left w:type="dxa" w:w="100"/>
              <w:bottom w:type="dxa" w:w="80"/>
              <w:right w:type="dxa" w:w="100"/>
            </w:tcMar>
          </w:tcPr>
          <w:p>
            <w:r>
              <w:rPr>
                <w:b w:val="false"/>
                <w:bCs w:val="false"/>
                <w:color w:val="222222"/>
                <w:sz w:val="17"/>
                <w:szCs w:val="17"/>
              </w:rPr>
              <w:t xml:space="preserve">Growing Demand</w:t>
            </w:r>
          </w:p>
        </w:tc>
        <w:tc>
          <w:tcPr>
            <w:tcW w:type="dxa" w:w="3400"/>
            <w:tcMar>
              <w:top w:type="dxa" w:w="80"/>
              <w:left w:type="dxa" w:w="100"/>
              <w:bottom w:type="dxa" w:w="80"/>
              <w:right w:type="dxa" w:w="100"/>
            </w:tcMar>
          </w:tcPr>
          <w:p>
            <w:r>
              <w:rPr>
                <w:b w:val="false"/>
                <w:bCs w:val="false"/>
                <w:color w:val="222222"/>
                <w:sz w:val="17"/>
                <w:szCs w:val="17"/>
              </w:rPr>
              <w:t xml:space="preserve">Appliances, Art, Bookcases, Furnishings, Paper, and 6 others</w:t>
            </w:r>
          </w:p>
        </w:tc>
        <w:tc>
          <w:tcPr>
            <w:tcW w:type="dxa" w:w="3260"/>
            <w:tcMar>
              <w:top w:type="dxa" w:w="80"/>
              <w:left w:type="dxa" w:w="100"/>
              <w:bottom w:type="dxa" w:w="80"/>
              <w:right w:type="dxa" w:w="100"/>
            </w:tcMar>
          </w:tcPr>
          <w:p>
            <w:r>
              <w:rPr>
                <w:b w:val="false"/>
                <w:bCs w:val="false"/>
                <w:color w:val="222222"/>
                <w:sz w:val="17"/>
                <w:szCs w:val="17"/>
              </w:rPr>
              <w:t xml:space="preserve">Gradually raise reorder levels and confirm supplier capacity can keep up.</w:t>
            </w:r>
          </w:p>
        </w:tc>
      </w:tr>
      <w:tr>
        <w:tc>
          <w:tcPr>
            <w:tcW w:type="dxa" w:w="2700"/>
            <w:shd w:fill="DCE6F1" w:val="clear"/>
            <w:tcMar>
              <w:top w:type="dxa" w:w="80"/>
              <w:left w:type="dxa" w:w="100"/>
              <w:bottom w:type="dxa" w:w="80"/>
              <w:right w:type="dxa" w:w="100"/>
            </w:tcMar>
          </w:tcPr>
          <w:p>
            <w:r>
              <w:rPr>
                <w:b w:val="false"/>
                <w:bCs w:val="false"/>
                <w:color w:val="222222"/>
                <w:sz w:val="17"/>
                <w:szCs w:val="17"/>
              </w:rPr>
              <w:t xml:space="preserve">Low Volume, High Volatility</w:t>
            </w:r>
          </w:p>
        </w:tc>
        <w:tc>
          <w:tcPr>
            <w:tcW w:type="dxa" w:w="3400"/>
            <w:shd w:fill="DCE6F1" w:val="clear"/>
            <w:tcMar>
              <w:top w:type="dxa" w:w="80"/>
              <w:left w:type="dxa" w:w="100"/>
              <w:bottom w:type="dxa" w:w="80"/>
              <w:right w:type="dxa" w:w="100"/>
            </w:tcMar>
          </w:tcPr>
          <w:p>
            <w:r>
              <w:rPr>
                <w:b w:val="false"/>
                <w:bCs w:val="false"/>
                <w:color w:val="222222"/>
                <w:sz w:val="17"/>
                <w:szCs w:val="17"/>
              </w:rPr>
              <w:t xml:space="preserve">Copiers</w:t>
            </w:r>
          </w:p>
        </w:tc>
        <w:tc>
          <w:tcPr>
            <w:tcW w:type="dxa" w:w="3260"/>
            <w:shd w:fill="DCE6F1" w:val="clear"/>
            <w:tcMar>
              <w:top w:type="dxa" w:w="80"/>
              <w:left w:type="dxa" w:w="100"/>
              <w:bottom w:type="dxa" w:w="80"/>
              <w:right w:type="dxa" w:w="100"/>
            </w:tcMar>
          </w:tcPr>
          <w:p>
            <w:r>
              <w:rPr>
                <w:b w:val="false"/>
                <w:bCs w:val="false"/>
                <w:color w:val="222222"/>
                <w:sz w:val="17"/>
                <w:szCs w:val="17"/>
              </w:rPr>
              <w:t xml:space="preserve">Keep conservative safety stock; monitor demand weekly rather than relying on a fixed reorder point.</w:t>
            </w:r>
          </w:p>
        </w:tc>
      </w:tr>
      <w:tr>
        <w:tc>
          <w:tcPr>
            <w:tcW w:type="dxa" w:w="2700"/>
            <w:tcMar>
              <w:top w:type="dxa" w:w="80"/>
              <w:left w:type="dxa" w:w="100"/>
              <w:bottom w:type="dxa" w:w="80"/>
              <w:right w:type="dxa" w:w="100"/>
            </w:tcMar>
          </w:tcPr>
          <w:p>
            <w:r>
              <w:rPr>
                <w:b w:val="false"/>
                <w:bCs w:val="false"/>
                <w:color w:val="222222"/>
                <w:sz w:val="17"/>
                <w:szCs w:val="17"/>
              </w:rPr>
              <w:t xml:space="preserve">Declining / Slow Demand</w:t>
            </w:r>
          </w:p>
        </w:tc>
        <w:tc>
          <w:tcPr>
            <w:tcW w:type="dxa" w:w="3400"/>
            <w:tcMar>
              <w:top w:type="dxa" w:w="80"/>
              <w:left w:type="dxa" w:w="100"/>
              <w:bottom w:type="dxa" w:w="80"/>
              <w:right w:type="dxa" w:w="100"/>
            </w:tcMar>
          </w:tcPr>
          <w:p>
            <w:r>
              <w:rPr>
                <w:b w:val="false"/>
                <w:bCs w:val="false"/>
                <w:color w:val="222222"/>
                <w:sz w:val="17"/>
                <w:szCs w:val="17"/>
              </w:rPr>
              <w:t xml:space="preserve">Machines</w:t>
            </w:r>
          </w:p>
        </w:tc>
        <w:tc>
          <w:tcPr>
            <w:tcW w:type="dxa" w:w="3260"/>
            <w:tcMar>
              <w:top w:type="dxa" w:w="80"/>
              <w:left w:type="dxa" w:w="100"/>
              <w:bottom w:type="dxa" w:w="80"/>
              <w:right w:type="dxa" w:w="100"/>
            </w:tcMar>
          </w:tcPr>
          <w:p>
            <w:r>
              <w:rPr>
                <w:b w:val="false"/>
                <w:bCs w:val="false"/>
                <w:color w:val="222222"/>
                <w:sz w:val="17"/>
                <w:szCs w:val="17"/>
              </w:rPr>
              <w:t xml:space="preserve">Reduce inventory exposure; avoid overstocking and consider phased discounting of excess stock.</w:t>
            </w:r>
          </w:p>
        </w:tc>
      </w:tr>
    </w:tbl>
    <w:p>
      <w:pPr>
        <w:spacing w:before="220"/>
      </w:pPr>
    </w:p>
    <w:p>
      <w:pPr>
        <w:pStyle w:val="Heading1"/>
        <w:spacing w:after="90" w:before="180"/>
      </w:pPr>
      <w:r>
        <w:rPr>
          <w:b/>
          <w:bCs/>
          <w:color w:val="1F3864"/>
          <w:sz w:val="24"/>
          <w:szCs w:val="24"/>
        </w:rPr>
        <w:t xml:space="preserve">Business Recommendations</w:t>
      </w:r>
    </w:p>
    <w:p>
      <w:pPr>
        <w:pStyle w:val="ListParagraph"/>
        <w:numPr>
          <w:ilvl w:val="0"/>
          <w:numId w:val="1"/>
        </w:numPr>
        <w:spacing w:after="50" w:line="250"/>
      </w:pPr>
      <w:r>
        <w:rPr>
          <w:color w:val="222222"/>
          <w:sz w:val="19"/>
          <w:szCs w:val="19"/>
        </w:rPr>
        <w:t xml:space="preserve">Prioritize Technology inventory ahead of Q4: Technology is both the highest-revenue category and the segment with the strongest forecast growth (+206% projected forecast growth over the 3-month window vs. +34–81% for other segments), so allocate incremental warehouse and working capital there first.</w:t>
      </w:r>
    </w:p>
    <w:p>
      <w:pPr>
        <w:pStyle w:val="ListParagraph"/>
        <w:numPr>
          <w:ilvl w:val="0"/>
          <w:numId w:val="1"/>
        </w:numPr>
        <w:spacing w:after="50" w:line="250"/>
      </w:pPr>
      <w:r>
        <w:rPr>
          <w:color w:val="222222"/>
          <w:sz w:val="19"/>
          <w:szCs w:val="19"/>
        </w:rPr>
        <w:t xml:space="preserve">Build a November–December promotional demand buffer: three of the largest anomalies detected cluster in the holiday window (Nov–Dec), so increase safety stock by an estimated 20–30% for high-volume sub-categories during that period rather than treating each spike as a one-off surprise.</w:t>
      </w:r>
    </w:p>
    <w:p>
      <w:pPr>
        <w:pStyle w:val="ListParagraph"/>
        <w:numPr>
          <w:ilvl w:val="0"/>
          <w:numId w:val="1"/>
        </w:numPr>
        <w:spacing w:after="50" w:line="250"/>
      </w:pPr>
      <w:r>
        <w:rPr>
          <w:color w:val="222222"/>
          <w:sz w:val="19"/>
          <w:szCs w:val="19"/>
        </w:rPr>
        <w:t xml:space="preserve">Apply segment-specific reorder rules instead of one policy for all products: Copiers (Low Volume, High Volatility) and Machines (Declining Demand) should not be managed with the same replenishment rule as Phones or Chairs — doing so is the likeliest source of today's overstock/understock mismatches.</w:t>
      </w:r>
    </w:p>
    <w:p>
      <w:pPr>
        <w:pStyle w:val="Heading1"/>
        <w:spacing w:after="90" w:before="180"/>
      </w:pPr>
      <w:r>
        <w:rPr>
          <w:b/>
          <w:bCs/>
          <w:color w:val="1F3864"/>
          <w:sz w:val="24"/>
          <w:szCs w:val="24"/>
        </w:rPr>
        <w:t xml:space="preserve">Risk &amp; Limitation</w:t>
      </w:r>
    </w:p>
    <w:p>
      <w:pPr>
        <w:spacing w:after="100" w:line="256"/>
      </w:pPr>
      <w:r>
        <w:rPr>
          <w:color w:val="222222"/>
          <w:sz w:val="19"/>
          <w:szCs w:val="19"/>
        </w:rPr>
        <w:t xml:space="preserve">This system is trained on four years of historical data and assumes future demand will broadly follow past patterns. It will not anticipate genuinely new events — a new competitor, a supply shock, or a marketing campaign that has no historical precedent — and its ±15% typical error band can widen in unusual months. The forecast should inform planning, not replace it: use it alongside sales team input and known upcoming promotions before finalizing purchase orders.</w:t>
      </w:r>
    </w:p>
    <w:p>
      <w:pPr>
        <w:spacing w:before="240"/>
      </w:pPr>
    </w:p>
    <w:p>
      <w:pPr>
        <w:pBdr>
          <w:bottom w:val="single" w:color="BFBFBF" w:sz="6" w:space="1"/>
        </w:pBdr>
        <w:spacing w:after="160"/>
      </w:pPr>
    </w:p>
    <w:p>
      <w:r>
        <w:rPr>
          <w:i/>
          <w:iCs/>
          <w:color w:val="595959"/>
          <w:sz w:val="17"/>
          <w:szCs w:val="17"/>
        </w:rPr>
        <w:t xml:space="preserve">Prepared using SARIMA, Prophet, and XGBoost forecasting models, Isolation Forest and Z-Score anomaly detection, and K-Means clustering on the Superstore Sales dataset (2015–2018).</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2026-07-11T06:55:52.659Z</dcterms:created>
  <dcterms:modified xsi:type="dcterms:W3CDTF">2026-07-11T06:55:52.660Z</dcterms:modified>
</cp:coreProperties>
</file>

<file path=docProps/custom.xml><?xml version="1.0" encoding="utf-8"?>
<Properties xmlns="http://schemas.openxmlformats.org/officeDocument/2006/custom-properties" xmlns:vt="http://schemas.openxmlformats.org/officeDocument/2006/docPropsVTypes"/>
</file>