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Nimbus Robotics Employee Handbook</w:t>
      </w:r>
    </w:p>
    <w:p>
      <w:r>
        <w:t>Version 2024.1, effective 1 January 2024. Applies to all employees in Berlin, Pune and Austin unless local law requires otherwise. Owner: People &amp; Culture.</w:t>
      </w:r>
    </w:p>
    <w:p>
      <w:pPr>
        <w:pStyle w:val="Heading1"/>
      </w:pPr>
      <w:r>
        <w:t>1. Working hours</w:t>
      </w:r>
    </w:p>
    <w:p>
      <w:r>
        <w:t>The standard working week is 40 hours. Core hours, when everyone is expected to be available, are 10:00 to 15:00 local time. Overtime is compensated as time off in lieu, agreed with your manager within three months.</w:t>
      </w:r>
    </w:p>
    <w:p>
      <w:pPr>
        <w:pStyle w:val="Heading1"/>
      </w:pPr>
      <w:r>
        <w:t>2. Remote work (policy HR-07, version 2.1)</w:t>
      </w:r>
    </w:p>
    <w:p>
      <w:r>
        <w:t>All employees may work remotely for up to 2 days per week, agreed with their team. Working from another country is allowed for a maximum of 20 working days per calendar year and requires written approval from People &amp; Culture because of tax and insurance rules. New employees receive a one-time home office stipend of EUR 600 (or local equivalent).</w:t>
      </w:r>
    </w:p>
    <w:p>
      <w:pPr>
        <w:pStyle w:val="Heading1"/>
      </w:pPr>
      <w:r>
        <w:t>3. Leave</w:t>
      </w:r>
    </w:p>
    <w:p>
      <w:r>
        <w:t>Annual leave is 28 working days per year. Unused leave of up to 5 days may be carried over to 31 March of the following year.</w:t>
      </w:r>
    </w:p>
    <w:p>
      <w:r>
        <w:t>Parental leave: the primary caregiver receives 16 weeks of fully paid parental leave; the secondary caregiver receives 4 weeks of fully paid leave. Statutory parental leave beyond this is unaffected.</w:t>
      </w:r>
    </w:p>
    <w:p>
      <w:r>
        <w:t>Sick leave: notify your manager on the first day. A doctor's certificate is required from the fourth consecutive day of absence.</w:t>
      </w:r>
    </w:p>
    <w:p>
      <w:pPr>
        <w:pStyle w:val="Heading1"/>
      </w:pPr>
      <w:r>
        <w:t>4. Travel and expenses</w:t>
      </w:r>
    </w:p>
    <w:p>
      <w:r>
        <w:t>Book economy class for flights under 6 hours. Business class is allowed for flights of 6 hours or more with approval from a vice president. Rail is preferred for trips under 4 hours. The daily meal allowance (per diem) is EUR 45 or local equivalent.</w:t>
      </w:r>
    </w:p>
    <w:p>
      <w:r>
        <w:t>Hotel caps per night:</w:t>
      </w:r>
    </w:p>
    <w:tbl>
      <w:tblPr>
        <w:tblStyle w:val="TableGrid"/>
        <w:tblW w:type="auto" w:w="0"/>
        <w:tblLook w:firstColumn="1" w:firstRow="1" w:lastColumn="0" w:lastRow="0" w:noHBand="0" w:noVBand="1" w:val="04A0"/>
      </w:tblPr>
      <w:tblGrid>
        <w:gridCol w:w="2880"/>
        <w:gridCol w:w="2880"/>
        <w:gridCol w:w="2880"/>
      </w:tblGrid>
      <w:tr>
        <w:tc>
          <w:tcPr>
            <w:tcW w:type="dxa" w:w="2880"/>
          </w:tcPr>
          <w:p>
            <w:r>
              <w:t>Destination</w:t>
            </w:r>
          </w:p>
        </w:tc>
        <w:tc>
          <w:tcPr>
            <w:tcW w:type="dxa" w:w="2880"/>
          </w:tcPr>
          <w:p>
            <w:r>
              <w:t>Cap per night</w:t>
            </w:r>
          </w:p>
        </w:tc>
        <w:tc>
          <w:tcPr>
            <w:tcW w:type="dxa" w:w="2880"/>
          </w:tcPr>
          <w:p>
            <w:r>
              <w:t>Notes</w:t>
            </w:r>
          </w:p>
        </w:tc>
      </w:tr>
      <w:tr>
        <w:tc>
          <w:tcPr>
            <w:tcW w:type="dxa" w:w="2880"/>
          </w:tcPr>
          <w:p>
            <w:r>
              <w:t>Berlin</w:t>
            </w:r>
          </w:p>
        </w:tc>
        <w:tc>
          <w:tcPr>
            <w:tcW w:type="dxa" w:w="2880"/>
          </w:tcPr>
          <w:p>
            <w:r>
              <w:t>EUR 160</w:t>
            </w:r>
          </w:p>
        </w:tc>
        <w:tc>
          <w:tcPr>
            <w:tcW w:type="dxa" w:w="2880"/>
          </w:tcPr>
          <w:p>
            <w:r>
              <w:t>Use the corporate rate at partner hotels</w:t>
            </w:r>
          </w:p>
        </w:tc>
      </w:tr>
      <w:tr>
        <w:tc>
          <w:tcPr>
            <w:tcW w:type="dxa" w:w="2880"/>
          </w:tcPr>
          <w:p>
            <w:r>
              <w:t>Pune</w:t>
            </w:r>
          </w:p>
        </w:tc>
        <w:tc>
          <w:tcPr>
            <w:tcW w:type="dxa" w:w="2880"/>
          </w:tcPr>
          <w:p>
            <w:r>
              <w:t>INR 9,000</w:t>
            </w:r>
          </w:p>
        </w:tc>
        <w:tc>
          <w:tcPr>
            <w:tcW w:type="dxa" w:w="2880"/>
          </w:tcPr>
          <w:p>
            <w:r>
              <w:t>Company guest house preferred when available</w:t>
            </w:r>
          </w:p>
        </w:tc>
      </w:tr>
      <w:tr>
        <w:tc>
          <w:tcPr>
            <w:tcW w:type="dxa" w:w="2880"/>
          </w:tcPr>
          <w:p>
            <w:r>
              <w:t>Austin</w:t>
            </w:r>
          </w:p>
        </w:tc>
        <w:tc>
          <w:tcPr>
            <w:tcW w:type="dxa" w:w="2880"/>
          </w:tcPr>
          <w:p>
            <w:r>
              <w:t>USD 220</w:t>
            </w:r>
          </w:p>
        </w:tc>
        <w:tc>
          <w:tcPr>
            <w:tcW w:type="dxa" w:w="2880"/>
          </w:tcPr>
          <w:p>
            <w:r>
              <w:t>Includes taxes</w:t>
            </w:r>
          </w:p>
        </w:tc>
      </w:tr>
      <w:tr>
        <w:tc>
          <w:tcPr>
            <w:tcW w:type="dxa" w:w="2880"/>
          </w:tcPr>
          <w:p>
            <w:r>
              <w:t>Other cities</w:t>
            </w:r>
          </w:p>
        </w:tc>
        <w:tc>
          <w:tcPr>
            <w:tcW w:type="dxa" w:w="2880"/>
          </w:tcPr>
          <w:p>
            <w:r>
              <w:t>EUR 180</w:t>
            </w:r>
          </w:p>
        </w:tc>
        <w:tc>
          <w:tcPr>
            <w:tcW w:type="dxa" w:w="2880"/>
          </w:tcPr>
          <w:p>
            <w:r>
              <w:t>VP approval above cap</w:t>
            </w:r>
          </w:p>
        </w:tc>
      </w:tr>
    </w:tbl>
    <w:p>
      <w:r>
        <w:t>Submit expenses within 30 days through the Atlas HR portal.</w:t>
      </w:r>
    </w:p>
    <w:p>
      <w:pPr>
        <w:pStyle w:val="Heading1"/>
      </w:pPr>
      <w:r>
        <w:t>5. Learning and development</w:t>
      </w:r>
    </w:p>
    <w:p>
      <w:r>
        <w:t>Every employee has a learning budget of EUR 1,500 per calendar year for courses, conferences and certifications. Budgets do not roll over.</w:t>
      </w:r>
    </w:p>
    <w:p>
      <w:pPr>
        <w:pStyle w:val="Heading1"/>
      </w:pPr>
      <w:r>
        <w:t>6. Atlas HR portal and IT</w:t>
      </w:r>
    </w:p>
    <w:p>
      <w:r>
        <w:t>Atlas is our internal HR portal (not to be confused with the Atlas robot). Use Atlas to request leave, submit expenses, update bank details and download payslips. Access Atlas through single sign-on at hr.nimbus.internal; multi-factor authentication is mandatory. If you are locked out, contact the IT service desk on extension 4400.</w:t>
      </w:r>
    </w:p>
    <w:p>
      <w:r>
        <w:t>Laptops are refreshed every 3 years. Personal devices may not be used to access customer data.</w:t>
      </w:r>
    </w:p>
    <w:p>
      <w:pPr>
        <w:pStyle w:val="Heading1"/>
      </w:pPr>
      <w:r>
        <w:t>7. Test hall safety</w:t>
      </w:r>
    </w:p>
    <w:p>
      <w:r>
        <w:t>Anyone entering the robot test hall in Berlin or Pune must have completed robot safety training (course RS-101) within the last 12 months. Safety shoes and high-visibility vests are mandatory in marked zones.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