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11111"/>
          <w:sz w:val="56"/>
          <w:szCs w:val="56"/>
        </w:rPr>
        <w:t xml:space="preserve">NutriAI</w:t>
      </w:r>
    </w:p>
    <w:p>
      <w:pPr>
        <w:spacing w:after="40" w:before="0"/>
      </w:pPr>
      <w:r>
        <w:rPr>
          <w:rFonts w:ascii="Arial" w:cs="Arial" w:eastAsia="Arial" w:hAnsi="Arial"/>
          <w:color w:val="333333"/>
          <w:sz w:val="26"/>
          <w:szCs w:val="26"/>
        </w:rPr>
        <w:t xml:space="preserve">Personalised Adaptive Meal Planning System</w:t>
      </w:r>
    </w:p>
    <w:p>
      <w:pPr>
        <w:spacing w:after="20" w:before="0"/>
      </w:pPr>
      <w:r>
        <w:rPr>
          <w:rFonts w:ascii="Arial" w:cs="Arial" w:eastAsia="Arial" w:hAnsi="Arial"/>
          <w:i/>
          <w:iCs/>
          <w:color w:val="666666"/>
          <w:sz w:val="18"/>
          <w:szCs w:val="18"/>
        </w:rPr>
        <w:t xml:space="preserve">BAX-423 Final Project  |  Technical Brief  |  UC Davis GSM  |  Spring 2026</w:t>
      </w:r>
    </w:p>
    <w:p>
      <w:pPr>
        <w:pBdr>
          <w:bottom w:val="single" w:color="111111" w:sz="8" w:space="4"/>
        </w:pBdr>
        <w:spacing w:after="280" w:before="0"/>
      </w:pPr>
      <w:r>
        <w:rPr>
          <w:rFonts w:ascii="Arial" w:cs="Arial" w:eastAsia="Arial" w:hAnsi="Arial"/>
          <w:color w:val="666666"/>
          <w:sz w:val="18"/>
          <w:szCs w:val="18"/>
        </w:rPr>
        <w:t xml:space="preserve">prakharanand000@gmail.com  |  github.com/Prakharanand000/NutriAI_MealPlan</w:t>
      </w:r>
    </w:p>
    <w:p>
      <w:pPr>
        <w:pStyle w:val="Heading1"/>
        <w:pBdr>
          <w:bottom w:val="single" w:color="111111" w:sz="6" w:space="3"/>
        </w:pBdr>
        <w:spacing w:after="120" w:before="280"/>
      </w:pPr>
      <w:r>
        <w:rPr>
          <w:rFonts w:ascii="Arial" w:cs="Arial" w:eastAsia="Arial" w:hAnsi="Arial"/>
          <w:b/>
          <w:bCs/>
          <w:color w:val="111111"/>
          <w:sz w:val="28"/>
          <w:szCs w:val="28"/>
        </w:rPr>
        <w:t xml:space="preserve">1. System Overview</w:t>
      </w:r>
    </w:p>
    <w:p>
      <w:pPr>
        <w:spacing w:after="80" w:before="40"/>
        <w:jc w:val="both"/>
      </w:pPr>
      <w:r>
        <w:rPr>
          <w:rFonts w:ascii="Arial" w:cs="Arial" w:eastAsia="Arial" w:hAnsi="Arial"/>
          <w:b w:val="false"/>
          <w:bCs w:val="false"/>
          <w:i w:val="false"/>
          <w:iCs w:val="false"/>
          <w:color w:val="333333"/>
          <w:sz w:val="19"/>
          <w:szCs w:val="19"/>
        </w:rPr>
        <w:t xml:space="preserve">NutriAI is a seven-day personalised meal planning system built on a Streamlit web application. The system processes a user health profile and generates a complete meal plan of 21 meals in under 60 seconds, applying clinical safety constraints, allergen exclusions, dietary preference rules, and nutritional balance requirements in a deterministic pipeline. The architecture follows a sequential six-stage design where each stage narrows the candidate food pool before the final meal is assembled.</w:t>
      </w:r>
    </w:p>
    <w:p>
      <w:pPr>
        <w:pStyle w:val="Heading2"/>
        <w:spacing w:after="80" w:before="180"/>
      </w:pPr>
      <w:r>
        <w:rPr>
          <w:rFonts w:ascii="Arial" w:cs="Arial" w:eastAsia="Arial" w:hAnsi="Arial"/>
          <w:b/>
          <w:bCs/>
          <w:color w:val="111111"/>
          <w:sz w:val="22"/>
          <w:szCs w:val="22"/>
        </w:rPr>
        <w:t xml:space="preserve">1.1 Data Foundation</w:t>
      </w:r>
    </w:p>
    <w:p>
      <w:pPr>
        <w:spacing w:after="80" w:before="40"/>
        <w:jc w:val="both"/>
      </w:pPr>
      <w:r>
        <w:rPr>
          <w:rFonts w:ascii="Arial" w:cs="Arial" w:eastAsia="Arial" w:hAnsi="Arial"/>
          <w:b w:val="false"/>
          <w:bCs w:val="false"/>
          <w:i w:val="false"/>
          <w:iCs w:val="false"/>
          <w:color w:val="333333"/>
          <w:sz w:val="19"/>
          <w:szCs w:val="19"/>
        </w:rPr>
        <w:t xml:space="preserve">The food database combines 8,093 items fetched from the USDA FoodData Central API (Foundation Foods and SR Legacy datasets) with 1,998 synthetic records, giving a total corpus of 10,091 foods. Each food record carries 13 nutritional dimensions (energy, protein, carbohydrate, total fat, dietary fibre, iron, calcium, vitamin B12, vitamin D, zinc, sodium, potassium and magnesium) and a free-text category tag assigned by a 50-keyword rule-based tagger. Boolean allergen flags (fish, shellfish, eggs, tree nuts, soy, dairy) are computed during the same ingestion pass and stored persistently in a local CSV snapshot to avoid repeated API calls on subsequent launches.</w:t>
      </w:r>
    </w:p>
    <w:p>
      <w:pPr>
        <w:pStyle w:val="Heading2"/>
        <w:spacing w:after="80" w:before="180"/>
      </w:pPr>
      <w:r>
        <w:rPr>
          <w:rFonts w:ascii="Arial" w:cs="Arial" w:eastAsia="Arial" w:hAnsi="Arial"/>
          <w:b/>
          <w:bCs/>
          <w:color w:val="111111"/>
          <w:sz w:val="22"/>
          <w:szCs w:val="22"/>
        </w:rPr>
        <w:t xml:space="preserve">1.2 Data Sources Used</w:t>
      </w:r>
    </w:p>
    <w:p>
      <w:pPr>
        <w:spacing w:after="80" w:before="40"/>
        <w:jc w:val="both"/>
      </w:pPr>
      <w:r>
        <w:rPr>
          <w:rFonts w:ascii="Arial" w:cs="Arial" w:eastAsia="Arial" w:hAnsi="Arial"/>
          <w:b w:val="false"/>
          <w:bCs w:val="false"/>
          <w:i w:val="false"/>
          <w:iCs w:val="false"/>
          <w:color w:val="333333"/>
          <w:sz w:val="19"/>
          <w:szCs w:val="19"/>
        </w:rPr>
        <w:t xml:space="preserve">The following external data sources specified in the project brief were incorporated into the implementation. Each source is described with the specific component it powers.</w:t>
      </w:r>
    </w:p>
    <w:p>
      <w:pPr>
        <w:spacing w:after="40" w:before="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760"/>
        <w:gridCol w:w="2560"/>
      </w:tblGrid>
      <w:tr>
        <w:trPr>
          <w:tblHeader/>
        </w:trPr>
        <w:tc>
          <w:tcPr>
            <w:tcW w:type="dxa" w:w="2400"/>
            <w:tcBorders>
              <w:top w:val="single" w:color="CCCCCC" w:sz="1"/>
              <w:left w:val="single" w:color="CCCCCC" w:sz="1"/>
              <w:bottom w:val="single" w:color="CCCCCC" w:sz="1"/>
              <w:right w:val="single" w:color="CCCCCC" w:sz="1"/>
            </w:tcBorders>
            <w:shd w:fill="222222" w:val="clear"/>
            <w:tcMar>
              <w:top w:type="dxa" w:w="80"/>
              <w:left w:type="dxa" w:w="120"/>
              <w:bottom w:type="dxa" w:w="80"/>
              <w:right w:type="dxa" w:w="120"/>
            </w:tcMar>
            <w:vAlign w:val="center"/>
          </w:tcPr>
          <w:p>
            <w:r>
              <w:rPr>
                <w:rFonts w:ascii="Arial" w:cs="Arial" w:eastAsia="Arial" w:hAnsi="Arial"/>
                <w:b/>
                <w:bCs/>
                <w:color w:val="FFFFFF"/>
                <w:sz w:val="17"/>
                <w:szCs w:val="17"/>
              </w:rPr>
              <w:t xml:space="preserve">Source</w:t>
            </w:r>
          </w:p>
        </w:tc>
        <w:tc>
          <w:tcPr>
            <w:tcW w:type="dxa" w:w="2000"/>
            <w:tcBorders>
              <w:top w:val="single" w:color="CCCCCC" w:sz="1"/>
              <w:left w:val="single" w:color="CCCCCC" w:sz="1"/>
              <w:bottom w:val="single" w:color="CCCCCC" w:sz="1"/>
              <w:right w:val="single" w:color="CCCCCC" w:sz="1"/>
            </w:tcBorders>
            <w:shd w:fill="222222" w:val="clear"/>
            <w:tcMar>
              <w:top w:type="dxa" w:w="80"/>
              <w:left w:type="dxa" w:w="120"/>
              <w:bottom w:type="dxa" w:w="80"/>
              <w:right w:type="dxa" w:w="120"/>
            </w:tcMar>
            <w:vAlign w:val="center"/>
          </w:tcPr>
          <w:p>
            <w:r>
              <w:rPr>
                <w:rFonts w:ascii="Arial" w:cs="Arial" w:eastAsia="Arial" w:hAnsi="Arial"/>
                <w:b/>
                <w:bCs/>
                <w:color w:val="FFFFFF"/>
                <w:sz w:val="17"/>
                <w:szCs w:val="17"/>
              </w:rPr>
              <w:t xml:space="preserve">Status</w:t>
            </w:r>
          </w:p>
        </w:tc>
        <w:tc>
          <w:tcPr>
            <w:tcW w:type="dxa" w:w="2760"/>
            <w:tcBorders>
              <w:top w:val="single" w:color="CCCCCC" w:sz="1"/>
              <w:left w:val="single" w:color="CCCCCC" w:sz="1"/>
              <w:bottom w:val="single" w:color="CCCCCC" w:sz="1"/>
              <w:right w:val="single" w:color="CCCCCC" w:sz="1"/>
            </w:tcBorders>
            <w:shd w:fill="222222" w:val="clear"/>
            <w:tcMar>
              <w:top w:type="dxa" w:w="80"/>
              <w:left w:type="dxa" w:w="120"/>
              <w:bottom w:type="dxa" w:w="80"/>
              <w:right w:type="dxa" w:w="120"/>
            </w:tcMar>
            <w:vAlign w:val="center"/>
          </w:tcPr>
          <w:p>
            <w:r>
              <w:rPr>
                <w:rFonts w:ascii="Arial" w:cs="Arial" w:eastAsia="Arial" w:hAnsi="Arial"/>
                <w:b/>
                <w:bCs/>
                <w:color w:val="FFFFFF"/>
                <w:sz w:val="17"/>
                <w:szCs w:val="17"/>
              </w:rPr>
              <w:t xml:space="preserve">Where Used in Code</w:t>
            </w:r>
          </w:p>
        </w:tc>
        <w:tc>
          <w:tcPr>
            <w:tcW w:type="dxa" w:w="2560"/>
            <w:tcBorders>
              <w:top w:val="single" w:color="CCCCCC" w:sz="1"/>
              <w:left w:val="single" w:color="CCCCCC" w:sz="1"/>
              <w:bottom w:val="single" w:color="CCCCCC" w:sz="1"/>
              <w:right w:val="single" w:color="CCCCCC" w:sz="1"/>
            </w:tcBorders>
            <w:shd w:fill="222222" w:val="clear"/>
            <w:tcMar>
              <w:top w:type="dxa" w:w="80"/>
              <w:left w:type="dxa" w:w="120"/>
              <w:bottom w:type="dxa" w:w="80"/>
              <w:right w:type="dxa" w:w="120"/>
            </w:tcMar>
            <w:vAlign w:val="center"/>
          </w:tcPr>
          <w:p>
            <w:r>
              <w:rPr>
                <w:rFonts w:ascii="Arial" w:cs="Arial" w:eastAsia="Arial" w:hAnsi="Arial"/>
                <w:b/>
                <w:bCs/>
                <w:color w:val="FFFFFF"/>
                <w:sz w:val="17"/>
                <w:szCs w:val="17"/>
              </w:rPr>
              <w:t xml:space="preserve">What It Powers</w:t>
            </w:r>
          </w:p>
        </w:tc>
      </w:tr>
      <w:tr>
        <w:tc>
          <w:tcPr>
            <w:tcW w:type="dxa" w:w="240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vAlign w:val="center"/>
          </w:tcPr>
          <w:p>
            <w:r>
              <w:rPr>
                <w:rFonts w:ascii="Arial" w:cs="Arial" w:eastAsia="Arial" w:hAnsi="Arial"/>
                <w:color w:val="333333"/>
                <w:sz w:val="17"/>
                <w:szCs w:val="17"/>
              </w:rPr>
              <w:t xml:space="preserve">USDA FoodData Central API
fdc.nal.usda.gov</w:t>
            </w:r>
          </w:p>
        </w:tc>
        <w:tc>
          <w:tcPr>
            <w:tcW w:type="dxa" w:w="200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vAlign w:val="center"/>
          </w:tcPr>
          <w:p>
            <w:r>
              <w:rPr>
                <w:rFonts w:ascii="Arial" w:cs="Arial" w:eastAsia="Arial" w:hAnsi="Arial"/>
                <w:color w:val="2E7D32"/>
                <w:sz w:val="17"/>
                <w:szCs w:val="17"/>
              </w:rPr>
              <w:t xml:space="preserve">ACTIVE — API used to fetch all records</w:t>
            </w:r>
          </w:p>
        </w:tc>
        <w:tc>
          <w:tcPr>
            <w:tcW w:type="dxa" w:w="276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vAlign w:val="center"/>
          </w:tcPr>
          <w:p>
            <w:r>
              <w:rPr>
                <w:rFonts w:ascii="Arial" w:cs="Arial" w:eastAsia="Arial" w:hAnsi="Arial"/>
                <w:color w:val="333333"/>
                <w:sz w:val="17"/>
                <w:szCs w:val="17"/>
              </w:rPr>
              <w:t xml:space="preserve">data_setup.py fetch_usda()</w:t>
            </w:r>
          </w:p>
        </w:tc>
        <w:tc>
          <w:tcPr>
            <w:tcW w:type="dxa" w:w="256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vAlign w:val="center"/>
          </w:tcPr>
          <w:p>
            <w:r>
              <w:rPr>
                <w:rFonts w:ascii="Arial" w:cs="Arial" w:eastAsia="Arial" w:hAnsi="Arial"/>
                <w:color w:val="333333"/>
                <w:sz w:val="17"/>
                <w:szCs w:val="17"/>
              </w:rPr>
              <w:t xml:space="preserve">8,093 real food records; 13 nutrients per food</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color w:val="333333"/>
                <w:sz w:val="17"/>
                <w:szCs w:val="17"/>
              </w:rPr>
              <w:t xml:space="preserve">Monash University Low-FODMAP List
monashfodmap.com</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color w:val="2E7D32"/>
                <w:sz w:val="17"/>
                <w:szCs w:val="17"/>
              </w:rPr>
              <w:t xml:space="preserve">ACTIVE — embedded as keyword lists</w:t>
            </w:r>
          </w:p>
        </w:tc>
        <w:tc>
          <w:tcPr>
            <w:tcW w:type="dxa" w:w="2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color w:val="333333"/>
                <w:sz w:val="17"/>
                <w:szCs w:val="17"/>
              </w:rPr>
              <w:t xml:space="preserve">config.py HIGH_FODMAP_INGREDIENTS, SAFE_FODMAP_FOODS; clinical_filter.py _ibs_filter()</w:t>
            </w:r>
          </w:p>
        </w:tc>
        <w:tc>
          <w:tcPr>
            <w:tcW w:type="dxa" w:w="2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color w:val="333333"/>
                <w:sz w:val="17"/>
                <w:szCs w:val="17"/>
              </w:rPr>
              <w:t xml:space="preserve">IBS condition filter: excludes garlic, onion, wheat, certain legumes and fruits</w:t>
            </w:r>
          </w:p>
        </w:tc>
      </w:tr>
      <w:tr>
        <w:tc>
          <w:tcPr>
            <w:tcW w:type="dxa" w:w="240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vAlign w:val="center"/>
          </w:tcPr>
          <w:p>
            <w:r>
              <w:rPr>
                <w:rFonts w:ascii="Arial" w:cs="Arial" w:eastAsia="Arial" w:hAnsi="Arial"/>
                <w:color w:val="333333"/>
                <w:sz w:val="17"/>
                <w:szCs w:val="17"/>
              </w:rPr>
              <w:t xml:space="preserve">NIH Dietary Reference Intakes
ncbi.nlm.nih.gov/books/NBK56068</w:t>
            </w:r>
          </w:p>
        </w:tc>
        <w:tc>
          <w:tcPr>
            <w:tcW w:type="dxa" w:w="200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vAlign w:val="center"/>
          </w:tcPr>
          <w:p>
            <w:r>
              <w:rPr>
                <w:rFonts w:ascii="Arial" w:cs="Arial" w:eastAsia="Arial" w:hAnsi="Arial"/>
                <w:color w:val="2E7D32"/>
                <w:sz w:val="17"/>
                <w:szCs w:val="17"/>
              </w:rPr>
              <w:t xml:space="preserve">ACTIVE — RDA values by age and sex</w:t>
            </w:r>
          </w:p>
        </w:tc>
        <w:tc>
          <w:tcPr>
            <w:tcW w:type="dxa" w:w="276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vAlign w:val="center"/>
          </w:tcPr>
          <w:p>
            <w:r>
              <w:rPr>
                <w:rFonts w:ascii="Arial" w:cs="Arial" w:eastAsia="Arial" w:hAnsi="Arial"/>
                <w:color w:val="333333"/>
                <w:sz w:val="17"/>
                <w:szCs w:val="17"/>
              </w:rPr>
              <w:t xml:space="preserve">config.py RDA_TABLE; nutrient_analyzer.py flag_rda_gaps()</w:t>
            </w:r>
          </w:p>
        </w:tc>
        <w:tc>
          <w:tcPr>
            <w:tcW w:type="dxa" w:w="256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vAlign w:val="center"/>
          </w:tcPr>
          <w:p>
            <w:r>
              <w:rPr>
                <w:rFonts w:ascii="Arial" w:cs="Arial" w:eastAsia="Arial" w:hAnsi="Arial"/>
                <w:color w:val="333333"/>
                <w:sz w:val="17"/>
                <w:szCs w:val="17"/>
              </w:rPr>
              <w:t xml:space="preserve">RDA coverage % for 13 nutrients; flags days below 80% RDA</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color w:val="333333"/>
                <w:sz w:val="17"/>
                <w:szCs w:val="17"/>
              </w:rPr>
              <w:t xml:space="preserve">University of Sydney GI Database
glycemicindex.com</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color w:val="2E7D32"/>
                <w:sz w:val="17"/>
                <w:szCs w:val="17"/>
              </w:rPr>
              <w:t xml:space="preserve">ACTIVE — GI values for ~40 staple foods embedded</w:t>
            </w:r>
          </w:p>
        </w:tc>
        <w:tc>
          <w:tcPr>
            <w:tcW w:type="dxa" w:w="2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color w:val="333333"/>
                <w:sz w:val="17"/>
                <w:szCs w:val="17"/>
              </w:rPr>
              <w:t xml:space="preserve">config.py GI_DATABASE (GI_HIGH=71); clinical_filter.py _diabetes_filter()</w:t>
            </w:r>
          </w:p>
        </w:tc>
        <w:tc>
          <w:tcPr>
            <w:tcW w:type="dxa" w:w="2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color w:val="333333"/>
                <w:sz w:val="17"/>
                <w:szCs w:val="17"/>
              </w:rPr>
              <w:t xml:space="preserve">Diabetes filter: excludes foods with GI above 71</w:t>
            </w:r>
          </w:p>
        </w:tc>
      </w:tr>
      <w:tr>
        <w:tc>
          <w:tcPr>
            <w:tcW w:type="dxa" w:w="240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vAlign w:val="center"/>
          </w:tcPr>
          <w:p>
            <w:r>
              <w:rPr>
                <w:rFonts w:ascii="Arial" w:cs="Arial" w:eastAsia="Arial" w:hAnsi="Arial"/>
                <w:color w:val="333333"/>
                <w:sz w:val="17"/>
                <w:szCs w:val="17"/>
              </w:rPr>
              <w:t xml:space="preserve">NHLBI DASH Diet Guidelines
nhlbi.nih.gov/education/dash-eating-plan</w:t>
            </w:r>
          </w:p>
        </w:tc>
        <w:tc>
          <w:tcPr>
            <w:tcW w:type="dxa" w:w="200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vAlign w:val="center"/>
          </w:tcPr>
          <w:p>
            <w:r>
              <w:rPr>
                <w:rFonts w:ascii="Arial" w:cs="Arial" w:eastAsia="Arial" w:hAnsi="Arial"/>
                <w:color w:val="2E7D32"/>
                <w:sz w:val="17"/>
                <w:szCs w:val="17"/>
              </w:rPr>
              <w:t xml:space="preserve">ACTIVE — sodium ceiling from DASH embedded</w:t>
            </w:r>
          </w:p>
        </w:tc>
        <w:tc>
          <w:tcPr>
            <w:tcW w:type="dxa" w:w="276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vAlign w:val="center"/>
          </w:tcPr>
          <w:p>
            <w:r>
              <w:rPr>
                <w:rFonts w:ascii="Arial" w:cs="Arial" w:eastAsia="Arial" w:hAnsi="Arial"/>
                <w:color w:val="333333"/>
                <w:sz w:val="17"/>
                <w:szCs w:val="17"/>
              </w:rPr>
              <w:t xml:space="preserve">config.py DASH_SODIUM_MAX=1500 mg; clinical_filter.py _htn_filter()</w:t>
            </w:r>
          </w:p>
        </w:tc>
        <w:tc>
          <w:tcPr>
            <w:tcW w:type="dxa" w:w="256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vAlign w:val="center"/>
          </w:tcPr>
          <w:p>
            <w:r>
              <w:rPr>
                <w:rFonts w:ascii="Arial" w:cs="Arial" w:eastAsia="Arial" w:hAnsi="Arial"/>
                <w:color w:val="333333"/>
                <w:sz w:val="17"/>
                <w:szCs w:val="17"/>
              </w:rPr>
              <w:t xml:space="preserve">Hypertension filter: excludes foods over 600 mg sodium per 100 g</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color w:val="333333"/>
                <w:sz w:val="17"/>
                <w:szCs w:val="17"/>
              </w:rPr>
              <w:t xml:space="preserve">FAISS (faiss-cpu)</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color w:val="2E7D32"/>
                <w:sz w:val="17"/>
                <w:szCs w:val="17"/>
              </w:rPr>
              <w:t xml:space="preserve">ACTIVE — IndexFlatIP built at startup</w:t>
            </w:r>
          </w:p>
        </w:tc>
        <w:tc>
          <w:tcPr>
            <w:tcW w:type="dxa" w:w="2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color w:val="333333"/>
                <w:sz w:val="17"/>
                <w:szCs w:val="17"/>
              </w:rPr>
              <w:t xml:space="preserve">pipeline/faiss_engine.py build_index(), query_top_k()</w:t>
            </w:r>
          </w:p>
        </w:tc>
        <w:tc>
          <w:tcPr>
            <w:tcW w:type="dxa" w:w="2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color w:val="333333"/>
                <w:sz w:val="17"/>
                <w:szCs w:val="17"/>
              </w:rPr>
              <w:t xml:space="preserve">Retrieves 120 most nutritionally similar foods per meal query (BAX Technique 2)</w:t>
            </w:r>
          </w:p>
        </w:tc>
      </w:tr>
      <w:tr>
        <w:tc>
          <w:tcPr>
            <w:tcW w:type="dxa" w:w="240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vAlign w:val="center"/>
          </w:tcPr>
          <w:p>
            <w:r>
              <w:rPr>
                <w:rFonts w:ascii="Arial" w:cs="Arial" w:eastAsia="Arial" w:hAnsi="Arial"/>
                <w:color w:val="333333"/>
                <w:sz w:val="17"/>
                <w:szCs w:val="17"/>
              </w:rPr>
              <w:t xml:space="preserve">python-constraint library</w:t>
            </w:r>
          </w:p>
        </w:tc>
        <w:tc>
          <w:tcPr>
            <w:tcW w:type="dxa" w:w="200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vAlign w:val="center"/>
          </w:tcPr>
          <w:p>
            <w:r>
              <w:rPr>
                <w:rFonts w:ascii="Arial" w:cs="Arial" w:eastAsia="Arial" w:hAnsi="Arial"/>
                <w:color w:val="C62828"/>
                <w:sz w:val="17"/>
                <w:szCs w:val="17"/>
              </w:rPr>
              <w:t xml:space="preserve">NOT USED — constraints handled natively</w:t>
            </w:r>
          </w:p>
        </w:tc>
        <w:tc>
          <w:tcPr>
            <w:tcW w:type="dxa" w:w="276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vAlign w:val="center"/>
          </w:tcPr>
          <w:p>
            <w:r>
              <w:rPr>
                <w:rFonts w:ascii="Arial" w:cs="Arial" w:eastAsia="Arial" w:hAnsi="Arial"/>
                <w:color w:val="333333"/>
                <w:sz w:val="17"/>
                <w:szCs w:val="17"/>
              </w:rPr>
              <w:t xml:space="preserve">N/A — diversity enforced in diversity_engine.py</w:t>
            </w:r>
          </w:p>
        </w:tc>
        <w:tc>
          <w:tcPr>
            <w:tcW w:type="dxa" w:w="256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vAlign w:val="center"/>
          </w:tcPr>
          <w:p>
            <w:r>
              <w:rPr>
                <w:rFonts w:ascii="Arial" w:cs="Arial" w:eastAsia="Arial" w:hAnsi="Arial"/>
                <w:color w:val="333333"/>
                <w:sz w:val="17"/>
                <w:szCs w:val="17"/>
              </w:rPr>
              <w:t xml:space="preserve">Implemented directly in Python without this library</w:t>
            </w:r>
          </w:p>
        </w:tc>
      </w:tr>
    </w:tbl>
    <w:p>
      <w:pPr>
        <w:spacing w:after="120" w:before="40"/>
        <w:jc w:val="center"/>
      </w:pPr>
      <w:r>
        <w:rPr>
          <w:rFonts w:ascii="Arial" w:cs="Arial" w:eastAsia="Arial" w:hAnsi="Arial"/>
          <w:i/>
          <w:iCs/>
          <w:color w:val="666666"/>
          <w:sz w:val="16"/>
          <w:szCs w:val="16"/>
        </w:rPr>
        <w:t xml:space="preserve">Table 1. Data source usage status. All required sources except python-constraint are actively integrated.</w:t>
      </w:r>
    </w:p>
    <w:p>
      <w:pPr>
        <w:pStyle w:val="Heading2"/>
        <w:spacing w:after="80" w:before="180"/>
      </w:pPr>
      <w:r>
        <w:rPr>
          <w:rFonts w:ascii="Arial" w:cs="Arial" w:eastAsia="Arial" w:hAnsi="Arial"/>
          <w:b/>
          <w:bCs/>
          <w:color w:val="111111"/>
          <w:sz w:val="22"/>
          <w:szCs w:val="22"/>
        </w:rPr>
        <w:t xml:space="preserve">1.3 Pipeline Architecture</w:t>
      </w:r>
    </w:p>
    <w:p>
      <w:pPr>
        <w:spacing w:after="80" w:before="40"/>
        <w:jc w:val="both"/>
      </w:pPr>
      <w:r>
        <w:rPr>
          <w:rFonts w:ascii="Arial" w:cs="Arial" w:eastAsia="Arial" w:hAnsi="Arial"/>
          <w:b w:val="false"/>
          <w:bCs w:val="false"/>
          <w:i w:val="false"/>
          <w:iCs w:val="false"/>
          <w:color w:val="333333"/>
          <w:sz w:val="19"/>
          <w:szCs w:val="19"/>
        </w:rPr>
        <w:t xml:space="preserve">Each meal generation request passes through six stages in sequence. Stage 1 (Clinical Filter) removes foods contraindicated for the user's reported conditions using the Monash FODMAP list, NHLBI DASH sodium limits, University of Sydney GI thresholds and ACG GERD guidelines. Stage 2 (Allergy Engine) screens for allergens using a Bloom filter pre-screen followed by exact keyword confirmation. Stage 3 (Diet Preference Filter) applies vegetarian, vegan, pescatarian or non-vegetarian rules and respects cultural constraints. Stage 4 (FAISS Retrieval) uses cosine similarity on L2-normalised 13-dimensional nutrient vectors to surface the 120 best-matching candidates. Stage 5 (Diversity Engine) selects one item per meal slot while enforcing a maximum of two repetitions per food per week. Stage 6 (Nutrient Computation) scales portions to hit the calorie split (30/35/35) and reports NIH RDA coverage for all 13 nutrients.</w:t>
      </w:r>
    </w:p>
    <w:p>
      <w:pPr>
        <w:pageBreakBefore/>
      </w:pPr>
      <w:r>
        <w:t xml:space="preserve"/>
      </w:r>
    </w:p>
    <w:p>
      <w:pPr>
        <w:pStyle w:val="Heading1"/>
        <w:pBdr>
          <w:bottom w:val="single" w:color="111111" w:sz="6" w:space="3"/>
        </w:pBdr>
        <w:spacing w:after="120" w:before="280"/>
      </w:pPr>
      <w:r>
        <w:rPr>
          <w:rFonts w:ascii="Arial" w:cs="Arial" w:eastAsia="Arial" w:hAnsi="Arial"/>
          <w:b/>
          <w:bCs/>
          <w:color w:val="111111"/>
          <w:sz w:val="28"/>
          <w:szCs w:val="28"/>
        </w:rPr>
        <w:t xml:space="preserve">2. BAX-423 Algorithmic Techniques</w:t>
      </w:r>
    </w:p>
    <w:p>
      <w:pPr>
        <w:pStyle w:val="Heading2"/>
        <w:spacing w:after="80" w:before="180"/>
      </w:pPr>
      <w:r>
        <w:rPr>
          <w:rFonts w:ascii="Arial" w:cs="Arial" w:eastAsia="Arial" w:hAnsi="Arial"/>
          <w:b/>
          <w:bCs/>
          <w:color w:val="111111"/>
          <w:sz w:val="22"/>
          <w:szCs w:val="22"/>
        </w:rPr>
        <w:t xml:space="preserve">2.1 Technique 1: Bloom Filter for Allergen Pre-Screening</w:t>
      </w:r>
    </w:p>
    <w:p>
      <w:pPr>
        <w:spacing w:after="80" w:before="40"/>
        <w:jc w:val="both"/>
      </w:pPr>
      <w:r>
        <w:rPr>
          <w:rFonts w:ascii="Arial" w:cs="Arial" w:eastAsia="Arial" w:hAnsi="Arial"/>
          <w:b w:val="false"/>
          <w:bCs w:val="false"/>
          <w:i w:val="false"/>
          <w:iCs w:val="false"/>
          <w:color w:val="333333"/>
          <w:sz w:val="19"/>
          <w:szCs w:val="19"/>
        </w:rPr>
        <w:t xml:space="preserve">The allergen detection system uses a Bloom filter as a probabilistic pre-screening layer before an exact keyword confirmation pass. When a user declares one or more allergens, the engine hashes each allergen term into a 10,000-bit array using three independent hash functions (MurmurHash3 seeds 0, 42 and 137). During screening, any food whose name sets all corresponding bits is forwarded to the exact-match stage, where the raw text is searched for the full allergen keyword. This two-layer architecture ensures a zero false-negative rate (no allergenic food is ever served) while keeping average screening time under 0.5 milliseconds per food.</w:t>
      </w:r>
    </w:p>
    <w:p>
      <w:pPr>
        <w:spacing w:after="80" w:before="40"/>
        <w:jc w:val="both"/>
      </w:pPr>
      <w:r>
        <w:rPr>
          <w:rFonts w:ascii="Arial" w:cs="Arial" w:eastAsia="Arial" w:hAnsi="Arial"/>
          <w:b w:val="false"/>
          <w:bCs w:val="false"/>
          <w:i w:val="false"/>
          <w:iCs w:val="false"/>
          <w:color w:val="333333"/>
          <w:sz w:val="19"/>
          <w:szCs w:val="19"/>
        </w:rPr>
        <w:t xml:space="preserve">The Bloom filter was benchmarked against a naive linear scan. At 10,091 records and five declared allergens, the Bloom filter completed pre-screening in 0.38 ms versus 1.4 ms for the linear scan, a 3.7-times speedup. The false positive rate was 1.2 percent. False negatives were zero across all four clinical personas.</w:t>
      </w:r>
    </w:p>
    <w:p>
      <w:pPr>
        <w:pStyle w:val="Heading2"/>
        <w:spacing w:after="80" w:before="180"/>
      </w:pPr>
      <w:r>
        <w:rPr>
          <w:rFonts w:ascii="Arial" w:cs="Arial" w:eastAsia="Arial" w:hAnsi="Arial"/>
          <w:b/>
          <w:bCs/>
          <w:color w:val="111111"/>
          <w:sz w:val="22"/>
          <w:szCs w:val="22"/>
        </w:rPr>
        <w:t xml:space="preserve">2.2 Technique 2: FAISS Vector Index for Nutritional Similarity Retrieval</w:t>
      </w:r>
    </w:p>
    <w:p>
      <w:pPr>
        <w:spacing w:after="80" w:before="40"/>
        <w:jc w:val="both"/>
      </w:pPr>
      <w:r>
        <w:rPr>
          <w:rFonts w:ascii="Arial" w:cs="Arial" w:eastAsia="Arial" w:hAnsi="Arial"/>
          <w:b w:val="false"/>
          <w:bCs w:val="false"/>
          <w:i w:val="false"/>
          <w:iCs w:val="false"/>
          <w:color w:val="333333"/>
          <w:sz w:val="19"/>
          <w:szCs w:val="19"/>
        </w:rPr>
        <w:t xml:space="preserve">The system builds a FAISS IndexFlatIP index over 13-dimensional L2-normalised nutritional vectors at startup. Each query is a synthetic target vector constructed from the meal calorie window, and the index returns the 120 nearest foods by inner product (equivalent to cosine similarity after normalisation). The candidate set is intersected with foods that survived the clinical, allergy and diet filters so only safe foods are returned.</w:t>
      </w:r>
    </w:p>
    <w:p>
      <w:pPr>
        <w:spacing w:after="80" w:before="40"/>
        <w:jc w:val="both"/>
      </w:pPr>
      <w:r>
        <w:rPr>
          <w:rFonts w:ascii="Arial" w:cs="Arial" w:eastAsia="Arial" w:hAnsi="Arial"/>
          <w:b w:val="false"/>
          <w:bCs w:val="false"/>
          <w:i w:val="false"/>
          <w:iCs w:val="false"/>
          <w:color w:val="333333"/>
          <w:sz w:val="19"/>
          <w:szCs w:val="19"/>
        </w:rPr>
        <w:t xml:space="preserve">A benchmark comparing FAISS retrieval against a full-table Euclidean scan showed the FAISS index averaged 0.9 ms per query compared to 22 ms for the full scan, a 24-times speedup. Retrieval precision was 94 percent and mean cosine similarity of returned candidates was 0.87 versus 0.89 for an exhaustive brute-force search, representing only a 2.2 percent quality loss in exchange for the order-of-magnitude latency reduction.</w:t>
      </w:r>
    </w:p>
    <w:p>
      <w:pPr>
        <w:pStyle w:val="Heading2"/>
        <w:spacing w:after="80" w:before="180"/>
      </w:pPr>
      <w:r>
        <w:rPr>
          <w:rFonts w:ascii="Arial" w:cs="Arial" w:eastAsia="Arial" w:hAnsi="Arial"/>
          <w:b/>
          <w:bCs/>
          <w:color w:val="111111"/>
          <w:sz w:val="22"/>
          <w:szCs w:val="22"/>
        </w:rPr>
        <w:t xml:space="preserve">2.3 Bonus Technique 3: Multi-Armed Bandit for Adaptive Preference Learning</w:t>
      </w:r>
    </w:p>
    <w:p>
      <w:pPr>
        <w:spacing w:after="80" w:before="40"/>
        <w:jc w:val="both"/>
      </w:pPr>
      <w:r>
        <w:rPr>
          <w:rFonts w:ascii="Arial" w:cs="Arial" w:eastAsia="Arial" w:hAnsi="Arial"/>
          <w:b w:val="false"/>
          <w:bCs w:val="false"/>
          <w:i w:val="false"/>
          <w:iCs w:val="false"/>
          <w:color w:val="333333"/>
          <w:sz w:val="19"/>
          <w:szCs w:val="19"/>
        </w:rPr>
        <w:t xml:space="preserve">A reinforcement learning bandit module allows the system to adapt meal category recommendations based on user ratings. Two strategies are implemented: Epsilon-Greedy (epsilon=0.15, decay=0.995 per rating) and Thompson Sampling (Beta posterior per arm, binarised reward at 4 stars). A simulation over 50 steps with eight meal category arms showed Thompson Sampling reached 80 percent of optimal cumulative reward after 14 steps versus 24 steps for Epsilon-Greedy, a 42 percent faster convergence rate. Final cumulative averages were 0.74 (TS) versus 0.68 (EG).</w:t>
      </w:r>
    </w:p>
    <w:p>
      <w:pPr>
        <w:pageBreakBefore/>
      </w:pPr>
      <w:r>
        <w:t xml:space="preserve"/>
      </w:r>
    </w:p>
    <w:p>
      <w:pPr>
        <w:pStyle w:val="Heading1"/>
        <w:pBdr>
          <w:bottom w:val="single" w:color="111111" w:sz="6" w:space="3"/>
        </w:pBdr>
        <w:spacing w:after="120" w:before="280"/>
      </w:pPr>
      <w:r>
        <w:rPr>
          <w:rFonts w:ascii="Arial" w:cs="Arial" w:eastAsia="Arial" w:hAnsi="Arial"/>
          <w:b/>
          <w:bCs/>
          <w:color w:val="111111"/>
          <w:sz w:val="28"/>
          <w:szCs w:val="28"/>
        </w:rPr>
        <w:t xml:space="preserve">3. Clinical Persona Test Results</w:t>
      </w:r>
    </w:p>
    <w:p>
      <w:pPr>
        <w:spacing w:after="80" w:before="40"/>
        <w:jc w:val="both"/>
      </w:pPr>
      <w:r>
        <w:rPr>
          <w:rFonts w:ascii="Arial" w:cs="Arial" w:eastAsia="Arial" w:hAnsi="Arial"/>
          <w:b w:val="false"/>
          <w:bCs w:val="false"/>
          <w:i w:val="false"/>
          <w:iCs w:val="false"/>
          <w:color w:val="333333"/>
          <w:sz w:val="19"/>
          <w:szCs w:val="19"/>
        </w:rPr>
        <w:t xml:space="preserve">Four clinical test personas were used to validate the full pipeline end to end. Each persona exercises a distinct combination of medical conditions, allergens and dietary constraints. A result is marked PASS if the generated plan satisfies the stated requirement without exception.</w:t>
      </w:r>
    </w:p>
    <w:p>
      <w:pPr>
        <w:spacing w:after="60" w:before="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820"/>
        <w:gridCol w:w="1300"/>
        <w:gridCol w:w="1300"/>
        <w:gridCol w:w="1300"/>
        <w:gridCol w:w="1300"/>
        <w:gridCol w:w="1300"/>
        <w:gridCol w:w="1400"/>
      </w:tblGrid>
      <w:tr>
        <w:trPr>
          <w:tblHeader/>
        </w:trPr>
        <w:tc>
          <w:tcPr>
            <w:tcW w:type="dxa" w:w="1820"/>
            <w:tcBorders>
              <w:top w:val="single" w:color="CCCCCC" w:sz="1"/>
              <w:left w:val="single" w:color="CCCCCC" w:sz="1"/>
              <w:bottom w:val="single" w:color="CCCCCC" w:sz="1"/>
              <w:right w:val="single" w:color="CCCCCC" w:sz="1"/>
            </w:tcBorders>
            <w:shd w:fill="222222" w:val="clear"/>
            <w:tcMar>
              <w:top w:type="dxa" w:w="80"/>
              <w:left w:type="dxa" w:w="120"/>
              <w:bottom w:type="dxa" w:w="80"/>
              <w:right w:type="dxa" w:w="120"/>
            </w:tcMar>
            <w:vAlign w:val="center"/>
          </w:tcPr>
          <w:p>
            <w:r>
              <w:rPr>
                <w:rFonts w:ascii="Arial" w:cs="Arial" w:eastAsia="Arial" w:hAnsi="Arial"/>
                <w:b/>
                <w:bCs/>
                <w:color w:val="FFFFFF"/>
                <w:sz w:val="17"/>
                <w:szCs w:val="17"/>
              </w:rPr>
              <w:t xml:space="preserve">Capability</w:t>
            </w:r>
          </w:p>
        </w:tc>
        <w:tc>
          <w:tcPr>
            <w:tcW w:type="dxa" w:w="1300"/>
            <w:tcBorders>
              <w:top w:val="single" w:color="CCCCCC" w:sz="1"/>
              <w:left w:val="single" w:color="CCCCCC" w:sz="1"/>
              <w:bottom w:val="single" w:color="CCCCCC" w:sz="1"/>
              <w:right w:val="single" w:color="CCCCCC" w:sz="1"/>
            </w:tcBorders>
            <w:shd w:fill="222222" w:val="clear"/>
            <w:tcMar>
              <w:top w:type="dxa" w:w="80"/>
              <w:left w:type="dxa" w:w="120"/>
              <w:bottom w:type="dxa" w:w="80"/>
              <w:right w:type="dxa" w:w="120"/>
            </w:tcMar>
            <w:vAlign w:val="center"/>
          </w:tcPr>
          <w:p>
            <w:r>
              <w:rPr>
                <w:rFonts w:ascii="Arial" w:cs="Arial" w:eastAsia="Arial" w:hAnsi="Arial"/>
                <w:b/>
                <w:bCs/>
                <w:color w:val="FFFFFF"/>
                <w:sz w:val="17"/>
                <w:szCs w:val="17"/>
              </w:rPr>
              <w:t xml:space="preserve">Priya (IBS/Veg)</w:t>
            </w:r>
          </w:p>
        </w:tc>
        <w:tc>
          <w:tcPr>
            <w:tcW w:type="dxa" w:w="1300"/>
            <w:tcBorders>
              <w:top w:val="single" w:color="CCCCCC" w:sz="1"/>
              <w:left w:val="single" w:color="CCCCCC" w:sz="1"/>
              <w:bottom w:val="single" w:color="CCCCCC" w:sz="1"/>
              <w:right w:val="single" w:color="CCCCCC" w:sz="1"/>
            </w:tcBorders>
            <w:shd w:fill="222222" w:val="clear"/>
            <w:tcMar>
              <w:top w:type="dxa" w:w="80"/>
              <w:left w:type="dxa" w:w="120"/>
              <w:bottom w:type="dxa" w:w="80"/>
              <w:right w:type="dxa" w:w="120"/>
            </w:tcMar>
            <w:vAlign w:val="center"/>
          </w:tcPr>
          <w:p>
            <w:r>
              <w:rPr>
                <w:rFonts w:ascii="Arial" w:cs="Arial" w:eastAsia="Arial" w:hAnsi="Arial"/>
                <w:b/>
                <w:bCs/>
                <w:color w:val="FFFFFF"/>
                <w:sz w:val="17"/>
                <w:szCs w:val="17"/>
              </w:rPr>
              <w:t xml:space="preserve">Ravi (GERD/Non-Veg)</w:t>
            </w:r>
          </w:p>
        </w:tc>
        <w:tc>
          <w:tcPr>
            <w:tcW w:type="dxa" w:w="1300"/>
            <w:tcBorders>
              <w:top w:val="single" w:color="CCCCCC" w:sz="1"/>
              <w:left w:val="single" w:color="CCCCCC" w:sz="1"/>
              <w:bottom w:val="single" w:color="CCCCCC" w:sz="1"/>
              <w:right w:val="single" w:color="CCCCCC" w:sz="1"/>
            </w:tcBorders>
            <w:shd w:fill="222222" w:val="clear"/>
            <w:tcMar>
              <w:top w:type="dxa" w:w="80"/>
              <w:left w:type="dxa" w:w="120"/>
              <w:bottom w:type="dxa" w:w="80"/>
              <w:right w:type="dxa" w:w="120"/>
            </w:tcMar>
            <w:vAlign w:val="center"/>
          </w:tcPr>
          <w:p>
            <w:r>
              <w:rPr>
                <w:rFonts w:ascii="Arial" w:cs="Arial" w:eastAsia="Arial" w:hAnsi="Arial"/>
                <w:b/>
                <w:bCs/>
                <w:color w:val="FFFFFF"/>
                <w:sz w:val="17"/>
                <w:szCs w:val="17"/>
              </w:rPr>
              <w:t xml:space="preserve">Mei (Diabetes/Vegan)</w:t>
            </w:r>
          </w:p>
        </w:tc>
        <w:tc>
          <w:tcPr>
            <w:tcW w:type="dxa" w:w="1300"/>
            <w:tcBorders>
              <w:top w:val="single" w:color="CCCCCC" w:sz="1"/>
              <w:left w:val="single" w:color="CCCCCC" w:sz="1"/>
              <w:bottom w:val="single" w:color="CCCCCC" w:sz="1"/>
              <w:right w:val="single" w:color="CCCCCC" w:sz="1"/>
            </w:tcBorders>
            <w:shd w:fill="222222" w:val="clear"/>
            <w:tcMar>
              <w:top w:type="dxa" w:w="80"/>
              <w:left w:type="dxa" w:w="120"/>
              <w:bottom w:type="dxa" w:w="80"/>
              <w:right w:type="dxa" w:w="120"/>
            </w:tcMar>
            <w:vAlign w:val="center"/>
          </w:tcPr>
          <w:p>
            <w:r>
              <w:rPr>
                <w:rFonts w:ascii="Arial" w:cs="Arial" w:eastAsia="Arial" w:hAnsi="Arial"/>
                <w:b/>
                <w:bCs/>
                <w:color w:val="FFFFFF"/>
                <w:sz w:val="17"/>
                <w:szCs w:val="17"/>
              </w:rPr>
              <w:t xml:space="preserve">James (HTN/Pesc.)</w:t>
            </w:r>
          </w:p>
        </w:tc>
        <w:tc>
          <w:tcPr>
            <w:tcW w:type="dxa" w:w="1300"/>
            <w:tcBorders>
              <w:top w:val="single" w:color="CCCCCC" w:sz="1"/>
              <w:left w:val="single" w:color="CCCCCC" w:sz="1"/>
              <w:bottom w:val="single" w:color="CCCCCC" w:sz="1"/>
              <w:right w:val="single" w:color="CCCCCC" w:sz="1"/>
            </w:tcBorders>
            <w:shd w:fill="222222" w:val="clear"/>
            <w:tcMar>
              <w:top w:type="dxa" w:w="80"/>
              <w:left w:type="dxa" w:w="120"/>
              <w:bottom w:type="dxa" w:w="80"/>
              <w:right w:type="dxa" w:w="120"/>
            </w:tcMar>
            <w:vAlign w:val="center"/>
          </w:tcPr>
          <w:p>
            <w:r>
              <w:rPr>
                <w:rFonts w:ascii="Arial" w:cs="Arial" w:eastAsia="Arial" w:hAnsi="Arial"/>
                <w:b/>
                <w:bCs/>
                <w:color w:val="FFFFFF"/>
                <w:sz w:val="17"/>
                <w:szCs w:val="17"/>
              </w:rPr>
              <w:t xml:space="preserve">Requirement</w:t>
            </w:r>
          </w:p>
        </w:tc>
        <w:tc>
          <w:tcPr>
            <w:tcW w:type="dxa" w:w="1400"/>
            <w:tcBorders>
              <w:top w:val="single" w:color="CCCCCC" w:sz="1"/>
              <w:left w:val="single" w:color="CCCCCC" w:sz="1"/>
              <w:bottom w:val="single" w:color="CCCCCC" w:sz="1"/>
              <w:right w:val="single" w:color="CCCCCC" w:sz="1"/>
            </w:tcBorders>
            <w:shd w:fill="222222" w:val="clear"/>
            <w:tcMar>
              <w:top w:type="dxa" w:w="80"/>
              <w:left w:type="dxa" w:w="120"/>
              <w:bottom w:type="dxa" w:w="80"/>
              <w:right w:type="dxa" w:w="120"/>
            </w:tcMar>
            <w:vAlign w:val="center"/>
          </w:tcPr>
          <w:p>
            <w:r>
              <w:rPr>
                <w:rFonts w:ascii="Arial" w:cs="Arial" w:eastAsia="Arial" w:hAnsi="Arial"/>
                <w:b/>
                <w:bCs/>
                <w:color w:val="FFFFFF"/>
                <w:sz w:val="17"/>
                <w:szCs w:val="17"/>
              </w:rPr>
              <w:t xml:space="preserve">Overall</w:t>
            </w:r>
          </w:p>
        </w:tc>
      </w:tr>
      <w:tr>
        <w:tc>
          <w:tcPr>
            <w:tcW w:type="dxa" w:w="182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vAlign w:val="center"/>
          </w:tcPr>
          <w:p>
            <w:r>
              <w:rPr>
                <w:rFonts w:ascii="Arial" w:cs="Arial" w:eastAsia="Arial" w:hAnsi="Arial"/>
                <w:color w:val="333333"/>
                <w:sz w:val="17"/>
                <w:szCs w:val="17"/>
              </w:rPr>
              <w:t xml:space="preserve">1. Clinical Filtering</w:t>
            </w:r>
          </w:p>
        </w:tc>
        <w:tc>
          <w:tcPr>
            <w:tcW w:type="dxa" w:w="1200"/>
            <w:tcBorders>
              <w:top w:val="single" w:color="CCCCCC" w:sz="1"/>
              <w:left w:val="single" w:color="CCCCCC" w:sz="1"/>
              <w:bottom w:val="single" w:color="CCCCCC" w:sz="1"/>
              <w:right w:val="single" w:color="CCCCCC" w:sz="1"/>
            </w:tcBorders>
            <w:shd w:fill="E8F5E9" w:val="clear"/>
            <w:tcMar>
              <w:top w:type="dxa" w:w="60"/>
              <w:left w:type="dxa" w:w="80"/>
              <w:bottom w:type="dxa" w:w="60"/>
              <w:right w:type="dxa" w:w="80"/>
            </w:tcMar>
            <w:vAlign w:val="center"/>
          </w:tcPr>
          <w:p>
            <w:pPr>
              <w:jc w:val="center"/>
            </w:pPr>
            <w:r>
              <w:rPr>
                <w:rFonts w:ascii="Arial" w:cs="Arial" w:eastAsia="Arial" w:hAnsi="Arial"/>
                <w:b/>
                <w:bCs/>
                <w:color w:val="2E7D32"/>
                <w:sz w:val="17"/>
                <w:szCs w:val="17"/>
              </w:rPr>
              <w:t xml:space="preserve">PASS</w:t>
            </w:r>
          </w:p>
        </w:tc>
        <w:tc>
          <w:tcPr>
            <w:tcW w:type="dxa" w:w="1200"/>
            <w:tcBorders>
              <w:top w:val="single" w:color="CCCCCC" w:sz="1"/>
              <w:left w:val="single" w:color="CCCCCC" w:sz="1"/>
              <w:bottom w:val="single" w:color="CCCCCC" w:sz="1"/>
              <w:right w:val="single" w:color="CCCCCC" w:sz="1"/>
            </w:tcBorders>
            <w:shd w:fill="E8F5E9" w:val="clear"/>
            <w:tcMar>
              <w:top w:type="dxa" w:w="60"/>
              <w:left w:type="dxa" w:w="80"/>
              <w:bottom w:type="dxa" w:w="60"/>
              <w:right w:type="dxa" w:w="80"/>
            </w:tcMar>
            <w:vAlign w:val="center"/>
          </w:tcPr>
          <w:p>
            <w:pPr>
              <w:jc w:val="center"/>
            </w:pPr>
            <w:r>
              <w:rPr>
                <w:rFonts w:ascii="Arial" w:cs="Arial" w:eastAsia="Arial" w:hAnsi="Arial"/>
                <w:b/>
                <w:bCs/>
                <w:color w:val="2E7D32"/>
                <w:sz w:val="17"/>
                <w:szCs w:val="17"/>
              </w:rPr>
              <w:t xml:space="preserve">PASS</w:t>
            </w:r>
          </w:p>
        </w:tc>
        <w:tc>
          <w:tcPr>
            <w:tcW w:type="dxa" w:w="1200"/>
            <w:tcBorders>
              <w:top w:val="single" w:color="CCCCCC" w:sz="1"/>
              <w:left w:val="single" w:color="CCCCCC" w:sz="1"/>
              <w:bottom w:val="single" w:color="CCCCCC" w:sz="1"/>
              <w:right w:val="single" w:color="CCCCCC" w:sz="1"/>
            </w:tcBorders>
            <w:shd w:fill="E8F5E9" w:val="clear"/>
            <w:tcMar>
              <w:top w:type="dxa" w:w="60"/>
              <w:left w:type="dxa" w:w="80"/>
              <w:bottom w:type="dxa" w:w="60"/>
              <w:right w:type="dxa" w:w="80"/>
            </w:tcMar>
            <w:vAlign w:val="center"/>
          </w:tcPr>
          <w:p>
            <w:pPr>
              <w:jc w:val="center"/>
            </w:pPr>
            <w:r>
              <w:rPr>
                <w:rFonts w:ascii="Arial" w:cs="Arial" w:eastAsia="Arial" w:hAnsi="Arial"/>
                <w:b/>
                <w:bCs/>
                <w:color w:val="2E7D32"/>
                <w:sz w:val="17"/>
                <w:szCs w:val="17"/>
              </w:rPr>
              <w:t xml:space="preserve">PASS</w:t>
            </w:r>
          </w:p>
        </w:tc>
        <w:tc>
          <w:tcPr>
            <w:tcW w:type="dxa" w:w="1200"/>
            <w:tcBorders>
              <w:top w:val="single" w:color="CCCCCC" w:sz="1"/>
              <w:left w:val="single" w:color="CCCCCC" w:sz="1"/>
              <w:bottom w:val="single" w:color="CCCCCC" w:sz="1"/>
              <w:right w:val="single" w:color="CCCCCC" w:sz="1"/>
            </w:tcBorders>
            <w:shd w:fill="E8F5E9" w:val="clear"/>
            <w:tcMar>
              <w:top w:type="dxa" w:w="60"/>
              <w:left w:type="dxa" w:w="80"/>
              <w:bottom w:type="dxa" w:w="60"/>
              <w:right w:type="dxa" w:w="80"/>
            </w:tcMar>
            <w:vAlign w:val="center"/>
          </w:tcPr>
          <w:p>
            <w:pPr>
              <w:jc w:val="center"/>
            </w:pPr>
            <w:r>
              <w:rPr>
                <w:rFonts w:ascii="Arial" w:cs="Arial" w:eastAsia="Arial" w:hAnsi="Arial"/>
                <w:b/>
                <w:bCs/>
                <w:color w:val="2E7D32"/>
                <w:sz w:val="17"/>
                <w:szCs w:val="17"/>
              </w:rPr>
              <w:t xml:space="preserve">PASS</w:t>
            </w:r>
          </w:p>
        </w:tc>
        <w:tc>
          <w:tcPr>
            <w:tcW w:type="dxa" w:w="130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vAlign w:val="center"/>
          </w:tcPr>
          <w:p>
            <w:r>
              <w:rPr>
                <w:rFonts w:ascii="Arial" w:cs="Arial" w:eastAsia="Arial" w:hAnsi="Arial"/>
                <w:color w:val="333333"/>
                <w:sz w:val="17"/>
                <w:szCs w:val="17"/>
              </w:rPr>
              <w:t xml:space="preserve">0 violations</w:t>
            </w:r>
          </w:p>
        </w:tc>
        <w:tc>
          <w:tcPr>
            <w:tcW w:type="dxa" w:w="1200"/>
            <w:tcBorders>
              <w:top w:val="single" w:color="CCCCCC" w:sz="1"/>
              <w:left w:val="single" w:color="CCCCCC" w:sz="1"/>
              <w:bottom w:val="single" w:color="CCCCCC" w:sz="1"/>
              <w:right w:val="single" w:color="CCCCCC" w:sz="1"/>
            </w:tcBorders>
            <w:shd w:fill="E8F5E9" w:val="clear"/>
            <w:tcMar>
              <w:top w:type="dxa" w:w="60"/>
              <w:left w:type="dxa" w:w="80"/>
              <w:bottom w:type="dxa" w:w="60"/>
              <w:right w:type="dxa" w:w="80"/>
            </w:tcMar>
            <w:vAlign w:val="center"/>
          </w:tcPr>
          <w:p>
            <w:pPr>
              <w:jc w:val="center"/>
            </w:pPr>
            <w:r>
              <w:rPr>
                <w:rFonts w:ascii="Arial" w:cs="Arial" w:eastAsia="Arial" w:hAnsi="Arial"/>
                <w:b/>
                <w:bCs/>
                <w:color w:val="2E7D32"/>
                <w:sz w:val="17"/>
                <w:szCs w:val="17"/>
              </w:rPr>
              <w:t xml:space="preserve">PASS</w:t>
            </w:r>
          </w:p>
        </w:tc>
      </w:tr>
      <w:tr>
        <w:tc>
          <w:tcPr>
            <w:tcW w:type="dxa" w:w="18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color w:val="333333"/>
                <w:sz w:val="17"/>
                <w:szCs w:val="17"/>
              </w:rPr>
              <w:t xml:space="preserve">2. Allergy Exclusion</w:t>
            </w:r>
          </w:p>
        </w:tc>
        <w:tc>
          <w:tcPr>
            <w:tcW w:type="dxa" w:w="1200"/>
            <w:tcBorders>
              <w:top w:val="single" w:color="CCCCCC" w:sz="1"/>
              <w:left w:val="single" w:color="CCCCCC" w:sz="1"/>
              <w:bottom w:val="single" w:color="CCCCCC" w:sz="1"/>
              <w:right w:val="single" w:color="CCCCCC" w:sz="1"/>
            </w:tcBorders>
            <w:shd w:fill="E8F5E9" w:val="clear"/>
            <w:tcMar>
              <w:top w:type="dxa" w:w="60"/>
              <w:left w:type="dxa" w:w="80"/>
              <w:bottom w:type="dxa" w:w="60"/>
              <w:right w:type="dxa" w:w="80"/>
            </w:tcMar>
            <w:vAlign w:val="center"/>
          </w:tcPr>
          <w:p>
            <w:pPr>
              <w:jc w:val="center"/>
            </w:pPr>
            <w:r>
              <w:rPr>
                <w:rFonts w:ascii="Arial" w:cs="Arial" w:eastAsia="Arial" w:hAnsi="Arial"/>
                <w:b/>
                <w:bCs/>
                <w:color w:val="2E7D32"/>
                <w:sz w:val="17"/>
                <w:szCs w:val="17"/>
              </w:rPr>
              <w:t xml:space="preserve">PASS</w:t>
            </w:r>
          </w:p>
        </w:tc>
        <w:tc>
          <w:tcPr>
            <w:tcW w:type="dxa" w:w="1200"/>
            <w:tcBorders>
              <w:top w:val="single" w:color="CCCCCC" w:sz="1"/>
              <w:left w:val="single" w:color="CCCCCC" w:sz="1"/>
              <w:bottom w:val="single" w:color="CCCCCC" w:sz="1"/>
              <w:right w:val="single" w:color="CCCCCC" w:sz="1"/>
            </w:tcBorders>
            <w:shd w:fill="E8F5E9" w:val="clear"/>
            <w:tcMar>
              <w:top w:type="dxa" w:w="60"/>
              <w:left w:type="dxa" w:w="80"/>
              <w:bottom w:type="dxa" w:w="60"/>
              <w:right w:type="dxa" w:w="80"/>
            </w:tcMar>
            <w:vAlign w:val="center"/>
          </w:tcPr>
          <w:p>
            <w:pPr>
              <w:jc w:val="center"/>
            </w:pPr>
            <w:r>
              <w:rPr>
                <w:rFonts w:ascii="Arial" w:cs="Arial" w:eastAsia="Arial" w:hAnsi="Arial"/>
                <w:b/>
                <w:bCs/>
                <w:color w:val="2E7D32"/>
                <w:sz w:val="17"/>
                <w:szCs w:val="17"/>
              </w:rPr>
              <w:t xml:space="preserve">PASS</w:t>
            </w:r>
          </w:p>
        </w:tc>
        <w:tc>
          <w:tcPr>
            <w:tcW w:type="dxa" w:w="1200"/>
            <w:tcBorders>
              <w:top w:val="single" w:color="CCCCCC" w:sz="1"/>
              <w:left w:val="single" w:color="CCCCCC" w:sz="1"/>
              <w:bottom w:val="single" w:color="CCCCCC" w:sz="1"/>
              <w:right w:val="single" w:color="CCCCCC" w:sz="1"/>
            </w:tcBorders>
            <w:shd w:fill="E8F5E9" w:val="clear"/>
            <w:tcMar>
              <w:top w:type="dxa" w:w="60"/>
              <w:left w:type="dxa" w:w="80"/>
              <w:bottom w:type="dxa" w:w="60"/>
              <w:right w:type="dxa" w:w="80"/>
            </w:tcMar>
            <w:vAlign w:val="center"/>
          </w:tcPr>
          <w:p>
            <w:pPr>
              <w:jc w:val="center"/>
            </w:pPr>
            <w:r>
              <w:rPr>
                <w:rFonts w:ascii="Arial" w:cs="Arial" w:eastAsia="Arial" w:hAnsi="Arial"/>
                <w:b/>
                <w:bCs/>
                <w:color w:val="2E7D32"/>
                <w:sz w:val="17"/>
                <w:szCs w:val="17"/>
              </w:rPr>
              <w:t xml:space="preserve">PASS</w:t>
            </w:r>
          </w:p>
        </w:tc>
        <w:tc>
          <w:tcPr>
            <w:tcW w:type="dxa" w:w="1200"/>
            <w:tcBorders>
              <w:top w:val="single" w:color="CCCCCC" w:sz="1"/>
              <w:left w:val="single" w:color="CCCCCC" w:sz="1"/>
              <w:bottom w:val="single" w:color="CCCCCC" w:sz="1"/>
              <w:right w:val="single" w:color="CCCCCC" w:sz="1"/>
            </w:tcBorders>
            <w:shd w:fill="E8F5E9" w:val="clear"/>
            <w:tcMar>
              <w:top w:type="dxa" w:w="60"/>
              <w:left w:type="dxa" w:w="80"/>
              <w:bottom w:type="dxa" w:w="60"/>
              <w:right w:type="dxa" w:w="80"/>
            </w:tcMar>
            <w:vAlign w:val="center"/>
          </w:tcPr>
          <w:p>
            <w:pPr>
              <w:jc w:val="center"/>
            </w:pPr>
            <w:r>
              <w:rPr>
                <w:rFonts w:ascii="Arial" w:cs="Arial" w:eastAsia="Arial" w:hAnsi="Arial"/>
                <w:b/>
                <w:bCs/>
                <w:color w:val="2E7D32"/>
                <w:sz w:val="17"/>
                <w:szCs w:val="17"/>
              </w:rPr>
              <w:t xml:space="preserve">PASS</w:t>
            </w:r>
          </w:p>
        </w:tc>
        <w:tc>
          <w:tcPr>
            <w:tcW w:type="dxa" w:w="13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color w:val="333333"/>
                <w:sz w:val="17"/>
                <w:szCs w:val="17"/>
              </w:rPr>
              <w:t xml:space="preserve">0 false neg.</w:t>
            </w:r>
          </w:p>
        </w:tc>
        <w:tc>
          <w:tcPr>
            <w:tcW w:type="dxa" w:w="1200"/>
            <w:tcBorders>
              <w:top w:val="single" w:color="CCCCCC" w:sz="1"/>
              <w:left w:val="single" w:color="CCCCCC" w:sz="1"/>
              <w:bottom w:val="single" w:color="CCCCCC" w:sz="1"/>
              <w:right w:val="single" w:color="CCCCCC" w:sz="1"/>
            </w:tcBorders>
            <w:shd w:fill="E8F5E9" w:val="clear"/>
            <w:tcMar>
              <w:top w:type="dxa" w:w="60"/>
              <w:left w:type="dxa" w:w="80"/>
              <w:bottom w:type="dxa" w:w="60"/>
              <w:right w:type="dxa" w:w="80"/>
            </w:tcMar>
            <w:vAlign w:val="center"/>
          </w:tcPr>
          <w:p>
            <w:pPr>
              <w:jc w:val="center"/>
            </w:pPr>
            <w:r>
              <w:rPr>
                <w:rFonts w:ascii="Arial" w:cs="Arial" w:eastAsia="Arial" w:hAnsi="Arial"/>
                <w:b/>
                <w:bCs/>
                <w:color w:val="2E7D32"/>
                <w:sz w:val="17"/>
                <w:szCs w:val="17"/>
              </w:rPr>
              <w:t xml:space="preserve">PASS</w:t>
            </w:r>
          </w:p>
        </w:tc>
      </w:tr>
      <w:tr>
        <w:tc>
          <w:tcPr>
            <w:tcW w:type="dxa" w:w="182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vAlign w:val="center"/>
          </w:tcPr>
          <w:p>
            <w:r>
              <w:rPr>
                <w:rFonts w:ascii="Arial" w:cs="Arial" w:eastAsia="Arial" w:hAnsi="Arial"/>
                <w:color w:val="333333"/>
                <w:sz w:val="17"/>
                <w:szCs w:val="17"/>
              </w:rPr>
              <w:t xml:space="preserve">3. Diet Preference</w:t>
            </w:r>
          </w:p>
        </w:tc>
        <w:tc>
          <w:tcPr>
            <w:tcW w:type="dxa" w:w="1200"/>
            <w:tcBorders>
              <w:top w:val="single" w:color="CCCCCC" w:sz="1"/>
              <w:left w:val="single" w:color="CCCCCC" w:sz="1"/>
              <w:bottom w:val="single" w:color="CCCCCC" w:sz="1"/>
              <w:right w:val="single" w:color="CCCCCC" w:sz="1"/>
            </w:tcBorders>
            <w:shd w:fill="E8F5E9" w:val="clear"/>
            <w:tcMar>
              <w:top w:type="dxa" w:w="60"/>
              <w:left w:type="dxa" w:w="80"/>
              <w:bottom w:type="dxa" w:w="60"/>
              <w:right w:type="dxa" w:w="80"/>
            </w:tcMar>
            <w:vAlign w:val="center"/>
          </w:tcPr>
          <w:p>
            <w:pPr>
              <w:jc w:val="center"/>
            </w:pPr>
            <w:r>
              <w:rPr>
                <w:rFonts w:ascii="Arial" w:cs="Arial" w:eastAsia="Arial" w:hAnsi="Arial"/>
                <w:b/>
                <w:bCs/>
                <w:color w:val="2E7D32"/>
                <w:sz w:val="17"/>
                <w:szCs w:val="17"/>
              </w:rPr>
              <w:t xml:space="preserve">PASS</w:t>
            </w:r>
          </w:p>
        </w:tc>
        <w:tc>
          <w:tcPr>
            <w:tcW w:type="dxa" w:w="1200"/>
            <w:tcBorders>
              <w:top w:val="single" w:color="CCCCCC" w:sz="1"/>
              <w:left w:val="single" w:color="CCCCCC" w:sz="1"/>
              <w:bottom w:val="single" w:color="CCCCCC" w:sz="1"/>
              <w:right w:val="single" w:color="CCCCCC" w:sz="1"/>
            </w:tcBorders>
            <w:shd w:fill="E8F5E9" w:val="clear"/>
            <w:tcMar>
              <w:top w:type="dxa" w:w="60"/>
              <w:left w:type="dxa" w:w="80"/>
              <w:bottom w:type="dxa" w:w="60"/>
              <w:right w:type="dxa" w:w="80"/>
            </w:tcMar>
            <w:vAlign w:val="center"/>
          </w:tcPr>
          <w:p>
            <w:pPr>
              <w:jc w:val="center"/>
            </w:pPr>
            <w:r>
              <w:rPr>
                <w:rFonts w:ascii="Arial" w:cs="Arial" w:eastAsia="Arial" w:hAnsi="Arial"/>
                <w:b/>
                <w:bCs/>
                <w:color w:val="2E7D32"/>
                <w:sz w:val="17"/>
                <w:szCs w:val="17"/>
              </w:rPr>
              <w:t xml:space="preserve">PASS</w:t>
            </w:r>
          </w:p>
        </w:tc>
        <w:tc>
          <w:tcPr>
            <w:tcW w:type="dxa" w:w="1200"/>
            <w:tcBorders>
              <w:top w:val="single" w:color="CCCCCC" w:sz="1"/>
              <w:left w:val="single" w:color="CCCCCC" w:sz="1"/>
              <w:bottom w:val="single" w:color="CCCCCC" w:sz="1"/>
              <w:right w:val="single" w:color="CCCCCC" w:sz="1"/>
            </w:tcBorders>
            <w:shd w:fill="E8F5E9" w:val="clear"/>
            <w:tcMar>
              <w:top w:type="dxa" w:w="60"/>
              <w:left w:type="dxa" w:w="80"/>
              <w:bottom w:type="dxa" w:w="60"/>
              <w:right w:type="dxa" w:w="80"/>
            </w:tcMar>
            <w:vAlign w:val="center"/>
          </w:tcPr>
          <w:p>
            <w:pPr>
              <w:jc w:val="center"/>
            </w:pPr>
            <w:r>
              <w:rPr>
                <w:rFonts w:ascii="Arial" w:cs="Arial" w:eastAsia="Arial" w:hAnsi="Arial"/>
                <w:b/>
                <w:bCs/>
                <w:color w:val="2E7D32"/>
                <w:sz w:val="17"/>
                <w:szCs w:val="17"/>
              </w:rPr>
              <w:t xml:space="preserve">PASS</w:t>
            </w:r>
          </w:p>
        </w:tc>
        <w:tc>
          <w:tcPr>
            <w:tcW w:type="dxa" w:w="1200"/>
            <w:tcBorders>
              <w:top w:val="single" w:color="CCCCCC" w:sz="1"/>
              <w:left w:val="single" w:color="CCCCCC" w:sz="1"/>
              <w:bottom w:val="single" w:color="CCCCCC" w:sz="1"/>
              <w:right w:val="single" w:color="CCCCCC" w:sz="1"/>
            </w:tcBorders>
            <w:shd w:fill="E8F5E9" w:val="clear"/>
            <w:tcMar>
              <w:top w:type="dxa" w:w="60"/>
              <w:left w:type="dxa" w:w="80"/>
              <w:bottom w:type="dxa" w:w="60"/>
              <w:right w:type="dxa" w:w="80"/>
            </w:tcMar>
            <w:vAlign w:val="center"/>
          </w:tcPr>
          <w:p>
            <w:pPr>
              <w:jc w:val="center"/>
            </w:pPr>
            <w:r>
              <w:rPr>
                <w:rFonts w:ascii="Arial" w:cs="Arial" w:eastAsia="Arial" w:hAnsi="Arial"/>
                <w:b/>
                <w:bCs/>
                <w:color w:val="2E7D32"/>
                <w:sz w:val="17"/>
                <w:szCs w:val="17"/>
              </w:rPr>
              <w:t xml:space="preserve">PASS</w:t>
            </w:r>
          </w:p>
        </w:tc>
        <w:tc>
          <w:tcPr>
            <w:tcW w:type="dxa" w:w="130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vAlign w:val="center"/>
          </w:tcPr>
          <w:p>
            <w:r>
              <w:rPr>
                <w:rFonts w:ascii="Arial" w:cs="Arial" w:eastAsia="Arial" w:hAnsi="Arial"/>
                <w:color w:val="333333"/>
                <w:sz w:val="17"/>
                <w:szCs w:val="17"/>
              </w:rPr>
              <w:t xml:space="preserve">100% compliant</w:t>
            </w:r>
          </w:p>
        </w:tc>
        <w:tc>
          <w:tcPr>
            <w:tcW w:type="dxa" w:w="1200"/>
            <w:tcBorders>
              <w:top w:val="single" w:color="CCCCCC" w:sz="1"/>
              <w:left w:val="single" w:color="CCCCCC" w:sz="1"/>
              <w:bottom w:val="single" w:color="CCCCCC" w:sz="1"/>
              <w:right w:val="single" w:color="CCCCCC" w:sz="1"/>
            </w:tcBorders>
            <w:shd w:fill="E8F5E9" w:val="clear"/>
            <w:tcMar>
              <w:top w:type="dxa" w:w="60"/>
              <w:left w:type="dxa" w:w="80"/>
              <w:bottom w:type="dxa" w:w="60"/>
              <w:right w:type="dxa" w:w="80"/>
            </w:tcMar>
            <w:vAlign w:val="center"/>
          </w:tcPr>
          <w:p>
            <w:pPr>
              <w:jc w:val="center"/>
            </w:pPr>
            <w:r>
              <w:rPr>
                <w:rFonts w:ascii="Arial" w:cs="Arial" w:eastAsia="Arial" w:hAnsi="Arial"/>
                <w:b/>
                <w:bCs/>
                <w:color w:val="2E7D32"/>
                <w:sz w:val="17"/>
                <w:szCs w:val="17"/>
              </w:rPr>
              <w:t xml:space="preserve">PASS</w:t>
            </w:r>
          </w:p>
        </w:tc>
      </w:tr>
      <w:tr>
        <w:tc>
          <w:tcPr>
            <w:tcW w:type="dxa" w:w="18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color w:val="333333"/>
                <w:sz w:val="17"/>
                <w:szCs w:val="17"/>
              </w:rPr>
              <w:t xml:space="preserve">4. Diversity Engine</w:t>
            </w:r>
          </w:p>
        </w:tc>
        <w:tc>
          <w:tcPr>
            <w:tcW w:type="dxa" w:w="1200"/>
            <w:tcBorders>
              <w:top w:val="single" w:color="CCCCCC" w:sz="1"/>
              <w:left w:val="single" w:color="CCCCCC" w:sz="1"/>
              <w:bottom w:val="single" w:color="CCCCCC" w:sz="1"/>
              <w:right w:val="single" w:color="CCCCCC" w:sz="1"/>
            </w:tcBorders>
            <w:shd w:fill="E8F5E9" w:val="clear"/>
            <w:tcMar>
              <w:top w:type="dxa" w:w="60"/>
              <w:left w:type="dxa" w:w="80"/>
              <w:bottom w:type="dxa" w:w="60"/>
              <w:right w:type="dxa" w:w="80"/>
            </w:tcMar>
            <w:vAlign w:val="center"/>
          </w:tcPr>
          <w:p>
            <w:pPr>
              <w:jc w:val="center"/>
            </w:pPr>
            <w:r>
              <w:rPr>
                <w:rFonts w:ascii="Arial" w:cs="Arial" w:eastAsia="Arial" w:hAnsi="Arial"/>
                <w:b/>
                <w:bCs/>
                <w:color w:val="2E7D32"/>
                <w:sz w:val="17"/>
                <w:szCs w:val="17"/>
              </w:rPr>
              <w:t xml:space="preserve">PASS</w:t>
            </w:r>
          </w:p>
        </w:tc>
        <w:tc>
          <w:tcPr>
            <w:tcW w:type="dxa" w:w="1200"/>
            <w:tcBorders>
              <w:top w:val="single" w:color="CCCCCC" w:sz="1"/>
              <w:left w:val="single" w:color="CCCCCC" w:sz="1"/>
              <w:bottom w:val="single" w:color="CCCCCC" w:sz="1"/>
              <w:right w:val="single" w:color="CCCCCC" w:sz="1"/>
            </w:tcBorders>
            <w:shd w:fill="E8F5E9" w:val="clear"/>
            <w:tcMar>
              <w:top w:type="dxa" w:w="60"/>
              <w:left w:type="dxa" w:w="80"/>
              <w:bottom w:type="dxa" w:w="60"/>
              <w:right w:type="dxa" w:w="80"/>
            </w:tcMar>
            <w:vAlign w:val="center"/>
          </w:tcPr>
          <w:p>
            <w:pPr>
              <w:jc w:val="center"/>
            </w:pPr>
            <w:r>
              <w:rPr>
                <w:rFonts w:ascii="Arial" w:cs="Arial" w:eastAsia="Arial" w:hAnsi="Arial"/>
                <w:b/>
                <w:bCs/>
                <w:color w:val="2E7D32"/>
                <w:sz w:val="17"/>
                <w:szCs w:val="17"/>
              </w:rPr>
              <w:t xml:space="preserve">PASS</w:t>
            </w:r>
          </w:p>
        </w:tc>
        <w:tc>
          <w:tcPr>
            <w:tcW w:type="dxa" w:w="1200"/>
            <w:tcBorders>
              <w:top w:val="single" w:color="CCCCCC" w:sz="1"/>
              <w:left w:val="single" w:color="CCCCCC" w:sz="1"/>
              <w:bottom w:val="single" w:color="CCCCCC" w:sz="1"/>
              <w:right w:val="single" w:color="CCCCCC" w:sz="1"/>
            </w:tcBorders>
            <w:shd w:fill="E8F5E9" w:val="clear"/>
            <w:tcMar>
              <w:top w:type="dxa" w:w="60"/>
              <w:left w:type="dxa" w:w="80"/>
              <w:bottom w:type="dxa" w:w="60"/>
              <w:right w:type="dxa" w:w="80"/>
            </w:tcMar>
            <w:vAlign w:val="center"/>
          </w:tcPr>
          <w:p>
            <w:pPr>
              <w:jc w:val="center"/>
            </w:pPr>
            <w:r>
              <w:rPr>
                <w:rFonts w:ascii="Arial" w:cs="Arial" w:eastAsia="Arial" w:hAnsi="Arial"/>
                <w:b/>
                <w:bCs/>
                <w:color w:val="2E7D32"/>
                <w:sz w:val="17"/>
                <w:szCs w:val="17"/>
              </w:rPr>
              <w:t xml:space="preserve">PASS</w:t>
            </w:r>
          </w:p>
        </w:tc>
        <w:tc>
          <w:tcPr>
            <w:tcW w:type="dxa" w:w="1200"/>
            <w:tcBorders>
              <w:top w:val="single" w:color="CCCCCC" w:sz="1"/>
              <w:left w:val="single" w:color="CCCCCC" w:sz="1"/>
              <w:bottom w:val="single" w:color="CCCCCC" w:sz="1"/>
              <w:right w:val="single" w:color="CCCCCC" w:sz="1"/>
            </w:tcBorders>
            <w:shd w:fill="E8F5E9" w:val="clear"/>
            <w:tcMar>
              <w:top w:type="dxa" w:w="60"/>
              <w:left w:type="dxa" w:w="80"/>
              <w:bottom w:type="dxa" w:w="60"/>
              <w:right w:type="dxa" w:w="80"/>
            </w:tcMar>
            <w:vAlign w:val="center"/>
          </w:tcPr>
          <w:p>
            <w:pPr>
              <w:jc w:val="center"/>
            </w:pPr>
            <w:r>
              <w:rPr>
                <w:rFonts w:ascii="Arial" w:cs="Arial" w:eastAsia="Arial" w:hAnsi="Arial"/>
                <w:b/>
                <w:bCs/>
                <w:color w:val="2E7D32"/>
                <w:sz w:val="17"/>
                <w:szCs w:val="17"/>
              </w:rPr>
              <w:t xml:space="preserve">PASS</w:t>
            </w:r>
          </w:p>
        </w:tc>
        <w:tc>
          <w:tcPr>
            <w:tcW w:type="dxa" w:w="13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color w:val="333333"/>
                <w:sz w:val="17"/>
                <w:szCs w:val="17"/>
              </w:rPr>
              <w:t xml:space="preserve">Score &gt;= 0.85</w:t>
            </w:r>
          </w:p>
        </w:tc>
        <w:tc>
          <w:tcPr>
            <w:tcW w:type="dxa" w:w="1200"/>
            <w:tcBorders>
              <w:top w:val="single" w:color="CCCCCC" w:sz="1"/>
              <w:left w:val="single" w:color="CCCCCC" w:sz="1"/>
              <w:bottom w:val="single" w:color="CCCCCC" w:sz="1"/>
              <w:right w:val="single" w:color="CCCCCC" w:sz="1"/>
            </w:tcBorders>
            <w:shd w:fill="E8F5E9" w:val="clear"/>
            <w:tcMar>
              <w:top w:type="dxa" w:w="60"/>
              <w:left w:type="dxa" w:w="80"/>
              <w:bottom w:type="dxa" w:w="60"/>
              <w:right w:type="dxa" w:w="80"/>
            </w:tcMar>
            <w:vAlign w:val="center"/>
          </w:tcPr>
          <w:p>
            <w:pPr>
              <w:jc w:val="center"/>
            </w:pPr>
            <w:r>
              <w:rPr>
                <w:rFonts w:ascii="Arial" w:cs="Arial" w:eastAsia="Arial" w:hAnsi="Arial"/>
                <w:b/>
                <w:bCs/>
                <w:color w:val="2E7D32"/>
                <w:sz w:val="17"/>
                <w:szCs w:val="17"/>
              </w:rPr>
              <w:t xml:space="preserve">PASS</w:t>
            </w:r>
          </w:p>
        </w:tc>
      </w:tr>
      <w:tr>
        <w:tc>
          <w:tcPr>
            <w:tcW w:type="dxa" w:w="182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vAlign w:val="center"/>
          </w:tcPr>
          <w:p>
            <w:r>
              <w:rPr>
                <w:rFonts w:ascii="Arial" w:cs="Arial" w:eastAsia="Arial" w:hAnsi="Arial"/>
                <w:color w:val="333333"/>
                <w:sz w:val="17"/>
                <w:szCs w:val="17"/>
              </w:rPr>
              <w:t xml:space="preserve">5. Nutrient Analysis</w:t>
            </w:r>
          </w:p>
        </w:tc>
        <w:tc>
          <w:tcPr>
            <w:tcW w:type="dxa" w:w="1200"/>
            <w:tcBorders>
              <w:top w:val="single" w:color="CCCCCC" w:sz="1"/>
              <w:left w:val="single" w:color="CCCCCC" w:sz="1"/>
              <w:bottom w:val="single" w:color="CCCCCC" w:sz="1"/>
              <w:right w:val="single" w:color="CCCCCC" w:sz="1"/>
            </w:tcBorders>
            <w:shd w:fill="E8F5E9" w:val="clear"/>
            <w:tcMar>
              <w:top w:type="dxa" w:w="60"/>
              <w:left w:type="dxa" w:w="80"/>
              <w:bottom w:type="dxa" w:w="60"/>
              <w:right w:type="dxa" w:w="80"/>
            </w:tcMar>
            <w:vAlign w:val="center"/>
          </w:tcPr>
          <w:p>
            <w:pPr>
              <w:jc w:val="center"/>
            </w:pPr>
            <w:r>
              <w:rPr>
                <w:rFonts w:ascii="Arial" w:cs="Arial" w:eastAsia="Arial" w:hAnsi="Arial"/>
                <w:b/>
                <w:bCs/>
                <w:color w:val="2E7D32"/>
                <w:sz w:val="17"/>
                <w:szCs w:val="17"/>
              </w:rPr>
              <w:t xml:space="preserve">PASS</w:t>
            </w:r>
          </w:p>
        </w:tc>
        <w:tc>
          <w:tcPr>
            <w:tcW w:type="dxa" w:w="1200"/>
            <w:tcBorders>
              <w:top w:val="single" w:color="CCCCCC" w:sz="1"/>
              <w:left w:val="single" w:color="CCCCCC" w:sz="1"/>
              <w:bottom w:val="single" w:color="CCCCCC" w:sz="1"/>
              <w:right w:val="single" w:color="CCCCCC" w:sz="1"/>
            </w:tcBorders>
            <w:shd w:fill="E8F5E9" w:val="clear"/>
            <w:tcMar>
              <w:top w:type="dxa" w:w="60"/>
              <w:left w:type="dxa" w:w="80"/>
              <w:bottom w:type="dxa" w:w="60"/>
              <w:right w:type="dxa" w:w="80"/>
            </w:tcMar>
            <w:vAlign w:val="center"/>
          </w:tcPr>
          <w:p>
            <w:pPr>
              <w:jc w:val="center"/>
            </w:pPr>
            <w:r>
              <w:rPr>
                <w:rFonts w:ascii="Arial" w:cs="Arial" w:eastAsia="Arial" w:hAnsi="Arial"/>
                <w:b/>
                <w:bCs/>
                <w:color w:val="2E7D32"/>
                <w:sz w:val="17"/>
                <w:szCs w:val="17"/>
              </w:rPr>
              <w:t xml:space="preserve">PASS</w:t>
            </w:r>
          </w:p>
        </w:tc>
        <w:tc>
          <w:tcPr>
            <w:tcW w:type="dxa" w:w="1200"/>
            <w:tcBorders>
              <w:top w:val="single" w:color="CCCCCC" w:sz="1"/>
              <w:left w:val="single" w:color="CCCCCC" w:sz="1"/>
              <w:bottom w:val="single" w:color="CCCCCC" w:sz="1"/>
              <w:right w:val="single" w:color="CCCCCC" w:sz="1"/>
            </w:tcBorders>
            <w:shd w:fill="E8F5E9" w:val="clear"/>
            <w:tcMar>
              <w:top w:type="dxa" w:w="60"/>
              <w:left w:type="dxa" w:w="80"/>
              <w:bottom w:type="dxa" w:w="60"/>
              <w:right w:type="dxa" w:w="80"/>
            </w:tcMar>
            <w:vAlign w:val="center"/>
          </w:tcPr>
          <w:p>
            <w:pPr>
              <w:jc w:val="center"/>
            </w:pPr>
            <w:r>
              <w:rPr>
                <w:rFonts w:ascii="Arial" w:cs="Arial" w:eastAsia="Arial" w:hAnsi="Arial"/>
                <w:b/>
                <w:bCs/>
                <w:color w:val="2E7D32"/>
                <w:sz w:val="17"/>
                <w:szCs w:val="17"/>
              </w:rPr>
              <w:t xml:space="preserve">PASS</w:t>
            </w:r>
          </w:p>
        </w:tc>
        <w:tc>
          <w:tcPr>
            <w:tcW w:type="dxa" w:w="1200"/>
            <w:tcBorders>
              <w:top w:val="single" w:color="CCCCCC" w:sz="1"/>
              <w:left w:val="single" w:color="CCCCCC" w:sz="1"/>
              <w:bottom w:val="single" w:color="CCCCCC" w:sz="1"/>
              <w:right w:val="single" w:color="CCCCCC" w:sz="1"/>
            </w:tcBorders>
            <w:shd w:fill="E8F5E9" w:val="clear"/>
            <w:tcMar>
              <w:top w:type="dxa" w:w="60"/>
              <w:left w:type="dxa" w:w="80"/>
              <w:bottom w:type="dxa" w:w="60"/>
              <w:right w:type="dxa" w:w="80"/>
            </w:tcMar>
            <w:vAlign w:val="center"/>
          </w:tcPr>
          <w:p>
            <w:pPr>
              <w:jc w:val="center"/>
            </w:pPr>
            <w:r>
              <w:rPr>
                <w:rFonts w:ascii="Arial" w:cs="Arial" w:eastAsia="Arial" w:hAnsi="Arial"/>
                <w:b/>
                <w:bCs/>
                <w:color w:val="2E7D32"/>
                <w:sz w:val="17"/>
                <w:szCs w:val="17"/>
              </w:rPr>
              <w:t xml:space="preserve">PASS</w:t>
            </w:r>
          </w:p>
        </w:tc>
        <w:tc>
          <w:tcPr>
            <w:tcW w:type="dxa" w:w="130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vAlign w:val="center"/>
          </w:tcPr>
          <w:p>
            <w:r>
              <w:rPr>
                <w:rFonts w:ascii="Arial" w:cs="Arial" w:eastAsia="Arial" w:hAnsi="Arial"/>
                <w:color w:val="333333"/>
                <w:sz w:val="17"/>
                <w:szCs w:val="17"/>
              </w:rPr>
              <w:t xml:space="preserve">RDA displayed</w:t>
            </w:r>
          </w:p>
        </w:tc>
        <w:tc>
          <w:tcPr>
            <w:tcW w:type="dxa" w:w="1200"/>
            <w:tcBorders>
              <w:top w:val="single" w:color="CCCCCC" w:sz="1"/>
              <w:left w:val="single" w:color="CCCCCC" w:sz="1"/>
              <w:bottom w:val="single" w:color="CCCCCC" w:sz="1"/>
              <w:right w:val="single" w:color="CCCCCC" w:sz="1"/>
            </w:tcBorders>
            <w:shd w:fill="E8F5E9" w:val="clear"/>
            <w:tcMar>
              <w:top w:type="dxa" w:w="60"/>
              <w:left w:type="dxa" w:w="80"/>
              <w:bottom w:type="dxa" w:w="60"/>
              <w:right w:type="dxa" w:w="80"/>
            </w:tcMar>
            <w:vAlign w:val="center"/>
          </w:tcPr>
          <w:p>
            <w:pPr>
              <w:jc w:val="center"/>
            </w:pPr>
            <w:r>
              <w:rPr>
                <w:rFonts w:ascii="Arial" w:cs="Arial" w:eastAsia="Arial" w:hAnsi="Arial"/>
                <w:b/>
                <w:bCs/>
                <w:color w:val="2E7D32"/>
                <w:sz w:val="17"/>
                <w:szCs w:val="17"/>
              </w:rPr>
              <w:t xml:space="preserve">PASS</w:t>
            </w:r>
          </w:p>
        </w:tc>
      </w:tr>
      <w:tr>
        <w:tc>
          <w:tcPr>
            <w:tcW w:type="dxa" w:w="18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color w:val="333333"/>
                <w:sz w:val="17"/>
                <w:szCs w:val="17"/>
              </w:rPr>
              <w:t xml:space="preserve">6. Sub-60s Generation</w:t>
            </w:r>
          </w:p>
        </w:tc>
        <w:tc>
          <w:tcPr>
            <w:tcW w:type="dxa" w:w="1200"/>
            <w:tcBorders>
              <w:top w:val="single" w:color="CCCCCC" w:sz="1"/>
              <w:left w:val="single" w:color="CCCCCC" w:sz="1"/>
              <w:bottom w:val="single" w:color="CCCCCC" w:sz="1"/>
              <w:right w:val="single" w:color="CCCCCC" w:sz="1"/>
            </w:tcBorders>
            <w:shd w:fill="E8F5E9" w:val="clear"/>
            <w:tcMar>
              <w:top w:type="dxa" w:w="60"/>
              <w:left w:type="dxa" w:w="80"/>
              <w:bottom w:type="dxa" w:w="60"/>
              <w:right w:type="dxa" w:w="80"/>
            </w:tcMar>
            <w:vAlign w:val="center"/>
          </w:tcPr>
          <w:p>
            <w:pPr>
              <w:jc w:val="center"/>
            </w:pPr>
            <w:r>
              <w:rPr>
                <w:rFonts w:ascii="Arial" w:cs="Arial" w:eastAsia="Arial" w:hAnsi="Arial"/>
                <w:b/>
                <w:bCs/>
                <w:color w:val="2E7D32"/>
                <w:sz w:val="17"/>
                <w:szCs w:val="17"/>
              </w:rPr>
              <w:t xml:space="preserve">PASS</w:t>
            </w:r>
          </w:p>
        </w:tc>
        <w:tc>
          <w:tcPr>
            <w:tcW w:type="dxa" w:w="1200"/>
            <w:tcBorders>
              <w:top w:val="single" w:color="CCCCCC" w:sz="1"/>
              <w:left w:val="single" w:color="CCCCCC" w:sz="1"/>
              <w:bottom w:val="single" w:color="CCCCCC" w:sz="1"/>
              <w:right w:val="single" w:color="CCCCCC" w:sz="1"/>
            </w:tcBorders>
            <w:shd w:fill="E8F5E9" w:val="clear"/>
            <w:tcMar>
              <w:top w:type="dxa" w:w="60"/>
              <w:left w:type="dxa" w:w="80"/>
              <w:bottom w:type="dxa" w:w="60"/>
              <w:right w:type="dxa" w:w="80"/>
            </w:tcMar>
            <w:vAlign w:val="center"/>
          </w:tcPr>
          <w:p>
            <w:pPr>
              <w:jc w:val="center"/>
            </w:pPr>
            <w:r>
              <w:rPr>
                <w:rFonts w:ascii="Arial" w:cs="Arial" w:eastAsia="Arial" w:hAnsi="Arial"/>
                <w:b/>
                <w:bCs/>
                <w:color w:val="2E7D32"/>
                <w:sz w:val="17"/>
                <w:szCs w:val="17"/>
              </w:rPr>
              <w:t xml:space="preserve">PASS</w:t>
            </w:r>
          </w:p>
        </w:tc>
        <w:tc>
          <w:tcPr>
            <w:tcW w:type="dxa" w:w="1200"/>
            <w:tcBorders>
              <w:top w:val="single" w:color="CCCCCC" w:sz="1"/>
              <w:left w:val="single" w:color="CCCCCC" w:sz="1"/>
              <w:bottom w:val="single" w:color="CCCCCC" w:sz="1"/>
              <w:right w:val="single" w:color="CCCCCC" w:sz="1"/>
            </w:tcBorders>
            <w:shd w:fill="E8F5E9" w:val="clear"/>
            <w:tcMar>
              <w:top w:type="dxa" w:w="60"/>
              <w:left w:type="dxa" w:w="80"/>
              <w:bottom w:type="dxa" w:w="60"/>
              <w:right w:type="dxa" w:w="80"/>
            </w:tcMar>
            <w:vAlign w:val="center"/>
          </w:tcPr>
          <w:p>
            <w:pPr>
              <w:jc w:val="center"/>
            </w:pPr>
            <w:r>
              <w:rPr>
                <w:rFonts w:ascii="Arial" w:cs="Arial" w:eastAsia="Arial" w:hAnsi="Arial"/>
                <w:b/>
                <w:bCs/>
                <w:color w:val="2E7D32"/>
                <w:sz w:val="17"/>
                <w:szCs w:val="17"/>
              </w:rPr>
              <w:t xml:space="preserve">PASS</w:t>
            </w:r>
          </w:p>
        </w:tc>
        <w:tc>
          <w:tcPr>
            <w:tcW w:type="dxa" w:w="1200"/>
            <w:tcBorders>
              <w:top w:val="single" w:color="CCCCCC" w:sz="1"/>
              <w:left w:val="single" w:color="CCCCCC" w:sz="1"/>
              <w:bottom w:val="single" w:color="CCCCCC" w:sz="1"/>
              <w:right w:val="single" w:color="CCCCCC" w:sz="1"/>
            </w:tcBorders>
            <w:shd w:fill="E8F5E9" w:val="clear"/>
            <w:tcMar>
              <w:top w:type="dxa" w:w="60"/>
              <w:left w:type="dxa" w:w="80"/>
              <w:bottom w:type="dxa" w:w="60"/>
              <w:right w:type="dxa" w:w="80"/>
            </w:tcMar>
            <w:vAlign w:val="center"/>
          </w:tcPr>
          <w:p>
            <w:pPr>
              <w:jc w:val="center"/>
            </w:pPr>
            <w:r>
              <w:rPr>
                <w:rFonts w:ascii="Arial" w:cs="Arial" w:eastAsia="Arial" w:hAnsi="Arial"/>
                <w:b/>
                <w:bCs/>
                <w:color w:val="2E7D32"/>
                <w:sz w:val="17"/>
                <w:szCs w:val="17"/>
              </w:rPr>
              <w:t xml:space="preserve">PASS</w:t>
            </w:r>
          </w:p>
        </w:tc>
        <w:tc>
          <w:tcPr>
            <w:tcW w:type="dxa" w:w="13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color w:val="333333"/>
                <w:sz w:val="17"/>
                <w:szCs w:val="17"/>
              </w:rPr>
              <w:t xml:space="preserve">&lt; 60 seconds</w:t>
            </w:r>
          </w:p>
        </w:tc>
        <w:tc>
          <w:tcPr>
            <w:tcW w:type="dxa" w:w="1200"/>
            <w:tcBorders>
              <w:top w:val="single" w:color="CCCCCC" w:sz="1"/>
              <w:left w:val="single" w:color="CCCCCC" w:sz="1"/>
              <w:bottom w:val="single" w:color="CCCCCC" w:sz="1"/>
              <w:right w:val="single" w:color="CCCCCC" w:sz="1"/>
            </w:tcBorders>
            <w:shd w:fill="E8F5E9" w:val="clear"/>
            <w:tcMar>
              <w:top w:type="dxa" w:w="60"/>
              <w:left w:type="dxa" w:w="80"/>
              <w:bottom w:type="dxa" w:w="60"/>
              <w:right w:type="dxa" w:w="80"/>
            </w:tcMar>
            <w:vAlign w:val="center"/>
          </w:tcPr>
          <w:p>
            <w:pPr>
              <w:jc w:val="center"/>
            </w:pPr>
            <w:r>
              <w:rPr>
                <w:rFonts w:ascii="Arial" w:cs="Arial" w:eastAsia="Arial" w:hAnsi="Arial"/>
                <w:b/>
                <w:bCs/>
                <w:color w:val="2E7D32"/>
                <w:sz w:val="17"/>
                <w:szCs w:val="17"/>
              </w:rPr>
              <w:t xml:space="preserve">PASS</w:t>
            </w:r>
          </w:p>
        </w:tc>
      </w:tr>
    </w:tbl>
    <w:p>
      <w:pPr>
        <w:spacing w:after="120" w:before="40"/>
        <w:jc w:val="center"/>
      </w:pPr>
      <w:r>
        <w:rPr>
          <w:rFonts w:ascii="Arial" w:cs="Arial" w:eastAsia="Arial" w:hAnsi="Arial"/>
          <w:i/>
          <w:iCs/>
          <w:color w:val="666666"/>
          <w:sz w:val="16"/>
          <w:szCs w:val="16"/>
        </w:rPr>
        <w:t xml:space="preserve">Table 2. Pass/fail results for all six capabilities across the four BAX-423 clinical test personas.</w:t>
      </w:r>
    </w:p>
    <w:p>
      <w:pPr>
        <w:pStyle w:val="Heading2"/>
        <w:spacing w:after="80" w:before="180"/>
      </w:pPr>
      <w:r>
        <w:rPr>
          <w:rFonts w:ascii="Arial" w:cs="Arial" w:eastAsia="Arial" w:hAnsi="Arial"/>
          <w:b/>
          <w:bCs/>
          <w:color w:val="111111"/>
          <w:sz w:val="22"/>
          <w:szCs w:val="22"/>
        </w:rPr>
        <w:t xml:space="preserve">3.1 Persona-Specific Notes</w:t>
      </w:r>
    </w:p>
    <w:p>
      <w:pPr>
        <w:spacing w:after="80" w:before="40"/>
        <w:jc w:val="both"/>
      </w:pPr>
      <w:r>
        <w:rPr>
          <w:rFonts w:ascii="Arial" w:cs="Arial" w:eastAsia="Arial" w:hAnsi="Arial"/>
          <w:b w:val="false"/>
          <w:bCs w:val="false"/>
          <w:i w:val="false"/>
          <w:iCs w:val="false"/>
          <w:color w:val="333333"/>
          <w:sz w:val="19"/>
          <w:szCs w:val="19"/>
        </w:rPr>
        <w:t xml:space="preserve">Priya (IBS, Vegetarian, Dairy-free): The clinical filter used the Monash FODMAP list to correctly exclude garlic, onion, lentils and wheat. Diversity score was 0.91 across seven days. Generation time was 4.2 seconds.</w:t>
      </w:r>
    </w:p>
    <w:p>
      <w:pPr>
        <w:spacing w:after="80" w:before="40"/>
        <w:jc w:val="both"/>
      </w:pPr>
      <w:r>
        <w:rPr>
          <w:rFonts w:ascii="Arial" w:cs="Arial" w:eastAsia="Arial" w:hAnsi="Arial"/>
          <w:b w:val="false"/>
          <w:bCs w:val="false"/>
          <w:i w:val="false"/>
          <w:iCs w:val="false"/>
          <w:color w:val="333333"/>
          <w:sz w:val="19"/>
          <w:szCs w:val="19"/>
        </w:rPr>
        <w:t xml:space="preserve">Ravi (GERD, Non-Vegetarian, Gluten-free): All gluten-containing grains were excluded by the allergy engine. The GERD filter removed citrus, tomatoes, coffee and fried foods. Diversity score was 0.95 and generation time was 3.8 seconds.</w:t>
      </w:r>
    </w:p>
    <w:p>
      <w:pPr>
        <w:spacing w:after="80" w:before="40"/>
        <w:jc w:val="both"/>
      </w:pPr>
      <w:r>
        <w:rPr>
          <w:rFonts w:ascii="Arial" w:cs="Arial" w:eastAsia="Arial" w:hAnsi="Arial"/>
          <w:b w:val="false"/>
          <w:bCs w:val="false"/>
          <w:i w:val="false"/>
          <w:iCs w:val="false"/>
          <w:color w:val="333333"/>
          <w:sz w:val="19"/>
          <w:szCs w:val="19"/>
        </w:rPr>
        <w:t xml:space="preserve">Mei (Type 2 Diabetes, Vegan, Tree-nut-free): The University of Sydney GI thresholds excluded white rice (GI 73), jasmine rice (GI 80), white bread (GI 75) and cornflakes (GI 81). All tree nut foods were correctly excluded. Diversity score was 1.00 and generation time was 5.1 seconds.</w:t>
      </w:r>
    </w:p>
    <w:p>
      <w:pPr>
        <w:spacing w:after="80" w:before="40"/>
        <w:jc w:val="both"/>
      </w:pPr>
      <w:r>
        <w:rPr>
          <w:rFonts w:ascii="Arial" w:cs="Arial" w:eastAsia="Arial" w:hAnsi="Arial"/>
          <w:b w:val="false"/>
          <w:bCs w:val="false"/>
          <w:i w:val="false"/>
          <w:iCs w:val="false"/>
          <w:color w:val="333333"/>
          <w:sz w:val="19"/>
          <w:szCs w:val="19"/>
        </w:rPr>
        <w:t xml:space="preserve">James (Hypertension, Pescatarian, Soy-free): The DASH sodium ceiling excluded high-sodium cured and processed foods. Fish and seafood were included while red meat and poultry were excluded. Diversity score was 0.93 and generation time was 4.7 seconds.</w:t>
      </w:r>
    </w:p>
    <w:p>
      <w:pPr>
        <w:pageBreakBefore/>
      </w:pPr>
      <w:r>
        <w:t xml:space="preserve"/>
      </w:r>
    </w:p>
    <w:p>
      <w:pPr>
        <w:pStyle w:val="Heading1"/>
        <w:pBdr>
          <w:bottom w:val="single" w:color="111111" w:sz="6" w:space="3"/>
        </w:pBdr>
        <w:spacing w:after="120" w:before="280"/>
      </w:pPr>
      <w:r>
        <w:rPr>
          <w:rFonts w:ascii="Arial" w:cs="Arial" w:eastAsia="Arial" w:hAnsi="Arial"/>
          <w:b/>
          <w:bCs/>
          <w:color w:val="111111"/>
          <w:sz w:val="28"/>
          <w:szCs w:val="28"/>
        </w:rPr>
        <w:t xml:space="preserve">4. Known Limitations and Future Work</w:t>
      </w:r>
    </w:p>
    <w:p>
      <w:pPr>
        <w:pStyle w:val="Heading2"/>
        <w:spacing w:after="80" w:before="180"/>
      </w:pPr>
      <w:r>
        <w:rPr>
          <w:rFonts w:ascii="Arial" w:cs="Arial" w:eastAsia="Arial" w:hAnsi="Arial"/>
          <w:b/>
          <w:bCs/>
          <w:color w:val="111111"/>
          <w:sz w:val="22"/>
          <w:szCs w:val="22"/>
        </w:rPr>
        <w:t xml:space="preserve">4.1 Data Quality</w:t>
      </w:r>
    </w:p>
    <w:p>
      <w:pPr>
        <w:spacing w:after="80" w:before="40"/>
        <w:jc w:val="both"/>
      </w:pPr>
      <w:r>
        <w:rPr>
          <w:rFonts w:ascii="Arial" w:cs="Arial" w:eastAsia="Arial" w:hAnsi="Arial"/>
          <w:b w:val="false"/>
          <w:bCs w:val="false"/>
          <w:i w:val="false"/>
          <w:iCs w:val="false"/>
          <w:color w:val="333333"/>
          <w:sz w:val="19"/>
          <w:szCs w:val="19"/>
        </w:rPr>
        <w:t xml:space="preserve">Approximately 19 percent of USDA FoodData Central records returned zero for calorie values in the list endpoint response at the time of data collection. These records are retained in the corpus but receive a default calorie value of 100 kcal per 100 g to prevent division errors during portion scaling. A future improvement would be to fetch the full food detail endpoint for each record, although this would increase ingestion time significantly.</w:t>
      </w:r>
    </w:p>
    <w:p>
      <w:pPr>
        <w:spacing w:after="80" w:before="40"/>
        <w:jc w:val="both"/>
      </w:pPr>
      <w:r>
        <w:rPr>
          <w:rFonts w:ascii="Arial" w:cs="Arial" w:eastAsia="Arial" w:hAnsi="Arial"/>
          <w:b w:val="false"/>
          <w:bCs w:val="false"/>
          <w:i w:val="false"/>
          <w:iCs w:val="false"/>
          <w:color w:val="333333"/>
          <w:sz w:val="19"/>
          <w:szCs w:val="19"/>
        </w:rPr>
        <w:t xml:space="preserve">The category tagger relies on keyword matching against the food name string. Brand-name compound foods may receive an incorrect or empty category assignment and fall through to the FAISS-only fallback pool. A supervised multi-label classifier trained on USDA category annotations would improve precision.</w:t>
      </w:r>
    </w:p>
    <w:p>
      <w:pPr>
        <w:pStyle w:val="Heading2"/>
        <w:spacing w:after="80" w:before="180"/>
      </w:pPr>
      <w:r>
        <w:rPr>
          <w:rFonts w:ascii="Arial" w:cs="Arial" w:eastAsia="Arial" w:hAnsi="Arial"/>
          <w:b/>
          <w:bCs/>
          <w:color w:val="111111"/>
          <w:sz w:val="22"/>
          <w:szCs w:val="22"/>
        </w:rPr>
        <w:t xml:space="preserve">4.2 Clinical Validation</w:t>
      </w:r>
    </w:p>
    <w:p>
      <w:pPr>
        <w:spacing w:after="80" w:before="40"/>
        <w:jc w:val="both"/>
      </w:pPr>
      <w:r>
        <w:rPr>
          <w:rFonts w:ascii="Arial" w:cs="Arial" w:eastAsia="Arial" w:hAnsi="Arial"/>
          <w:b w:val="false"/>
          <w:bCs w:val="false"/>
          <w:i w:val="false"/>
          <w:iCs w:val="false"/>
          <w:color w:val="333333"/>
          <w:sz w:val="19"/>
          <w:szCs w:val="19"/>
        </w:rPr>
        <w:t xml:space="preserve">The clinical filtering rules encode general dietary guidance and are not a substitute for individual medical advice. The system has not been validated by a registered dietitian or physician. Nutrient thresholds are applied at the per-food level based on nutrients per 100 g rather than per serving, which can over-exclude foods acceptable in small portions. A future version would apply per-meal cumulative nutrient budgets rather than per-food cutoffs.</w:t>
      </w:r>
    </w:p>
    <w:p>
      <w:pPr>
        <w:pStyle w:val="Heading2"/>
        <w:spacing w:after="80" w:before="180"/>
      </w:pPr>
      <w:r>
        <w:rPr>
          <w:rFonts w:ascii="Arial" w:cs="Arial" w:eastAsia="Arial" w:hAnsi="Arial"/>
          <w:b/>
          <w:bCs/>
          <w:color w:val="111111"/>
          <w:sz w:val="22"/>
          <w:szCs w:val="22"/>
        </w:rPr>
        <w:t xml:space="preserve">4.3 Allergen Detection</w:t>
      </w:r>
    </w:p>
    <w:p>
      <w:pPr>
        <w:spacing w:after="80" w:before="40"/>
        <w:jc w:val="both"/>
      </w:pPr>
      <w:r>
        <w:rPr>
          <w:rFonts w:ascii="Arial" w:cs="Arial" w:eastAsia="Arial" w:hAnsi="Arial"/>
          <w:b w:val="false"/>
          <w:bCs w:val="false"/>
          <w:i w:val="false"/>
          <w:iCs w:val="false"/>
          <w:color w:val="333333"/>
          <w:sz w:val="19"/>
          <w:szCs w:val="19"/>
        </w:rPr>
        <w:t xml:space="preserve">The Bloom filter and keyword confirmation system operates on the food name field only because the USDA FoodData Central list endpoint does not return a full ingredient list for all records. Foods with hidden allergens in sub-ingredients (for example, soy lecithin in chocolate) would not be detected unless the allergen term appears in the food name. Cross-contamination risk is not modelled.</w:t>
      </w:r>
    </w:p>
    <w:p>
      <w:pPr>
        <w:pStyle w:val="Heading2"/>
        <w:spacing w:after="80" w:before="180"/>
      </w:pPr>
      <w:r>
        <w:rPr>
          <w:rFonts w:ascii="Arial" w:cs="Arial" w:eastAsia="Arial" w:hAnsi="Arial"/>
          <w:b/>
          <w:bCs/>
          <w:color w:val="111111"/>
          <w:sz w:val="22"/>
          <w:szCs w:val="22"/>
        </w:rPr>
        <w:t xml:space="preserve">4.4 Adaptive Learning and Scalability</w:t>
      </w:r>
    </w:p>
    <w:p>
      <w:pPr>
        <w:spacing w:after="80" w:before="40"/>
        <w:jc w:val="both"/>
      </w:pPr>
      <w:r>
        <w:rPr>
          <w:rFonts w:ascii="Arial" w:cs="Arial" w:eastAsia="Arial" w:hAnsi="Arial"/>
          <w:b w:val="false"/>
          <w:bCs w:val="false"/>
          <w:i w:val="false"/>
          <w:iCs w:val="false"/>
          <w:color w:val="333333"/>
          <w:sz w:val="19"/>
          <w:szCs w:val="19"/>
        </w:rPr>
        <w:t xml:space="preserve">The multi-armed bandit module learns meal category preferences within a single session because the bandit state is stored in Streamlit session state rather than a persistent user database. Preferences are reset on each new browser session. Additionally, the FAISS index is rebuilt in memory at every application startup. At the current corpus size of 10,091 records this takes under two seconds, but a much larger corpus would require a pre-serialised index loaded from disk. A production deployment would also persist bandit state and use a caching layer for concurrent users.</w:t>
      </w:r>
    </w:p>
    <w:p>
      <w:pPr>
        <w:pStyle w:val="Heading2"/>
        <w:spacing w:after="80" w:before="180"/>
      </w:pPr>
      <w:r>
        <w:rPr>
          <w:rFonts w:ascii="Arial" w:cs="Arial" w:eastAsia="Arial" w:hAnsi="Arial"/>
          <w:b/>
          <w:bCs/>
          <w:color w:val="111111"/>
          <w:sz w:val="22"/>
          <w:szCs w:val="22"/>
        </w:rPr>
        <w:t xml:space="preserve">4.5 python-constraint Library</w:t>
      </w:r>
    </w:p>
    <w:p>
      <w:pPr>
        <w:spacing w:after="80" w:before="40"/>
        <w:jc w:val="both"/>
      </w:pPr>
      <w:r>
        <w:rPr>
          <w:rFonts w:ascii="Arial" w:cs="Arial" w:eastAsia="Arial" w:hAnsi="Arial"/>
          <w:b w:val="false"/>
          <w:bCs w:val="false"/>
          <w:i w:val="false"/>
          <w:iCs w:val="false"/>
          <w:color w:val="333333"/>
          <w:sz w:val="19"/>
          <w:szCs w:val="19"/>
        </w:rPr>
        <w:t xml:space="preserve">The python-constraint library listed as an optional resource in the project brief was not used. Diversity and allergy constraints are instead enforced directly in Python using set-based intersection and counter-based repeat tracking in diversity_engine.py and allergy_engine.py respectively. This approach was chosen because the constraint satisfaction problem size is small (at most 21 meal slots per plan) and the native implementation avoids an additional dependency while achieving identical correctness.</w:t>
      </w:r>
    </w:p>
    <w:p>
      <w:pPr>
        <w:pStyle w:val="Heading1"/>
        <w:pBdr>
          <w:bottom w:val="single" w:color="111111" w:sz="6" w:space="3"/>
        </w:pBdr>
        <w:spacing w:after="120" w:before="280"/>
      </w:pPr>
      <w:r>
        <w:rPr>
          <w:rFonts w:ascii="Arial" w:cs="Arial" w:eastAsia="Arial" w:hAnsi="Arial"/>
          <w:b/>
          <w:bCs/>
          <w:color w:val="111111"/>
          <w:sz w:val="28"/>
          <w:szCs w:val="28"/>
        </w:rPr>
        <w:t xml:space="preserve">5. Technology Stack</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400"/>
        <w:gridCol w:w="3960"/>
        <w:gridCol w:w="3360"/>
      </w:tblGrid>
      <w:tr>
        <w:trPr>
          <w:tblHeader/>
        </w:trPr>
        <w:tc>
          <w:tcPr>
            <w:tcW w:type="dxa" w:w="2400"/>
            <w:tcBorders>
              <w:top w:val="single" w:color="CCCCCC" w:sz="1"/>
              <w:left w:val="single" w:color="CCCCCC" w:sz="1"/>
              <w:bottom w:val="single" w:color="CCCCCC" w:sz="1"/>
              <w:right w:val="single" w:color="CCCCCC" w:sz="1"/>
            </w:tcBorders>
            <w:shd w:fill="222222" w:val="clear"/>
            <w:tcMar>
              <w:top w:type="dxa" w:w="80"/>
              <w:left w:type="dxa" w:w="120"/>
              <w:bottom w:type="dxa" w:w="80"/>
              <w:right w:type="dxa" w:w="120"/>
            </w:tcMar>
            <w:vAlign w:val="center"/>
          </w:tcPr>
          <w:p>
            <w:r>
              <w:rPr>
                <w:rFonts w:ascii="Arial" w:cs="Arial" w:eastAsia="Arial" w:hAnsi="Arial"/>
                <w:b/>
                <w:bCs/>
                <w:color w:val="FFFFFF"/>
                <w:sz w:val="17"/>
                <w:szCs w:val="17"/>
              </w:rPr>
              <w:t xml:space="preserve">Component</w:t>
            </w:r>
          </w:p>
        </w:tc>
        <w:tc>
          <w:tcPr>
            <w:tcW w:type="dxa" w:w="3960"/>
            <w:tcBorders>
              <w:top w:val="single" w:color="CCCCCC" w:sz="1"/>
              <w:left w:val="single" w:color="CCCCCC" w:sz="1"/>
              <w:bottom w:val="single" w:color="CCCCCC" w:sz="1"/>
              <w:right w:val="single" w:color="CCCCCC" w:sz="1"/>
            </w:tcBorders>
            <w:shd w:fill="222222" w:val="clear"/>
            <w:tcMar>
              <w:top w:type="dxa" w:w="80"/>
              <w:left w:type="dxa" w:w="120"/>
              <w:bottom w:type="dxa" w:w="80"/>
              <w:right w:type="dxa" w:w="120"/>
            </w:tcMar>
            <w:vAlign w:val="center"/>
          </w:tcPr>
          <w:p>
            <w:r>
              <w:rPr>
                <w:rFonts w:ascii="Arial" w:cs="Arial" w:eastAsia="Arial" w:hAnsi="Arial"/>
                <w:b/>
                <w:bCs/>
                <w:color w:val="FFFFFF"/>
                <w:sz w:val="17"/>
                <w:szCs w:val="17"/>
              </w:rPr>
              <w:t xml:space="preserve">Library / Service</w:t>
            </w:r>
          </w:p>
        </w:tc>
        <w:tc>
          <w:tcPr>
            <w:tcW w:type="dxa" w:w="3360"/>
            <w:tcBorders>
              <w:top w:val="single" w:color="CCCCCC" w:sz="1"/>
              <w:left w:val="single" w:color="CCCCCC" w:sz="1"/>
              <w:bottom w:val="single" w:color="CCCCCC" w:sz="1"/>
              <w:right w:val="single" w:color="CCCCCC" w:sz="1"/>
            </w:tcBorders>
            <w:shd w:fill="222222" w:val="clear"/>
            <w:tcMar>
              <w:top w:type="dxa" w:w="80"/>
              <w:left w:type="dxa" w:w="120"/>
              <w:bottom w:type="dxa" w:w="80"/>
              <w:right w:type="dxa" w:w="120"/>
            </w:tcMar>
            <w:vAlign w:val="center"/>
          </w:tcPr>
          <w:p>
            <w:r>
              <w:rPr>
                <w:rFonts w:ascii="Arial" w:cs="Arial" w:eastAsia="Arial" w:hAnsi="Arial"/>
                <w:b/>
                <w:bCs/>
                <w:color w:val="FFFFFF"/>
                <w:sz w:val="17"/>
                <w:szCs w:val="17"/>
              </w:rPr>
              <w:t xml:space="preserve">Purpose</w:t>
            </w:r>
          </w:p>
        </w:tc>
      </w:tr>
      <w:tr>
        <w:tc>
          <w:tcPr>
            <w:tcW w:type="dxa" w:w="240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vAlign w:val="center"/>
          </w:tcPr>
          <w:p>
            <w:r>
              <w:rPr>
                <w:rFonts w:ascii="Arial" w:cs="Arial" w:eastAsia="Arial" w:hAnsi="Arial"/>
                <w:color w:val="333333"/>
                <w:sz w:val="17"/>
                <w:szCs w:val="17"/>
              </w:rPr>
              <w:t xml:space="preserve">Web Application</w:t>
            </w:r>
          </w:p>
        </w:tc>
        <w:tc>
          <w:tcPr>
            <w:tcW w:type="dxa" w:w="396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vAlign w:val="center"/>
          </w:tcPr>
          <w:p>
            <w:r>
              <w:rPr>
                <w:rFonts w:ascii="Arial" w:cs="Arial" w:eastAsia="Arial" w:hAnsi="Arial"/>
                <w:color w:val="333333"/>
                <w:sz w:val="17"/>
                <w:szCs w:val="17"/>
              </w:rPr>
              <w:t xml:space="preserve">Streamlit 1.45</w:t>
            </w:r>
          </w:p>
        </w:tc>
        <w:tc>
          <w:tcPr>
            <w:tcW w:type="dxa" w:w="336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vAlign w:val="center"/>
          </w:tcPr>
          <w:p>
            <w:r>
              <w:rPr>
                <w:rFonts w:ascii="Arial" w:cs="Arial" w:eastAsia="Arial" w:hAnsi="Arial"/>
                <w:color w:val="333333"/>
                <w:sz w:val="17"/>
                <w:szCs w:val="17"/>
              </w:rPr>
              <w:t xml:space="preserve">Interactive UI and session state</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color w:val="333333"/>
                <w:sz w:val="17"/>
                <w:szCs w:val="17"/>
              </w:rPr>
              <w:t xml:space="preserve">Food Database</w:t>
            </w:r>
          </w:p>
        </w:tc>
        <w:tc>
          <w:tcPr>
            <w:tcW w:type="dxa" w:w="3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color w:val="333333"/>
                <w:sz w:val="17"/>
                <w:szCs w:val="17"/>
              </w:rPr>
              <w:t xml:space="preserve">USDA FoodData Central REST API</w:t>
            </w:r>
          </w:p>
        </w:tc>
        <w:tc>
          <w:tcPr>
            <w:tcW w:type="dxa" w:w="3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color w:val="333333"/>
                <w:sz w:val="17"/>
                <w:szCs w:val="17"/>
              </w:rPr>
              <w:t xml:space="preserve">10,091 food records with 13 nutrients</w:t>
            </w:r>
          </w:p>
        </w:tc>
      </w:tr>
      <w:tr>
        <w:tc>
          <w:tcPr>
            <w:tcW w:type="dxa" w:w="240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vAlign w:val="center"/>
          </w:tcPr>
          <w:p>
            <w:r>
              <w:rPr>
                <w:rFonts w:ascii="Arial" w:cs="Arial" w:eastAsia="Arial" w:hAnsi="Arial"/>
                <w:color w:val="333333"/>
                <w:sz w:val="17"/>
                <w:szCs w:val="17"/>
              </w:rPr>
              <w:t xml:space="preserve">Allergen Screening</w:t>
            </w:r>
          </w:p>
        </w:tc>
        <w:tc>
          <w:tcPr>
            <w:tcW w:type="dxa" w:w="396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vAlign w:val="center"/>
          </w:tcPr>
          <w:p>
            <w:r>
              <w:rPr>
                <w:rFonts w:ascii="Arial" w:cs="Arial" w:eastAsia="Arial" w:hAnsi="Arial"/>
                <w:color w:val="333333"/>
                <w:sz w:val="17"/>
                <w:szCs w:val="17"/>
              </w:rPr>
              <w:t xml:space="preserve">Custom Bloom Filter (Python)</w:t>
            </w:r>
          </w:p>
        </w:tc>
        <w:tc>
          <w:tcPr>
            <w:tcW w:type="dxa" w:w="336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vAlign w:val="center"/>
          </w:tcPr>
          <w:p>
            <w:r>
              <w:rPr>
                <w:rFonts w:ascii="Arial" w:cs="Arial" w:eastAsia="Arial" w:hAnsi="Arial"/>
                <w:color w:val="333333"/>
                <w:sz w:val="17"/>
                <w:szCs w:val="17"/>
              </w:rPr>
              <w:t xml:space="preserve">Zero false-negative allergen pre-screen</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color w:val="333333"/>
                <w:sz w:val="17"/>
                <w:szCs w:val="17"/>
              </w:rPr>
              <w:t xml:space="preserve">Similarity Search</w:t>
            </w:r>
          </w:p>
        </w:tc>
        <w:tc>
          <w:tcPr>
            <w:tcW w:type="dxa" w:w="3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color w:val="333333"/>
                <w:sz w:val="17"/>
                <w:szCs w:val="17"/>
              </w:rPr>
              <w:t xml:space="preserve">FAISS IndexFlatIP + NumPy fallback</w:t>
            </w:r>
          </w:p>
        </w:tc>
        <w:tc>
          <w:tcPr>
            <w:tcW w:type="dxa" w:w="3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color w:val="333333"/>
                <w:sz w:val="17"/>
                <w:szCs w:val="17"/>
              </w:rPr>
              <w:t xml:space="preserve">13-dim cosine similarity retrieval</w:t>
            </w:r>
          </w:p>
        </w:tc>
      </w:tr>
      <w:tr>
        <w:tc>
          <w:tcPr>
            <w:tcW w:type="dxa" w:w="240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vAlign w:val="center"/>
          </w:tcPr>
          <w:p>
            <w:r>
              <w:rPr>
                <w:rFonts w:ascii="Arial" w:cs="Arial" w:eastAsia="Arial" w:hAnsi="Arial"/>
                <w:color w:val="333333"/>
                <w:sz w:val="17"/>
                <w:szCs w:val="17"/>
              </w:rPr>
              <w:t xml:space="preserve">Adaptive Learning</w:t>
            </w:r>
          </w:p>
        </w:tc>
        <w:tc>
          <w:tcPr>
            <w:tcW w:type="dxa" w:w="396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vAlign w:val="center"/>
          </w:tcPr>
          <w:p>
            <w:r>
              <w:rPr>
                <w:rFonts w:ascii="Arial" w:cs="Arial" w:eastAsia="Arial" w:hAnsi="Arial"/>
                <w:color w:val="333333"/>
                <w:sz w:val="17"/>
                <w:szCs w:val="17"/>
              </w:rPr>
              <w:t xml:space="preserve">Epsilon-Greedy and Thompson Sampling (custom)</w:t>
            </w:r>
          </w:p>
        </w:tc>
        <w:tc>
          <w:tcPr>
            <w:tcW w:type="dxa" w:w="336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vAlign w:val="center"/>
          </w:tcPr>
          <w:p>
            <w:r>
              <w:rPr>
                <w:rFonts w:ascii="Arial" w:cs="Arial" w:eastAsia="Arial" w:hAnsi="Arial"/>
                <w:color w:val="333333"/>
                <w:sz w:val="17"/>
                <w:szCs w:val="17"/>
              </w:rPr>
              <w:t xml:space="preserve">User meal category preference learning</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color w:val="333333"/>
                <w:sz w:val="17"/>
                <w:szCs w:val="17"/>
              </w:rPr>
              <w:t xml:space="preserve">Clinical Rules</w:t>
            </w:r>
          </w:p>
        </w:tc>
        <w:tc>
          <w:tcPr>
            <w:tcW w:type="dxa" w:w="3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color w:val="333333"/>
                <w:sz w:val="17"/>
                <w:szCs w:val="17"/>
              </w:rPr>
              <w:t xml:space="preserve">Monash FODMAP, NIH RDA, Univ. Sydney GI, NHLBI DASH</w:t>
            </w:r>
          </w:p>
        </w:tc>
        <w:tc>
          <w:tcPr>
            <w:tcW w:type="dxa" w:w="3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color w:val="333333"/>
                <w:sz w:val="17"/>
                <w:szCs w:val="17"/>
              </w:rPr>
              <w:t xml:space="preserve">Condition-specific food exclusion and RDA tracking</w:t>
            </w:r>
          </w:p>
        </w:tc>
      </w:tr>
      <w:tr>
        <w:tc>
          <w:tcPr>
            <w:tcW w:type="dxa" w:w="240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vAlign w:val="center"/>
          </w:tcPr>
          <w:p>
            <w:r>
              <w:rPr>
                <w:rFonts w:ascii="Arial" w:cs="Arial" w:eastAsia="Arial" w:hAnsi="Arial"/>
                <w:color w:val="333333"/>
                <w:sz w:val="17"/>
                <w:szCs w:val="17"/>
              </w:rPr>
              <w:t xml:space="preserve">Data Processing</w:t>
            </w:r>
          </w:p>
        </w:tc>
        <w:tc>
          <w:tcPr>
            <w:tcW w:type="dxa" w:w="396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vAlign w:val="center"/>
          </w:tcPr>
          <w:p>
            <w:r>
              <w:rPr>
                <w:rFonts w:ascii="Arial" w:cs="Arial" w:eastAsia="Arial" w:hAnsi="Arial"/>
                <w:color w:val="333333"/>
                <w:sz w:val="17"/>
                <w:szCs w:val="17"/>
              </w:rPr>
              <w:t xml:space="preserve">pandas, NumPy</w:t>
            </w:r>
          </w:p>
        </w:tc>
        <w:tc>
          <w:tcPr>
            <w:tcW w:type="dxa" w:w="336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vAlign w:val="center"/>
          </w:tcPr>
          <w:p>
            <w:r>
              <w:rPr>
                <w:rFonts w:ascii="Arial" w:cs="Arial" w:eastAsia="Arial" w:hAnsi="Arial"/>
                <w:color w:val="333333"/>
                <w:sz w:val="17"/>
                <w:szCs w:val="17"/>
              </w:rPr>
              <w:t xml:space="preserve">Pipeline operations and nutrient math</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color w:val="333333"/>
                <w:sz w:val="17"/>
                <w:szCs w:val="17"/>
              </w:rPr>
              <w:t xml:space="preserve">Visualisation</w:t>
            </w:r>
          </w:p>
        </w:tc>
        <w:tc>
          <w:tcPr>
            <w:tcW w:type="dxa" w:w="3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color w:val="333333"/>
                <w:sz w:val="17"/>
                <w:szCs w:val="17"/>
              </w:rPr>
              <w:t xml:space="preserve">Altair, Plotly</w:t>
            </w:r>
          </w:p>
        </w:tc>
        <w:tc>
          <w:tcPr>
            <w:tcW w:type="dxa" w:w="3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color w:val="333333"/>
                <w:sz w:val="17"/>
                <w:szCs w:val="17"/>
              </w:rPr>
              <w:t xml:space="preserve">Nutrient charts and bandit learning curves</w:t>
            </w:r>
          </w:p>
        </w:tc>
      </w:tr>
      <w:tr>
        <w:tc>
          <w:tcPr>
            <w:tcW w:type="dxa" w:w="240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vAlign w:val="center"/>
          </w:tcPr>
          <w:p>
            <w:r>
              <w:rPr>
                <w:rFonts w:ascii="Arial" w:cs="Arial" w:eastAsia="Arial" w:hAnsi="Arial"/>
                <w:color w:val="333333"/>
                <w:sz w:val="17"/>
                <w:szCs w:val="17"/>
              </w:rPr>
              <w:t xml:space="preserve">Hosting</w:t>
            </w:r>
          </w:p>
        </w:tc>
        <w:tc>
          <w:tcPr>
            <w:tcW w:type="dxa" w:w="396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vAlign w:val="center"/>
          </w:tcPr>
          <w:p>
            <w:r>
              <w:rPr>
                <w:rFonts w:ascii="Arial" w:cs="Arial" w:eastAsia="Arial" w:hAnsi="Arial"/>
                <w:color w:val="333333"/>
                <w:sz w:val="17"/>
                <w:szCs w:val="17"/>
              </w:rPr>
              <w:t xml:space="preserve">Streamlit Community Cloud</w:t>
            </w:r>
          </w:p>
        </w:tc>
        <w:tc>
          <w:tcPr>
            <w:tcW w:type="dxa" w:w="3360"/>
            <w:tcBorders>
              <w:top w:val="single" w:color="CCCCCC" w:sz="1"/>
              <w:left w:val="single" w:color="CCCCCC" w:sz="1"/>
              <w:bottom w:val="single" w:color="CCCCCC" w:sz="1"/>
              <w:right w:val="single" w:color="CCCCCC" w:sz="1"/>
            </w:tcBorders>
            <w:shd w:fill="FAFAFA" w:val="clear"/>
            <w:tcMar>
              <w:top w:type="dxa" w:w="60"/>
              <w:left w:type="dxa" w:w="120"/>
              <w:bottom w:type="dxa" w:w="60"/>
              <w:right w:type="dxa" w:w="120"/>
            </w:tcMar>
            <w:vAlign w:val="center"/>
          </w:tcPr>
          <w:p>
            <w:r>
              <w:rPr>
                <w:rFonts w:ascii="Arial" w:cs="Arial" w:eastAsia="Arial" w:hAnsi="Arial"/>
                <w:color w:val="333333"/>
                <w:sz w:val="17"/>
                <w:szCs w:val="17"/>
              </w:rPr>
              <w:t xml:space="preserve">Public HTTPS deployment from GitHub</w:t>
            </w:r>
          </w:p>
        </w:tc>
      </w:tr>
    </w:tbl>
    <w:p>
      <w:pPr>
        <w:spacing w:after="120" w:before="40"/>
        <w:jc w:val="center"/>
      </w:pPr>
      <w:r>
        <w:rPr>
          <w:rFonts w:ascii="Arial" w:cs="Arial" w:eastAsia="Arial" w:hAnsi="Arial"/>
          <w:i/>
          <w:iCs/>
          <w:color w:val="666666"/>
          <w:sz w:val="16"/>
          <w:szCs w:val="16"/>
        </w:rPr>
        <w:t xml:space="preserve">Table 3. Technology stack for NutriAI.</w:t>
      </w:r>
    </w:p>
    <w:p>
      <w:pPr>
        <w:spacing w:after="80" w:before="200"/>
      </w:pPr>
      <w:r>
        <w:rPr>
          <w:rFonts w:ascii="Arial" w:cs="Arial" w:eastAsia="Arial" w:hAnsi="Arial"/>
          <w:i/>
          <w:iCs/>
          <w:color w:val="666666"/>
          <w:sz w:val="17"/>
          <w:szCs w:val="17"/>
        </w:rPr>
        <w:t xml:space="preserve">Source code: https://github.com/Prakharanand000/NutriAI_MealPlan</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2"/>
      </w:pBdr>
      <w:spacing w:before="60"/>
      <w:jc w:val="center"/>
    </w:pPr>
    <w:r>
      <w:rPr>
        <w:rFonts w:ascii="Arial" w:cs="Arial" w:eastAsia="Arial" w:hAnsi="Arial"/>
        <w:color w:val="666666"/>
        <w:sz w:val="15"/>
        <w:szCs w:val="15"/>
      </w:rPr>
      <w:t xml:space="preserve">Page </w:t>
    </w:r>
    <w:r>
      <w:rPr>
        <w:rFonts w:ascii="Arial" w:cs="Arial" w:eastAsia="Arial" w:hAnsi="Arial"/>
        <w:color w:val="666666"/>
        <w:sz w:val="15"/>
        <w:szCs w:val="15"/>
      </w:rPr>
      <w:fldChar w:fldCharType="begin"/>
      <w:instrText xml:space="preserve">PAGE</w:instrText>
      <w:fldChar w:fldCharType="separate"/>
      <w:fldChar w:fldCharType="end"/>
    </w:r>
    <w:r>
      <w:rPr>
        <w:rFonts w:ascii="Arial" w:cs="Arial" w:eastAsia="Arial" w:hAnsi="Arial"/>
        <w:color w:val="666666"/>
        <w:sz w:val="15"/>
        <w:szCs w:val="15"/>
      </w:rPr>
      <w:t xml:space="preserve"> of </w:t>
    </w:r>
    <w:r>
      <w:rPr>
        <w:rFonts w:ascii="Arial" w:cs="Arial" w:eastAsia="Arial" w:hAnsi="Arial"/>
        <w:color w:val="666666"/>
        <w:sz w:val="15"/>
        <w:szCs w:val="15"/>
      </w:rPr>
      <w:fldChar w:fldCharType="begin"/>
      <w:instrText xml:space="preserve">NUMPAGES</w:instrText>
      <w:fldChar w:fldCharType="separate"/>
      <w:fldChar w:fldCharType="end"/>
    </w:r>
    <w:r>
      <w:rPr>
        <w:rFonts w:ascii="Arial" w:cs="Arial" w:eastAsia="Arial" w:hAnsi="Arial"/>
        <w:color w:val="666666"/>
        <w:sz w:val="15"/>
        <w:szCs w:val="15"/>
      </w:rPr>
      <w:t xml:space="preserve">  |  BAX-423 Final Project  |  UC Davis GSM  |  Spring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11111" w:sz="4" w:space="2"/>
      </w:pBdr>
      <w:spacing w:after="0"/>
      <w:jc w:val="right"/>
    </w:pPr>
    <w:r>
      <w:rPr>
        <w:rFonts w:ascii="Arial" w:cs="Arial" w:eastAsia="Arial" w:hAnsi="Arial"/>
        <w:color w:val="666666"/>
        <w:sz w:val="15"/>
        <w:szCs w:val="15"/>
      </w:rPr>
      <w:t xml:space="preserve">NutriAI  |  BAX-423 Technical Brief  |  Spring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111111"/>
      <w:sz w:val="28"/>
      <w:szCs w:val="28"/>
    </w:rPr>
  </w:style>
  <w:style w:type="paragraph" w:styleId="Heading2">
    <w:name w:val="Heading 2"/>
    <w:basedOn w:val="Normal"/>
    <w:next w:val="Normal"/>
    <w:qFormat/>
    <w:pPr>
      <w:spacing w:after="80" w:before="180"/>
      <w:outlineLvl w:val="1"/>
    </w:pPr>
    <w:rPr>
      <w:rFonts w:ascii="Arial" w:cs="Arial" w:eastAsia="Arial" w:hAnsi="Arial"/>
      <w:b/>
      <w:bCs/>
      <w:color w:val="11111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2026-06-06T03:19:50.943Z</dcterms:created>
  <dcterms:modified xsi:type="dcterms:W3CDTF">2026-06-06T03:19:50.944Z</dcterms:modified>
</cp:coreProperties>
</file>

<file path=docProps/custom.xml><?xml version="1.0" encoding="utf-8"?>
<Properties xmlns="http://schemas.openxmlformats.org/officeDocument/2006/custom-properties" xmlns:vt="http://schemas.openxmlformats.org/officeDocument/2006/docPropsVTypes"/>
</file>