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Argus</w:t>
      </w:r>
    </w:p>
    <w:p>
      <w:pPr>
        <w:spacing w:after="40"/>
      </w:pPr>
      <w:r>
        <w:rPr>
          <w:i/>
          <w:iCs/>
          <w:color w:val="475569"/>
          <w:sz w:val="26"/>
          <w:szCs w:val="26"/>
        </w:rPr>
        <w:t xml:space="preserve">AI-Native Third-Party Risk Intelligence, built on a CrewAI blueprint</w:t>
      </w:r>
    </w:p>
    <w:p>
      <w:pPr>
        <w:spacing w:after="360"/>
      </w:pPr>
      <w:r>
        <w:rPr>
          <w:color w:val="64748B"/>
          <w:sz w:val="22"/>
          <w:szCs w:val="22"/>
        </w:rPr>
        <w:t xml:space="preserve">CrewAI Studio Hackathon - 250 Sutter St, San Francisco - July 26, 2026</w:t>
      </w:r>
    </w:p>
    <w:p>
      <w:pPr>
        <w:pBdr>
          <w:bottom w:val="single" w:color="CBD5E1" w:sz="6" w:space="1"/>
        </w:pBdr>
        <w:spacing w:after="240"/>
      </w:pPr>
    </w:p>
    <w:p>
      <w:pPr>
        <w:pStyle w:val="Heading1"/>
        <w:spacing w:after="160" w:before="360"/>
      </w:pPr>
      <w:r>
        <w:t xml:space="preserve">Executive summary</w:t>
      </w:r>
    </w:p>
    <w:p>
      <w:pPr>
        <w:spacing w:after="160"/>
      </w:pPr>
      <w:r>
        <w:t xml:space="preserve">Argus is a live, deployed AI-native supplier and third-party risk intelligence platform. It screens any organization or individual against five real, live public data sources (OFAC's full SDN sanctions list, SEC EDGAR, GLEIF, GDELT, and CourtListener), resolves their true legal identity through a custom entity-resolution engine, scores risk through an explainable rule-based engine, and reasons over the evidence with an LLM - returning one structured, evidence-backed intelligence object in seconds.</w:t>
      </w:r>
    </w:p>
    <w:p>
      <w:pPr>
        <w:spacing w:after="160"/>
      </w:pPr>
      <w:r>
        <w:t xml:space="preserve">Its agent architecture - who investigates what, in what order, and how the findings are synthesized into a verdict - was designed using two projects scaffolded through CrewAI's own tooling: a ten-specialist compliance crew and a six-stage executive decision Flow. We took that design and hand-engineered it into a production web application: a FastAPI backend wired to real live data, and a single-page “Mission Control” frontend that narrates the same agent roles and workflow stages CrewAI's scaffolding defined.</w:t>
      </w:r>
    </w:p>
    <w:p>
      <w:pPr>
        <w:spacing w:after="160"/>
      </w:pPr>
      <w:r>
        <w:t xml:space="preserve">This document is deliberately precise about which parts of the system are CrewAI's own tooling output and which parts were hand-built, because that distinction matters to an honest pitch  - and to a judging rubric that scores studio usage.</w:t>
      </w:r>
    </w:p>
    <w:p>
      <w:pPr>
        <w:pStyle w:val="Heading1"/>
        <w:spacing w:after="160" w:before="360"/>
      </w:pPr>
      <w:r>
        <w:t xml:space="preserve">The problem</w:t>
      </w:r>
    </w:p>
    <w:p>
      <w:pPr>
        <w:spacing w:after="160"/>
      </w:pPr>
      <w:r>
        <w:t xml:space="preserve">Screening a supplier, counterparty, or investment target for sanctions exposure, adverse media, litigation history, and beneficial ownership today means manually checking half a dozen disconnected registries and news sources, then writing up a judgment call by hand. It is slow, inconsistent between analysts, and produces no audit trail an analyst or regulator can later interrogate.</w:t>
      </w:r>
    </w:p>
    <w:p>
      <w:pPr>
        <w:spacing w:after="160"/>
      </w:pPr>
      <w:r>
        <w:t xml:space="preserve">Argus turns that into one call - investigate_supplier(name) - that returns a single JSON object: identity, ownership, sanctions, litigation, adverse media, a 0-100 risk score with a documented breakdown, and every claim traced to a citable piece of evidence.</w:t>
      </w:r>
    </w:p>
    <w:p>
      <w:pPr>
        <w:pStyle w:val="Heading1"/>
        <w:spacing w:after="160" w:before="360"/>
      </w:pPr>
      <w:r>
        <w:t xml:space="preserve">Where this started: two CrewAI-scaffolded projects</w:t>
      </w:r>
    </w:p>
    <w:p>
      <w:pPr>
        <w:spacing w:after="160"/>
      </w:pPr>
      <w:r>
        <w:t xml:space="preserve">Before any of the production system existed, two projects were scaffolded using CrewAI's own project generator. Both are genuine CrewAI artifacts - crew.py, agents.yaml, tasks.yaml for the first; flow.json under the crewai.flow/v1 schema for the second - and both defined the agent architecture that everything downstream was built around.</w:t>
      </w:r>
    </w:p>
    <w:p>
      <w:pPr>
        <w:pStyle w:val="Heading2"/>
        <w:spacing w:after="120" w:before="280"/>
      </w:pPr>
      <w:r>
        <w:t xml:space="preserve">Project 1 - the compliance crew</w:t>
      </w:r>
    </w:p>
    <w:p>
      <w:pPr>
        <w:spacing w:after="160"/>
      </w:pPr>
      <w:r>
        <w:t xml:space="preserve">A CrewAI Crew of ten specialist agents running sequentially: a Lead Compliance &amp; FinCrime Investigator orchestrating the run, an Entity Name Variant Specialist generating alias variants, a Sanctions &amp; Watchlist Screening Analyst, a Corporate Identity &amp; Registry Research Specialist, a Beneficial Ownership &amp; Corporate Structure Analyst, an Adverse Media &amp; OSINT Analyst, a Media Sentiment Scoring specialist, a Federal Court &amp; Regulatory Enforcement Research Analyst, an Integrated Risk Scoring &amp; Report Authoring Specialist, and a Compliance Report Distribution &amp; Email Alerting Specialist. Each agent's role, goal, backstory, tools, and task dependencies came straight from CrewAI's own configuration files.</w:t>
      </w:r>
    </w:p>
    <w:p>
      <w:pPr>
        <w:pStyle w:val="Heading2"/>
        <w:spacing w:after="120" w:before="280"/>
      </w:pPr>
      <w:r>
        <w:t xml:space="preserve">Project 2 - the StrategyOS executive decision Flow</w:t>
      </w:r>
    </w:p>
    <w:p>
      <w:pPr>
        <w:spacing w:after="160"/>
      </w:pPr>
      <w:r>
        <w:t xml:space="preserve">A CrewAI Flow modeling an autonomous executive decision board: one high-stakes business question (“Should Salesforce acquire Notion?”) is framed and staffed by a Chief of Staff, investigated by up to five specialist seats (Market, Finance, Technology, Competition, Legal), attacked by an Adversarial Review partner, graded by an Evidence Integrity Officer, and resolved by a Board Chair into a GO / NO-GO / MORE INFORMATION REQUIRED verdict with a calibrated confidence score. The flow's five methods - frame_and_staff, specialist_investigations, adversarial_review, evidence_audit, board_vote_and_verdict - are defined in flow.json exactly as CrewAI's Flow builder produced them.</w:t>
      </w:r>
    </w:p>
    <w:p>
      <w:pPr>
        <w:pStyle w:val="Heading1"/>
        <w:spacing w:after="160" w:before="360"/>
      </w:pPr>
      <w:r>
        <w:t xml:space="preserve">What was hand-engineered on top of that blueprint</w:t>
      </w:r>
    </w:p>
    <w:p>
      <w:pPr>
        <w:spacing w:after="160"/>
      </w:pPr>
      <w:r>
        <w:t xml:space="preserve">Neither CrewAI project runs at request time in the deployed application. Both required an LLM provider key, web-search tools, and (for the crew) a Gmail-sending capability to execute as written - and neither had a UI, an API, live data connections, or a deployment story. The production system is a from-scratch FastAPI backend and a from-scratch vanilla-JS single-page frontend that operationalizes the same agent roles and workflow stages against real inputs:</w:t>
      </w:r>
    </w:p>
    <w:p>
      <w:pPr>
        <w:pStyle w:val="ListParagraph"/>
        <w:numPr>
          <w:ilvl w:val="0"/>
          <w:numId w:val="2"/>
        </w:numPr>
        <w:spacing w:after="90"/>
      </w:pPr>
      <w:r>
        <w:rPr>
          <w:b/>
          <w:bCs/>
        </w:rPr>
        <w:t xml:space="preserve">Five live data integrations </w:t>
      </w:r>
      <w:r>
        <w:t xml:space="preserve"> - OFAC's full SDN list (~39,500 names, downloaded, flattened, and indexed for local screening), SEC EDGAR (identity, officers, Form 4 insider transactions), GLEIF (legal entity identifiers, ownership hierarchy), GDELT (adverse media, headline-scored for severity), and CourtListener (federal litigation).</w:t>
      </w:r>
    </w:p>
    <w:p>
      <w:pPr>
        <w:pStyle w:val="ListParagraph"/>
        <w:numPr>
          <w:ilvl w:val="0"/>
          <w:numId w:val="2"/>
        </w:numPr>
        <w:spacing w:after="90"/>
      </w:pPr>
      <w:r>
        <w:rPr>
          <w:b/>
          <w:bCs/>
        </w:rPr>
        <w:t xml:space="preserve">A custom entity-resolution engine </w:t>
      </w:r>
      <w:r>
        <w:t xml:space="preserve"> - normalizes ~60 legal-form suffixes across jurisdictions, blends Levenshtein/Jaro-Winkler/Jaccard name similarity with embedding cosine similarity, address matching, and cross-source ownership corroboration, with confidence weights renormalized to whichever features actually fired for a given match.</w:t>
      </w:r>
    </w:p>
    <w:p>
      <w:pPr>
        <w:pStyle w:val="ListParagraph"/>
        <w:numPr>
          <w:ilvl w:val="0"/>
          <w:numId w:val="2"/>
        </w:numPr>
        <w:spacing w:after="90"/>
      </w:pPr>
      <w:r>
        <w:rPr>
          <w:b/>
          <w:bCs/>
        </w:rPr>
        <w:t xml:space="preserve">An explainable, rule-based risk engine </w:t>
      </w:r>
      <w:r>
        <w:t xml:space="preserve"> - every point in the 0-100 score traces to a named rule and a piece of evidence (sanctions match, litigation found, adverse-media severity, identity confidence shortfall, ownership complexity), with the arithmetic preserved for audit.</w:t>
      </w:r>
    </w:p>
    <w:p>
      <w:pPr>
        <w:pStyle w:val="ListParagraph"/>
        <w:numPr>
          <w:ilvl w:val="0"/>
          <w:numId w:val="2"/>
        </w:numPr>
        <w:spacing w:after="90"/>
      </w:pPr>
      <w:r>
        <w:rPr>
          <w:b/>
          <w:bCs/>
        </w:rPr>
        <w:t xml:space="preserve">A lexicon-based media-bias analyzer </w:t>
      </w:r>
      <w:r>
        <w:t xml:space="preserve"> - flags loaded language, unverified attribution, opinion-as-fact, and absolutes sentence-by-sentence, so sensational coverage can be discounted rather than counted at face value.</w:t>
      </w:r>
    </w:p>
    <w:p>
      <w:pPr>
        <w:pStyle w:val="ListParagraph"/>
        <w:numPr>
          <w:ilvl w:val="0"/>
          <w:numId w:val="2"/>
        </w:numPr>
        <w:spacing w:after="90"/>
      </w:pPr>
      <w:r>
        <w:rPr>
          <w:b/>
          <w:bCs/>
        </w:rPr>
        <w:t xml:space="preserve">The LLM reasoning layer </w:t>
      </w:r>
      <w:r>
        <w:t xml:space="preserve"> - the crew's synthesis role and the Flow's five-stage decision process are each reproduced as a single structured-output call (this app runs it via OpenRouter, with a defensive parser that repairs the model's occasional off-schema answers - a semicolon-joined string returned where a list was asked for, a confidence value returned as a 0-1 probability instead of 0-100 - rather than trusting the shape blindly).</w:t>
      </w:r>
    </w:p>
    <w:p>
      <w:pPr>
        <w:pStyle w:val="ListParagraph"/>
        <w:numPr>
          <w:ilvl w:val="0"/>
          <w:numId w:val="2"/>
        </w:numPr>
        <w:spacing w:after="90"/>
      </w:pPr>
      <w:r>
        <w:rPr>
          <w:b/>
          <w:bCs/>
        </w:rPr>
        <w:t xml:space="preserve">The entire frontend </w:t>
      </w:r>
      <w:r>
        <w:t xml:space="preserve"> - a single dependency-free HTML/CSS/vanilla-JS page: subject intake, a filterable adverse-media dashboard with a live word-cloud and bias table, three force-directed relationship graphs (resolution, ownership network, insider transactions), and “Mission Control” - the Flow's six stages restaged as a crew checklist and a T-minus launch countdown ending in LAUNCH / SCRUB / HOLD.</w:t>
      </w:r>
    </w:p>
    <w:p>
      <w:pPr>
        <w:pStyle w:val="ListParagraph"/>
        <w:numPr>
          <w:ilvl w:val="0"/>
          <w:numId w:val="2"/>
        </w:numPr>
        <w:spacing w:after="90"/>
      </w:pPr>
      <w:r>
        <w:rPr>
          <w:b/>
          <w:bCs/>
        </w:rPr>
        <w:t xml:space="preserve">Deployment </w:t>
      </w:r>
      <w:r>
        <w:t xml:space="preserve"> - Dockerized, deployed on Google Cloud Run, source on GitHub, PostgreSQL with an automatic SQLite fallback so the app runs with nothing installed.</w:t>
      </w:r>
    </w:p>
    <w:p>
      <w:pPr>
        <w:spacing w:after="160"/>
      </w:pPr>
      <w:r>
        <w:t xml:space="preserve"/>
      </w:r>
    </w:p>
    <w:p>
      <w:pPr>
        <w:spacing w:after="160"/>
      </w:pPr>
      <w:r>
        <w:rPr>
          <w:b/>
          <w:bCs/>
          <w:i/>
          <w:iCs/>
        </w:rPr>
        <w:t xml:space="preserve">In short: CrewAI's tooling designed who investigates what and in what order. We built the thing that actually investigates.</w:t>
      </w:r>
    </w:p>
    <w:p>
      <w:pPr>
        <w:pStyle w:val="Heading1"/>
        <w:spacing w:after="160" w:before="360"/>
      </w:pPr>
      <w:r>
        <w:t xml:space="preserve">Attribution, precisely</w:t>
      </w:r>
    </w:p>
    <w:p>
      <w:pPr>
        <w:spacing w:after="160"/>
      </w:pPr>
      <w:r>
        <w:t xml:space="preserve">For a rubric that scores studio usage, precision matters more than enthusiasm. Here is exactly what came from where.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E293B" w:val="clear"/>
            <w:tcMar>
              <w:top w:type="dxa" w:w="100"/>
              <w:left w:type="dxa" w:w="120"/>
              <w:bottom w:type="dxa" w:w="100"/>
              <w:right w:type="dxa" w:w="120"/>
            </w:tcMar>
          </w:tcPr>
          <w:p>
            <w:pPr>
              <w:jc w:val="left"/>
            </w:pPr>
            <w:r>
              <w:rPr>
                <w:b/>
                <w:bCs/>
                <w:color w:val="FFFFFF"/>
              </w:rPr>
              <w:t xml:space="preserve">Layer</w:t>
            </w:r>
          </w:p>
        </w:tc>
        <w:tc>
          <w:tcPr>
            <w:tcW w:type="dxa" w:w="5800"/>
            <w:shd w:fill="1E293B" w:val="clear"/>
            <w:tcMar>
              <w:top w:type="dxa" w:w="100"/>
              <w:left w:type="dxa" w:w="120"/>
              <w:bottom w:type="dxa" w:w="100"/>
              <w:right w:type="dxa" w:w="120"/>
            </w:tcMar>
          </w:tcPr>
          <w:p>
            <w:pPr>
              <w:jc w:val="left"/>
            </w:pPr>
            <w:r>
              <w:rPr>
                <w:b/>
                <w:bCs/>
                <w:color w:val="FFFFFF"/>
              </w:rPr>
              <w:t xml:space="preserve">Source</w:t>
            </w:r>
          </w:p>
        </w:tc>
      </w:tr>
      <w:tr>
        <w:tc>
          <w:tcPr>
            <w:tcW w:type="dxa" w:w="2000"/>
            <w:shd w:fill="F1F5F9" w:val="clear"/>
            <w:tcMar>
              <w:top w:type="dxa" w:w="100"/>
              <w:left w:type="dxa" w:w="120"/>
              <w:bottom w:type="dxa" w:w="100"/>
              <w:right w:type="dxa" w:w="120"/>
            </w:tcMar>
          </w:tcPr>
          <w:p>
            <w:pPr>
              <w:jc w:val="left"/>
            </w:pPr>
            <w:r>
              <w:rPr>
                <w:b w:val="false"/>
                <w:bCs w:val="false"/>
              </w:rPr>
              <w:t xml:space="preserve">Agent roles, goals &amp; backstories</w:t>
            </w:r>
          </w:p>
        </w:tc>
        <w:tc>
          <w:tcPr>
            <w:tcW w:type="dxa" w:w="2000"/>
            <w:shd w:fill="F1F5F9" w:val="clear"/>
            <w:tcMar>
              <w:top w:type="dxa" w:w="100"/>
              <w:left w:type="dxa" w:w="120"/>
              <w:bottom w:type="dxa" w:w="100"/>
              <w:right w:type="dxa" w:w="120"/>
            </w:tcMar>
          </w:tcPr>
          <w:p>
            <w:pPr>
              <w:jc w:val="left"/>
            </w:pPr>
            <w:r>
              <w:rPr>
                <w:b w:val="false"/>
                <w:bCs w:val="false"/>
              </w:rPr>
              <w:t xml:space="preserve">CrewAI crew scaffolding (agents.yaml)</w:t>
            </w:r>
          </w:p>
        </w:tc>
      </w:tr>
      <w:tr>
        <w:tc>
          <w:tcPr>
            <w:tcW w:type="dxa" w:w="2000"/>
            <w:tcMar>
              <w:top w:type="dxa" w:w="100"/>
              <w:left w:type="dxa" w:w="120"/>
              <w:bottom w:type="dxa" w:w="100"/>
              <w:right w:type="dxa" w:w="120"/>
            </w:tcMar>
          </w:tcPr>
          <w:p>
            <w:pPr>
              <w:jc w:val="left"/>
            </w:pPr>
            <w:r>
              <w:rPr>
                <w:b w:val="false"/>
                <w:bCs w:val="false"/>
              </w:rPr>
              <w:t xml:space="preserve">Task sequence &amp; dependencies</w:t>
            </w:r>
          </w:p>
        </w:tc>
        <w:tc>
          <w:tcPr>
            <w:tcW w:type="dxa" w:w="2000"/>
            <w:tcMar>
              <w:top w:type="dxa" w:w="100"/>
              <w:left w:type="dxa" w:w="120"/>
              <w:bottom w:type="dxa" w:w="100"/>
              <w:right w:type="dxa" w:w="120"/>
            </w:tcMar>
          </w:tcPr>
          <w:p>
            <w:pPr>
              <w:jc w:val="left"/>
            </w:pPr>
            <w:r>
              <w:rPr>
                <w:b w:val="false"/>
                <w:bCs w:val="false"/>
              </w:rPr>
              <w:t xml:space="preserve">CrewAI crew scaffolding (tasks.yaml)</w:t>
            </w:r>
          </w:p>
        </w:tc>
      </w:tr>
      <w:tr>
        <w:tc>
          <w:tcPr>
            <w:tcW w:type="dxa" w:w="2000"/>
            <w:shd w:fill="F1F5F9" w:val="clear"/>
            <w:tcMar>
              <w:top w:type="dxa" w:w="100"/>
              <w:left w:type="dxa" w:w="120"/>
              <w:bottom w:type="dxa" w:w="100"/>
              <w:right w:type="dxa" w:w="120"/>
            </w:tcMar>
          </w:tcPr>
          <w:p>
            <w:pPr>
              <w:jc w:val="left"/>
            </w:pPr>
            <w:r>
              <w:rPr>
                <w:b w:val="false"/>
                <w:bCs w:val="false"/>
              </w:rPr>
              <w:t xml:space="preserve">Decision-board stages (frame → seats → red-team → audit → vote)</w:t>
            </w:r>
          </w:p>
        </w:tc>
        <w:tc>
          <w:tcPr>
            <w:tcW w:type="dxa" w:w="2000"/>
            <w:shd w:fill="F1F5F9" w:val="clear"/>
            <w:tcMar>
              <w:top w:type="dxa" w:w="100"/>
              <w:left w:type="dxa" w:w="120"/>
              <w:bottom w:type="dxa" w:w="100"/>
              <w:right w:type="dxa" w:w="120"/>
            </w:tcMar>
          </w:tcPr>
          <w:p>
            <w:pPr>
              <w:jc w:val="left"/>
            </w:pPr>
            <w:r>
              <w:rPr>
                <w:b w:val="false"/>
                <w:bCs w:val="false"/>
              </w:rPr>
              <w:t xml:space="preserve">CrewAI Flow scaffolding (flow.json)</w:t>
            </w:r>
          </w:p>
        </w:tc>
      </w:tr>
      <w:tr>
        <w:tc>
          <w:tcPr>
            <w:tcW w:type="dxa" w:w="2000"/>
            <w:tcMar>
              <w:top w:type="dxa" w:w="100"/>
              <w:left w:type="dxa" w:w="120"/>
              <w:bottom w:type="dxa" w:w="100"/>
              <w:right w:type="dxa" w:w="120"/>
            </w:tcMar>
          </w:tcPr>
          <w:p>
            <w:pPr>
              <w:jc w:val="left"/>
            </w:pPr>
            <w:r>
              <w:rPr>
                <w:b w:val="false"/>
                <w:bCs w:val="false"/>
              </w:rPr>
              <w:t xml:space="preserve">Live data integrations (OFAC, SEC, GLEIF, GDELT, CourtListener)</w:t>
            </w:r>
          </w:p>
        </w:tc>
        <w:tc>
          <w:tcPr>
            <w:tcW w:type="dxa" w:w="2000"/>
            <w:tcMar>
              <w:top w:type="dxa" w:w="100"/>
              <w:left w:type="dxa" w:w="120"/>
              <w:bottom w:type="dxa" w:w="100"/>
              <w:right w:type="dxa" w:w="120"/>
            </w:tcMar>
          </w:tcPr>
          <w:p>
            <w:pPr>
              <w:jc w:val="left"/>
            </w:pPr>
            <w:r>
              <w:rPr>
                <w:b w:val="false"/>
                <w:bCs w:val="false"/>
              </w:rPr>
              <w:t xml:space="preserve">Hand-built, this hackathon build</w:t>
            </w:r>
          </w:p>
        </w:tc>
      </w:tr>
      <w:tr>
        <w:tc>
          <w:tcPr>
            <w:tcW w:type="dxa" w:w="2000"/>
            <w:shd w:fill="F1F5F9" w:val="clear"/>
            <w:tcMar>
              <w:top w:type="dxa" w:w="100"/>
              <w:left w:type="dxa" w:w="120"/>
              <w:bottom w:type="dxa" w:w="100"/>
              <w:right w:type="dxa" w:w="120"/>
            </w:tcMar>
          </w:tcPr>
          <w:p>
            <w:pPr>
              <w:jc w:val="left"/>
            </w:pPr>
            <w:r>
              <w:rPr>
                <w:b w:val="false"/>
                <w:bCs w:val="false"/>
              </w:rPr>
              <w:t xml:space="preserve">Entity resolution engine</w:t>
            </w:r>
          </w:p>
        </w:tc>
        <w:tc>
          <w:tcPr>
            <w:tcW w:type="dxa" w:w="2000"/>
            <w:shd w:fill="F1F5F9" w:val="clear"/>
            <w:tcMar>
              <w:top w:type="dxa" w:w="100"/>
              <w:left w:type="dxa" w:w="120"/>
              <w:bottom w:type="dxa" w:w="100"/>
              <w:right w:type="dxa" w:w="120"/>
            </w:tcMar>
          </w:tcPr>
          <w:p>
            <w:pPr>
              <w:jc w:val="left"/>
            </w:pPr>
            <w:r>
              <w:rPr>
                <w:b w:val="false"/>
                <w:bCs w:val="false"/>
              </w:rPr>
              <w:t xml:space="preserve">Hand-built, this hackathon build</w:t>
            </w:r>
          </w:p>
        </w:tc>
      </w:tr>
      <w:tr>
        <w:tc>
          <w:tcPr>
            <w:tcW w:type="dxa" w:w="2000"/>
            <w:tcMar>
              <w:top w:type="dxa" w:w="100"/>
              <w:left w:type="dxa" w:w="120"/>
              <w:bottom w:type="dxa" w:w="100"/>
              <w:right w:type="dxa" w:w="120"/>
            </w:tcMar>
          </w:tcPr>
          <w:p>
            <w:pPr>
              <w:jc w:val="left"/>
            </w:pPr>
            <w:r>
              <w:rPr>
                <w:b w:val="false"/>
                <w:bCs w:val="false"/>
              </w:rPr>
              <w:t xml:space="preserve">Risk scoring engine</w:t>
            </w:r>
          </w:p>
        </w:tc>
        <w:tc>
          <w:tcPr>
            <w:tcW w:type="dxa" w:w="2000"/>
            <w:tcMar>
              <w:top w:type="dxa" w:w="100"/>
              <w:left w:type="dxa" w:w="120"/>
              <w:bottom w:type="dxa" w:w="100"/>
              <w:right w:type="dxa" w:w="120"/>
            </w:tcMar>
          </w:tcPr>
          <w:p>
            <w:pPr>
              <w:jc w:val="left"/>
            </w:pPr>
            <w:r>
              <w:rPr>
                <w:b w:val="false"/>
                <w:bCs w:val="false"/>
              </w:rPr>
              <w:t xml:space="preserve">Hand-built, this hackathon build</w:t>
            </w:r>
          </w:p>
        </w:tc>
      </w:tr>
      <w:tr>
        <w:tc>
          <w:tcPr>
            <w:tcW w:type="dxa" w:w="2000"/>
            <w:shd w:fill="F1F5F9" w:val="clear"/>
            <w:tcMar>
              <w:top w:type="dxa" w:w="100"/>
              <w:left w:type="dxa" w:w="120"/>
              <w:bottom w:type="dxa" w:w="100"/>
              <w:right w:type="dxa" w:w="120"/>
            </w:tcMar>
          </w:tcPr>
          <w:p>
            <w:pPr>
              <w:jc w:val="left"/>
            </w:pPr>
            <w:r>
              <w:rPr>
                <w:b w:val="false"/>
                <w:bCs w:val="false"/>
              </w:rPr>
              <w:t xml:space="preserve">LLM reasoning calls (OpenRouter)</w:t>
            </w:r>
          </w:p>
        </w:tc>
        <w:tc>
          <w:tcPr>
            <w:tcW w:type="dxa" w:w="2000"/>
            <w:shd w:fill="F1F5F9" w:val="clear"/>
            <w:tcMar>
              <w:top w:type="dxa" w:w="100"/>
              <w:left w:type="dxa" w:w="120"/>
              <w:bottom w:type="dxa" w:w="100"/>
              <w:right w:type="dxa" w:w="120"/>
            </w:tcMar>
          </w:tcPr>
          <w:p>
            <w:pPr>
              <w:jc w:val="left"/>
            </w:pPr>
            <w:r>
              <w:rPr>
                <w:b w:val="false"/>
                <w:bCs w:val="false"/>
              </w:rPr>
              <w:t xml:space="preserve">Hand-built, this hackathon build</w:t>
            </w:r>
          </w:p>
        </w:tc>
      </w:tr>
      <w:tr>
        <w:tc>
          <w:tcPr>
            <w:tcW w:type="dxa" w:w="2000"/>
            <w:tcMar>
              <w:top w:type="dxa" w:w="100"/>
              <w:left w:type="dxa" w:w="120"/>
              <w:bottom w:type="dxa" w:w="100"/>
              <w:right w:type="dxa" w:w="120"/>
            </w:tcMar>
          </w:tcPr>
          <w:p>
            <w:pPr>
              <w:jc w:val="left"/>
            </w:pPr>
            <w:r>
              <w:rPr>
                <w:b w:val="false"/>
                <w:bCs w:val="false"/>
              </w:rPr>
              <w:t xml:space="preserve">Frontend (Mission Control UI)</w:t>
            </w:r>
          </w:p>
        </w:tc>
        <w:tc>
          <w:tcPr>
            <w:tcW w:type="dxa" w:w="2000"/>
            <w:tcMar>
              <w:top w:type="dxa" w:w="100"/>
              <w:left w:type="dxa" w:w="120"/>
              <w:bottom w:type="dxa" w:w="100"/>
              <w:right w:type="dxa" w:w="120"/>
            </w:tcMar>
          </w:tcPr>
          <w:p>
            <w:pPr>
              <w:jc w:val="left"/>
            </w:pPr>
            <w:r>
              <w:rPr>
                <w:b w:val="false"/>
                <w:bCs w:val="false"/>
              </w:rPr>
              <w:t xml:space="preserve">Hand-built, this hackathon build</w:t>
            </w:r>
          </w:p>
        </w:tc>
      </w:tr>
      <w:tr>
        <w:tc>
          <w:tcPr>
            <w:tcW w:type="dxa" w:w="2000"/>
            <w:shd w:fill="F1F5F9" w:val="clear"/>
            <w:tcMar>
              <w:top w:type="dxa" w:w="100"/>
              <w:left w:type="dxa" w:w="120"/>
              <w:bottom w:type="dxa" w:w="100"/>
              <w:right w:type="dxa" w:w="120"/>
            </w:tcMar>
          </w:tcPr>
          <w:p>
            <w:pPr>
              <w:jc w:val="left"/>
            </w:pPr>
            <w:r>
              <w:rPr>
                <w:b w:val="false"/>
                <w:bCs w:val="false"/>
              </w:rPr>
              <w:t xml:space="preserve">Deployment (Docker / Cloud Run)</w:t>
            </w:r>
          </w:p>
        </w:tc>
        <w:tc>
          <w:tcPr>
            <w:tcW w:type="dxa" w:w="2000"/>
            <w:shd w:fill="F1F5F9" w:val="clear"/>
            <w:tcMar>
              <w:top w:type="dxa" w:w="100"/>
              <w:left w:type="dxa" w:w="120"/>
              <w:bottom w:type="dxa" w:w="100"/>
              <w:right w:type="dxa" w:w="120"/>
            </w:tcMar>
          </w:tcPr>
          <w:p>
            <w:pPr>
              <w:jc w:val="left"/>
            </w:pPr>
            <w:r>
              <w:rPr>
                <w:b w:val="false"/>
                <w:bCs w:val="false"/>
              </w:rPr>
              <w:t xml:space="preserve">Hand-built, this hackathon build</w:t>
            </w:r>
          </w:p>
        </w:tc>
      </w:tr>
    </w:tbl>
    <w:p>
      <w:pPr>
        <w:spacing w:after="160"/>
      </w:pPr>
      <w:r>
        <w:t xml:space="preserve"/>
      </w:r>
    </w:p>
    <w:p>
      <w:pPr>
        <w:spacing w:after="160"/>
      </w:pPr>
      <w:r>
        <w:t xml:space="preserve">Neither the CrewAI crew nor the CrewAI Flow, nor CrewAI Studio's no-code runtime, executes at request time in the deployed application - there is no crewai package dependency in this codebase. What we are pitching is a case study in taking a CrewAI-scaffolded agent design to a live, working product inside a hackathon window.</w:t>
      </w:r>
    </w:p>
    <w:p>
      <w:pPr>
        <w:pStyle w:val="Heading1"/>
        <w:spacing w:after="160" w:before="360"/>
      </w:pPr>
      <w:r>
        <w:t xml:space="preserve">Feature walkthrough: Mission Control</w:t>
      </w:r>
    </w:p>
    <w:p>
      <w:pPr>
        <w:spacing w:after="160"/>
      </w:pPr>
      <w:r>
        <w:t xml:space="preserve">The StrategyOS Flow's six stages are restaged as a rocket-launch console. Ask a question - “Should Salesforce acquire Notion?” - and:</w:t>
      </w:r>
    </w:p>
    <w:p>
      <w:pPr>
        <w:pStyle w:val="ListParagraph"/>
        <w:numPr>
          <w:ilvl w:val="0"/>
          <w:numId w:val="2"/>
        </w:numPr>
        <w:spacing w:after="90"/>
      </w:pPr>
      <w:r>
        <w:t xml:space="preserve">A crew checklist lights up as each seat reports in - Flight Director, Market Intelligence, Financial Systems, Engineering, Recon, Legal Operations - mirroring the Flow's staffed/benched seat logic.</w:t>
      </w:r>
    </w:p>
    <w:p>
      <w:pPr>
        <w:pStyle w:val="ListParagraph"/>
        <w:numPr>
          <w:ilvl w:val="0"/>
          <w:numId w:val="2"/>
        </w:numPr>
        <w:spacing w:after="90"/>
      </w:pPr>
      <w:r>
        <w:t xml:space="preserve">A T-minus timeline narrates the same five stages the Flow defines: T-90 market analysis, T-70 financial analysis, T-45 red-team challenge, T-15 evidence validation, T-5 launch-panel vote.</w:t>
      </w:r>
    </w:p>
    <w:p>
      <w:pPr>
        <w:pStyle w:val="ListParagraph"/>
        <w:numPr>
          <w:ilvl w:val="0"/>
          <w:numId w:val="2"/>
        </w:numPr>
        <w:spacing w:after="90"/>
      </w:pPr>
      <w:r>
        <w:t xml:space="preserve">The status badge flips from PRE-LAUNCH to LAUNCH, SCRUB, or HOLD - the Flow's GO / NO-GO / MORE INFORMATION REQUIRED, renamed to fit the console.</w:t>
      </w:r>
    </w:p>
    <w:p>
      <w:pPr>
        <w:pStyle w:val="ListParagraph"/>
        <w:numPr>
          <w:ilvl w:val="0"/>
          <w:numId w:val="2"/>
        </w:numPr>
        <w:spacing w:after="90"/>
      </w:pPr>
      <w:r>
        <w:t xml:space="preserve">A full tabular report stays available underneath - sortable specialist-seat table, a risk-vs-conviction scatter, a ranked adversarial-attack table, and an evidence-audit bar - so the narrative sits on top of real structured data, not in place of it.</w:t>
      </w:r>
    </w:p>
    <w:p>
      <w:pPr>
        <w:spacing w:after="160"/>
      </w:pPr>
      <w:r>
        <w:t xml:space="preserve">The same tab also screens a single entity - including, appropriately, CrewAI itself. Search “CrewAI” in the watchlist and Argus returns a clean 0/LOW risk profile, its real relationship graph (João Moura as CEO, CrewAI Holdings as parent, the Studio and open-source framework as product lines), and a real news item covering today's hackathon.</w:t>
      </w:r>
    </w:p>
    <w:p>
      <w:pPr>
        <w:pStyle w:val="Heading1"/>
        <w:spacing w:after="160" w:before="360"/>
      </w:pPr>
      <w:r>
        <w:t xml:space="preserve">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E293B" w:val="clear"/>
            <w:tcMar>
              <w:top w:type="dxa" w:w="100"/>
              <w:left w:type="dxa" w:w="120"/>
              <w:bottom w:type="dxa" w:w="100"/>
              <w:right w:type="dxa" w:w="120"/>
            </w:tcMar>
          </w:tcPr>
          <w:p>
            <w:pPr>
              <w:jc w:val="left"/>
            </w:pPr>
            <w:r>
              <w:rPr>
                <w:b/>
                <w:bCs/>
                <w:color w:val="FFFFFF"/>
              </w:rPr>
              <w:t xml:space="preserve">Backend</w:t>
            </w:r>
          </w:p>
        </w:tc>
        <w:tc>
          <w:tcPr>
            <w:tcW w:type="dxa" w:w="6400"/>
            <w:shd w:fill="1E293B" w:val="clear"/>
            <w:tcMar>
              <w:top w:type="dxa" w:w="100"/>
              <w:left w:type="dxa" w:w="120"/>
              <w:bottom w:type="dxa" w:w="100"/>
              <w:right w:type="dxa" w:w="120"/>
            </w:tcMar>
          </w:tcPr>
          <w:p>
            <w:pPr>
              <w:jc w:val="left"/>
            </w:pPr>
            <w:r>
              <w:rPr>
                <w:b/>
                <w:bCs/>
                <w:color w:val="FFFFFF"/>
              </w:rPr>
              <w:t xml:space="preserve">FastAPI (Python), async SQLAlchemy, PostgreSQL with automatic SQLite fallback</w:t>
            </w:r>
          </w:p>
        </w:tc>
      </w:tr>
      <w:tr>
        <w:tc>
          <w:tcPr>
            <w:tcW w:type="dxa" w:w="2000"/>
            <w:shd w:fill="F1F5F9" w:val="clear"/>
            <w:tcMar>
              <w:top w:type="dxa" w:w="100"/>
              <w:left w:type="dxa" w:w="120"/>
              <w:bottom w:type="dxa" w:w="100"/>
              <w:right w:type="dxa" w:w="120"/>
            </w:tcMar>
          </w:tcPr>
          <w:p>
            <w:pPr>
              <w:jc w:val="left"/>
            </w:pPr>
            <w:r>
              <w:rPr>
                <w:b w:val="false"/>
                <w:bCs w:val="false"/>
              </w:rPr>
              <w:t xml:space="preserve">Frontend</w:t>
            </w:r>
          </w:p>
        </w:tc>
        <w:tc>
          <w:tcPr>
            <w:tcW w:type="dxa" w:w="2000"/>
            <w:shd w:fill="F1F5F9" w:val="clear"/>
            <w:tcMar>
              <w:top w:type="dxa" w:w="100"/>
              <w:left w:type="dxa" w:w="120"/>
              <w:bottom w:type="dxa" w:w="100"/>
              <w:right w:type="dxa" w:w="120"/>
            </w:tcMar>
          </w:tcPr>
          <w:p>
            <w:pPr>
              <w:jc w:val="left"/>
            </w:pPr>
            <w:r>
              <w:rPr>
                <w:b w:val="false"/>
                <w:bCs w:val="false"/>
              </w:rPr>
              <w:t xml:space="preserve">Single dependency-free HTML/CSS/vanilla JavaScript page - no framework, no build step</w:t>
            </w:r>
          </w:p>
        </w:tc>
      </w:tr>
      <w:tr>
        <w:tc>
          <w:tcPr>
            <w:tcW w:type="dxa" w:w="2000"/>
            <w:tcMar>
              <w:top w:type="dxa" w:w="100"/>
              <w:left w:type="dxa" w:w="120"/>
              <w:bottom w:type="dxa" w:w="100"/>
              <w:right w:type="dxa" w:w="120"/>
            </w:tcMar>
          </w:tcPr>
          <w:p>
            <w:pPr>
              <w:jc w:val="left"/>
            </w:pPr>
            <w:r>
              <w:rPr>
                <w:b w:val="false"/>
                <w:bCs w:val="false"/>
              </w:rPr>
              <w:t xml:space="preserve">Live data sources</w:t>
            </w:r>
          </w:p>
        </w:tc>
        <w:tc>
          <w:tcPr>
            <w:tcW w:type="dxa" w:w="2000"/>
            <w:tcMar>
              <w:top w:type="dxa" w:w="100"/>
              <w:left w:type="dxa" w:w="120"/>
              <w:bottom w:type="dxa" w:w="100"/>
              <w:right w:type="dxa" w:w="120"/>
            </w:tcMar>
          </w:tcPr>
          <w:p>
            <w:pPr>
              <w:jc w:val="left"/>
            </w:pPr>
            <w:r>
              <w:rPr>
                <w:b w:val="false"/>
                <w:bCs w:val="false"/>
              </w:rPr>
              <w:t xml:space="preserve">OFAC SDN, SEC EDGAR, GLEIF, GDELT, CourtListener</w:t>
            </w:r>
          </w:p>
        </w:tc>
      </w:tr>
      <w:tr>
        <w:tc>
          <w:tcPr>
            <w:tcW w:type="dxa" w:w="2000"/>
            <w:shd w:fill="F1F5F9" w:val="clear"/>
            <w:tcMar>
              <w:top w:type="dxa" w:w="100"/>
              <w:left w:type="dxa" w:w="120"/>
              <w:bottom w:type="dxa" w:w="100"/>
              <w:right w:type="dxa" w:w="120"/>
            </w:tcMar>
          </w:tcPr>
          <w:p>
            <w:pPr>
              <w:jc w:val="left"/>
            </w:pPr>
            <w:r>
              <w:rPr>
                <w:b w:val="false"/>
                <w:bCs w:val="false"/>
              </w:rPr>
              <w:t xml:space="preserve">Entity resolution</w:t>
            </w:r>
          </w:p>
        </w:tc>
        <w:tc>
          <w:tcPr>
            <w:tcW w:type="dxa" w:w="2000"/>
            <w:shd w:fill="F1F5F9" w:val="clear"/>
            <w:tcMar>
              <w:top w:type="dxa" w:w="100"/>
              <w:left w:type="dxa" w:w="120"/>
              <w:bottom w:type="dxa" w:w="100"/>
              <w:right w:type="dxa" w:w="120"/>
            </w:tcMar>
          </w:tcPr>
          <w:p>
            <w:pPr>
              <w:jc w:val="left"/>
            </w:pPr>
            <w:r>
              <w:rPr>
                <w:b w:val="false"/>
                <w:bCs w:val="false"/>
              </w:rPr>
              <w:t xml:space="preserve">Levenshtein / Jaro-Winkler / Jaccard name blend + embedding cosine similarity + address &amp; ownership corroboration</w:t>
            </w:r>
          </w:p>
        </w:tc>
      </w:tr>
      <w:tr>
        <w:tc>
          <w:tcPr>
            <w:tcW w:type="dxa" w:w="2000"/>
            <w:tcMar>
              <w:top w:type="dxa" w:w="100"/>
              <w:left w:type="dxa" w:w="120"/>
              <w:bottom w:type="dxa" w:w="100"/>
              <w:right w:type="dxa" w:w="120"/>
            </w:tcMar>
          </w:tcPr>
          <w:p>
            <w:pPr>
              <w:jc w:val="left"/>
            </w:pPr>
            <w:r>
              <w:rPr>
                <w:b w:val="false"/>
                <w:bCs w:val="false"/>
              </w:rPr>
              <w:t xml:space="preserve">Risk engine</w:t>
            </w:r>
          </w:p>
        </w:tc>
        <w:tc>
          <w:tcPr>
            <w:tcW w:type="dxa" w:w="2000"/>
            <w:tcMar>
              <w:top w:type="dxa" w:w="100"/>
              <w:left w:type="dxa" w:w="120"/>
              <w:bottom w:type="dxa" w:w="100"/>
              <w:right w:type="dxa" w:w="120"/>
            </w:tcMar>
          </w:tcPr>
          <w:p>
            <w:pPr>
              <w:jc w:val="left"/>
            </w:pPr>
            <w:r>
              <w:rPr>
                <w:b w:val="false"/>
                <w:bCs w:val="false"/>
              </w:rPr>
              <w:t xml:space="preserve">Explainable rule-based scoring, no ML black box</w:t>
            </w:r>
          </w:p>
        </w:tc>
      </w:tr>
      <w:tr>
        <w:tc>
          <w:tcPr>
            <w:tcW w:type="dxa" w:w="2000"/>
            <w:shd w:fill="F1F5F9" w:val="clear"/>
            <w:tcMar>
              <w:top w:type="dxa" w:w="100"/>
              <w:left w:type="dxa" w:w="120"/>
              <w:bottom w:type="dxa" w:w="100"/>
              <w:right w:type="dxa" w:w="120"/>
            </w:tcMar>
          </w:tcPr>
          <w:p>
            <w:pPr>
              <w:jc w:val="left"/>
            </w:pPr>
            <w:r>
              <w:rPr>
                <w:b w:val="false"/>
                <w:bCs w:val="false"/>
              </w:rPr>
              <w:t xml:space="preserve">LLM reasoning</w:t>
            </w:r>
          </w:p>
        </w:tc>
        <w:tc>
          <w:tcPr>
            <w:tcW w:type="dxa" w:w="2000"/>
            <w:shd w:fill="F1F5F9" w:val="clear"/>
            <w:tcMar>
              <w:top w:type="dxa" w:w="100"/>
              <w:left w:type="dxa" w:w="120"/>
              <w:bottom w:type="dxa" w:w="100"/>
              <w:right w:type="dxa" w:w="120"/>
            </w:tcMar>
          </w:tcPr>
          <w:p>
            <w:pPr>
              <w:jc w:val="left"/>
            </w:pPr>
            <w:r>
              <w:rPr>
                <w:b w:val="false"/>
                <w:bCs w:val="false"/>
              </w:rPr>
              <w:t xml:space="preserve">OpenRouter (model-agnostic), Anthropic Claude fallback</w:t>
            </w:r>
          </w:p>
        </w:tc>
      </w:tr>
      <w:tr>
        <w:tc>
          <w:tcPr>
            <w:tcW w:type="dxa" w:w="2000"/>
            <w:tcMar>
              <w:top w:type="dxa" w:w="100"/>
              <w:left w:type="dxa" w:w="120"/>
              <w:bottom w:type="dxa" w:w="100"/>
              <w:right w:type="dxa" w:w="120"/>
            </w:tcMar>
          </w:tcPr>
          <w:p>
            <w:pPr>
              <w:jc w:val="left"/>
            </w:pPr>
            <w:r>
              <w:rPr>
                <w:b w:val="false"/>
                <w:bCs w:val="false"/>
              </w:rPr>
              <w:t xml:space="preserve">Deployment</w:t>
            </w:r>
          </w:p>
        </w:tc>
        <w:tc>
          <w:tcPr>
            <w:tcW w:type="dxa" w:w="2000"/>
            <w:tcMar>
              <w:top w:type="dxa" w:w="100"/>
              <w:left w:type="dxa" w:w="120"/>
              <w:bottom w:type="dxa" w:w="100"/>
              <w:right w:type="dxa" w:w="120"/>
            </w:tcMar>
          </w:tcPr>
          <w:p>
            <w:pPr>
              <w:jc w:val="left"/>
            </w:pPr>
            <w:r>
              <w:rPr>
                <w:b w:val="false"/>
                <w:bCs w:val="false"/>
              </w:rPr>
              <w:t xml:space="preserve">Docker, Google Cloud Run, GitHub</w:t>
            </w:r>
          </w:p>
        </w:tc>
      </w:tr>
    </w:tbl>
    <w:p>
      <w:pPr>
        <w:pStyle w:val="Heading1"/>
        <w:spacing w:after="160" w:before="360"/>
      </w:pPr>
      <w:r>
        <w:t xml:space="preserve">Closing</w:t>
      </w:r>
    </w:p>
    <w:p>
      <w:pPr>
        <w:spacing w:after="160"/>
      </w:pPr>
      <w:r>
        <w:t xml:space="preserve">CrewAI's own scaffolding tools - the crew builder and the Flow builder - are what made it possible to arrive at a hackathon with a fully-specified, ten-role agent architecture and a six-stage decision process already designed, tested in concept, and ready to be engineered against real data in a single day. That is the pitch: not that CrewAI ran our backend, but that CrewAI's design tooling is good enough that a hand-engineered production system built on top of its blueprint, in a day, is a real, live, working product - not a mockup.</w:t>
      </w:r>
    </w:p>
    <w:p>
      <w:pPr>
        <w:spacing w:after="160"/>
      </w:pPr>
      <w:r>
        <w:t xml:space="preserve">Live demo: </w:t>
      </w:r>
    </w:p>
    <w:p>
      <w:pPr>
        <w:spacing w:after="160"/>
      </w:pPr>
      <w:hyperlink w:history="1" r:id="rIdpbzig01oeurkmkqfuw4om">
        <w:r>
          <w:rPr>
            <w:rStyle w:val="Hyperlink"/>
          </w:rPr>
          <w:t xml:space="preserve">supplier-intelligence-api-1062146216736.us-central1.run.app</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bzig01oeurkmkqfuw4om" Type="http://schemas.openxmlformats.org/officeDocument/2006/relationships/hyperlink" Target="https://supplier-intelligence-api-1062146216736.us-central1.run.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2026-07-26T22:04:54.141Z</dcterms:created>
  <dcterms:modified xsi:type="dcterms:W3CDTF">2026-07-26T22:04:54.148Z</dcterms:modified>
</cp:coreProperties>
</file>

<file path=docProps/custom.xml><?xml version="1.0" encoding="utf-8"?>
<Properties xmlns="http://schemas.openxmlformats.org/officeDocument/2006/custom-properties" xmlns:vt="http://schemas.openxmlformats.org/officeDocument/2006/docPropsVTypes"/>
</file>