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FA411" w14:textId="77777777" w:rsidR="0065540A" w:rsidRDefault="00000000">
      <w:pPr>
        <w:spacing w:after="60"/>
        <w:jc w:val="center"/>
      </w:pPr>
      <w:r>
        <w:rPr>
          <w:b/>
          <w:bCs/>
          <w:color w:val="1A1A1A"/>
          <w:sz w:val="40"/>
          <w:szCs w:val="40"/>
        </w:rPr>
        <w:t>D Mart Sales Analysis</w:t>
      </w:r>
    </w:p>
    <w:p w14:paraId="4D75FE23" w14:textId="77777777" w:rsidR="0065540A" w:rsidRDefault="00000000">
      <w:pPr>
        <w:spacing w:after="40"/>
        <w:jc w:val="center"/>
      </w:pPr>
      <w:r>
        <w:rPr>
          <w:color w:val="666666"/>
        </w:rPr>
        <w:t>Business Intelligence Dashboard — Key Insights Report</w:t>
      </w:r>
    </w:p>
    <w:p w14:paraId="42A35603" w14:textId="2C113062" w:rsidR="0065540A" w:rsidRDefault="00000000">
      <w:pPr>
        <w:pBdr>
          <w:bottom w:val="single" w:sz="6" w:space="6" w:color="999999"/>
        </w:pBdr>
        <w:spacing w:after="300"/>
        <w:jc w:val="center"/>
      </w:pPr>
      <w:r>
        <w:rPr>
          <w:color w:val="888888"/>
          <w:sz w:val="20"/>
          <w:szCs w:val="20"/>
        </w:rPr>
        <w:t xml:space="preserve">Domain: Retail Analytics  |  Tool: Excel </w:t>
      </w:r>
      <w:r w:rsidR="00C9263F">
        <w:rPr>
          <w:color w:val="888888"/>
          <w:sz w:val="20"/>
          <w:szCs w:val="20"/>
        </w:rPr>
        <w:t xml:space="preserve">, Python </w:t>
      </w:r>
      <w:r>
        <w:rPr>
          <w:color w:val="888888"/>
          <w:sz w:val="20"/>
          <w:szCs w:val="20"/>
        </w:rPr>
        <w:t xml:space="preserve"> </w:t>
      </w:r>
    </w:p>
    <w:p w14:paraId="0F278E01" w14:textId="77777777" w:rsidR="0065540A" w:rsidRDefault="0065540A">
      <w:pPr>
        <w:spacing w:after="120"/>
      </w:pPr>
    </w:p>
    <w:p w14:paraId="7B7F78D4" w14:textId="77777777" w:rsidR="0065540A" w:rsidRDefault="00000000">
      <w:pPr>
        <w:spacing w:after="60"/>
        <w:jc w:val="center"/>
      </w:pPr>
      <w:r>
        <w:rPr>
          <w:b/>
          <w:bCs/>
          <w:color w:val="1A1A1A"/>
          <w:sz w:val="24"/>
          <w:szCs w:val="24"/>
        </w:rPr>
        <w:t>Dashboard Overview</w:t>
      </w:r>
    </w:p>
    <w:p w14:paraId="644B4D42" w14:textId="3755CD5D" w:rsidR="0065540A" w:rsidRDefault="00C9263F">
      <w:pPr>
        <w:spacing w:after="200"/>
        <w:jc w:val="center"/>
      </w:pPr>
      <w:r>
        <w:rPr>
          <w:noProof/>
        </w:rPr>
        <w:drawing>
          <wp:inline distT="0" distB="0" distL="0" distR="0" wp14:anchorId="71B427F2" wp14:editId="442E67BE">
            <wp:extent cx="6036310" cy="4137660"/>
            <wp:effectExtent l="0" t="0" r="2540" b="0"/>
            <wp:docPr id="101767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75553" name="Picture 10176755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BAB6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1. Monthly Sales &amp; Order Trend</w:t>
      </w:r>
    </w:p>
    <w:p w14:paraId="1D0ABAE0" w14:textId="77777777" w:rsidR="0065540A" w:rsidRDefault="00000000">
      <w:pPr>
        <w:spacing w:before="40" w:after="80"/>
      </w:pPr>
      <w:r>
        <w:t>The dashboard tracks order volume and revenue across all 12 months using a dual-axis bar chart.</w:t>
      </w:r>
    </w:p>
    <w:p w14:paraId="3FAFE64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February recorded the highest order volume (~1.9M orders) — indicating a strong seasonal demand peak in early Q1, likely driven by post-January sales and promotional events.</w:t>
      </w:r>
    </w:p>
    <w:p w14:paraId="5A22603A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Revenue and order count move together, meaning higher volumes directly translate to higher sales — a sign of consistent average order values without major pricing volatility.</w:t>
      </w:r>
    </w:p>
    <w:p w14:paraId="73D26583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A steady decline begins from August onwards, with December recording the lowest volume (~1.6M). This is unexpected given festive seasons (Diwali, Christmas) and suggests a missed sales opportunity in H2 due to possible stock-outs or weak promotional planning.</w:t>
      </w:r>
    </w:p>
    <w:p w14:paraId="698D47A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The 16% gap between peak (Feb) and trough (Dec) months represents a significant revenue swing that demands proactive seasonal inventory planning.</w:t>
      </w:r>
    </w:p>
    <w:p w14:paraId="6C01BAD6" w14:textId="77777777" w:rsidR="0065540A" w:rsidRDefault="0065540A">
      <w:pPr>
        <w:spacing w:after="120"/>
      </w:pPr>
    </w:p>
    <w:p w14:paraId="19698B4C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2. Gender-Wise Sales Breakdown</w:t>
      </w:r>
    </w:p>
    <w:p w14:paraId="0111974A" w14:textId="77777777" w:rsidR="0065540A" w:rsidRDefault="00000000">
      <w:pPr>
        <w:spacing w:before="40" w:after="80"/>
      </w:pPr>
      <w:r>
        <w:t>A pie chart shows the split between male and female buyers across all orders.</w:t>
      </w:r>
    </w:p>
    <w:p w14:paraId="1AE5999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Women account for 64% of total sales, making them the primary revenue driver. Men contribute the remaining 36%.</w:t>
      </w:r>
    </w:p>
    <w:p w14:paraId="75424065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This 28-point gender gap is not just a demographic observation — it signals that D Mart's product mix (clothing, home essentials) naturally appeals more to women-led household purchasing decisions.</w:t>
      </w:r>
    </w:p>
    <w:p w14:paraId="09AD68C7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The 36% male segment is relatively underpenetrated, offering scope to grow sales through menswear, grooming, and sports categories.</w:t>
      </w:r>
    </w:p>
    <w:p w14:paraId="5C9962BF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When combined with age data, adult women emerge as the single highest-value customer cohort — the core audience for any loyalty or retention program.</w:t>
      </w:r>
    </w:p>
    <w:p w14:paraId="036E2C08" w14:textId="77777777" w:rsidR="0065540A" w:rsidRDefault="0065540A">
      <w:pPr>
        <w:spacing w:after="120"/>
      </w:pPr>
    </w:p>
    <w:p w14:paraId="349BDEF0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3. Order Status Distribution</w:t>
      </w:r>
    </w:p>
    <w:p w14:paraId="5AC46139" w14:textId="77777777" w:rsidR="0065540A" w:rsidRDefault="00000000">
      <w:pPr>
        <w:spacing w:before="40" w:after="80"/>
      </w:pPr>
      <w:r>
        <w:t>A pie chart breaks down all orders into Delivered, Cancelled, Returned, and Refunded categories.</w:t>
      </w:r>
    </w:p>
    <w:p w14:paraId="3AD29ED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92% of orders were successfully delivered — a strong fulfillment baseline, though the industry benchmark sits closer to 95%.</w:t>
      </w:r>
    </w:p>
    <w:p w14:paraId="3D24CE3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The remaining 8% split across Cancellations (~3%), Returns, and Refunds represents real financial leakage. At an average order value of ₹800, even a 3% cancellation rate on 1.7M monthly orders means roughly ₹4 Crore in lost GMV per month.</w:t>
      </w:r>
    </w:p>
    <w:p w14:paraId="4806DBBB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Returns and refunds in clothing categories are typically caused by size mismatch or quality mismatch — common issues in online ethnic wear purchases.</w:t>
      </w:r>
    </w:p>
    <w:p w14:paraId="4A287C0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Reducing non-fulfillment from 8% to 5% could recover approximately ₹16 Crore per 1% improvement annually.</w:t>
      </w:r>
    </w:p>
    <w:p w14:paraId="0E2B3CB7" w14:textId="77777777" w:rsidR="0065540A" w:rsidRDefault="0065540A">
      <w:pPr>
        <w:spacing w:after="120"/>
      </w:pPr>
    </w:p>
    <w:p w14:paraId="2BC4EAFC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4. Top 5 State Performance</w:t>
      </w:r>
    </w:p>
    <w:p w14:paraId="3C77895C" w14:textId="77777777" w:rsidR="0065540A" w:rsidRDefault="00000000">
      <w:pPr>
        <w:spacing w:before="40" w:after="80"/>
      </w:pPr>
      <w:r>
        <w:t>A horizontal bar chart ranks states by total sales contribution.</w:t>
      </w:r>
    </w:p>
    <w:p w14:paraId="50DD50A8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West Bengal and Tamil Nadu lead all states in revenue — established metros with high retail penetration and organized buying </w:t>
      </w:r>
      <w:proofErr w:type="spellStart"/>
      <w:r>
        <w:t>behaviour</w:t>
      </w:r>
      <w:proofErr w:type="spellEnd"/>
      <w:r>
        <w:t>.</w:t>
      </w:r>
    </w:p>
    <w:p w14:paraId="556C2CC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Manipur's presence in the Top 5 is the most strategically interesting finding. Northeast India is historically underserved by </w:t>
      </w:r>
      <w:proofErr w:type="spellStart"/>
      <w:r>
        <w:t>organised</w:t>
      </w:r>
      <w:proofErr w:type="spellEnd"/>
      <w:r>
        <w:t xml:space="preserve"> retail, and Manipur outperforming larger states like Gujarat or Delhi signals very high wallet share capture and low competition.</w:t>
      </w:r>
    </w:p>
    <w:p w14:paraId="31FD94EC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This validates an accelerated Northeast expansion opportunity — Meghalaya, Nagaland, and Mizoram could be next-wave markets with similar demand profiles.</w:t>
      </w:r>
    </w:p>
    <w:p w14:paraId="6846ED0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Andaman &amp; Nicobar appearing in the state filter (bottom of the list) with minimal share shows clear under-penetration in remote/island geographies.</w:t>
      </w:r>
    </w:p>
    <w:p w14:paraId="0400612B" w14:textId="77777777" w:rsidR="0065540A" w:rsidRDefault="0065540A">
      <w:pPr>
        <w:spacing w:after="120"/>
      </w:pPr>
    </w:p>
    <w:p w14:paraId="1D9C5B81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5. Regional Clothing Category Trends (State-Wise)</w:t>
      </w:r>
    </w:p>
    <w:p w14:paraId="126F3623" w14:textId="77777777" w:rsidR="0065540A" w:rsidRDefault="00000000">
      <w:pPr>
        <w:spacing w:before="40" w:after="80"/>
      </w:pPr>
      <w:r>
        <w:t>A grouped bar chart shows which clothing categories sell most in different states.</w:t>
      </w:r>
    </w:p>
    <w:p w14:paraId="4F7CA12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Andhra Pradesh shows a clear preference for Sarees and Ethnic Dress, aligning with cultural occasions like </w:t>
      </w:r>
      <w:proofErr w:type="spellStart"/>
      <w:r>
        <w:t>Ugadi</w:t>
      </w:r>
      <w:proofErr w:type="spellEnd"/>
      <w:r>
        <w:t xml:space="preserve"> and Sankranti. Assam peaks strongly in Ethnic Dress, consistent with Bihu festival demand.</w:t>
      </w:r>
    </w:p>
    <w:p w14:paraId="7B3E1C3E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Kurta and Western Dress show more uniform demand across states, suggesting these are everyday wear categories with lower seasonality — good for stable inventory planning.</w:t>
      </w:r>
    </w:p>
    <w:p w14:paraId="18CE6BA4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Blouse and Bottom are low-volume but consistent across all states — high repurchase frequency items that are ideal candidates for auto-replenishment or subscription bundles.</w:t>
      </w:r>
    </w:p>
    <w:p w14:paraId="42042275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 xml:space="preserve">The clear regional preference variation confirms that a single national planogram does not work. State-level assortment </w:t>
      </w:r>
      <w:proofErr w:type="spellStart"/>
      <w:r>
        <w:t>customisation</w:t>
      </w:r>
      <w:proofErr w:type="spellEnd"/>
      <w:r>
        <w:t xml:space="preserve"> could improve sell-through rates by 20–30% in regional SKUs.</w:t>
      </w:r>
    </w:p>
    <w:p w14:paraId="33AABEF7" w14:textId="77777777" w:rsidR="0065540A" w:rsidRDefault="0065540A">
      <w:pPr>
        <w:spacing w:after="120"/>
      </w:pPr>
    </w:p>
    <w:p w14:paraId="386CE91D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6. E-Commerce Platform Revenue Distribution</w:t>
      </w:r>
    </w:p>
    <w:p w14:paraId="4537E024" w14:textId="77777777" w:rsidR="0065540A" w:rsidRDefault="00000000">
      <w:pPr>
        <w:spacing w:before="40" w:after="80"/>
      </w:pPr>
      <w:r>
        <w:t xml:space="preserve">A pie chart shows the revenue share across seven platforms: Amazon, Myntra, </w:t>
      </w:r>
      <w:proofErr w:type="spellStart"/>
      <w:r>
        <w:t>Meesho</w:t>
      </w:r>
      <w:proofErr w:type="spellEnd"/>
      <w:r>
        <w:t>, Ajio, Flipkart, Nalli, and Others.</w:t>
      </w:r>
    </w:p>
    <w:p w14:paraId="0B9EA06B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Amazon leads with 35.51% — dominant but creates dependency risk. If Amazon increases commission rates or changes its algorithm, D Mart's e-commerce revenue takes a direct hit.</w:t>
      </w:r>
    </w:p>
    <w:p w14:paraId="5F7CEC74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Myntra (23.34%) is the second-largest platform and the most strategic one for fashion-forward clothing. Growing Myntra's share would reduce Amazon dependency while attracting a younger, style-conscious audience.</w:t>
      </w:r>
    </w:p>
    <w:p w14:paraId="56881833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Meesho</w:t>
      </w:r>
      <w:proofErr w:type="spellEnd"/>
      <w:r>
        <w:t xml:space="preserve"> (21.60%) is the most undervalued channel here. </w:t>
      </w:r>
      <w:proofErr w:type="spellStart"/>
      <w:r>
        <w:t>Meesho's</w:t>
      </w:r>
      <w:proofErr w:type="spellEnd"/>
      <w:r>
        <w:t xml:space="preserve"> user base is Tier-2/3 price-sensitive buyers — exactly D Mart's value-retail audience. High volumes, lower CAC, and strong repeat purchase rates make this the best channel to double down on.</w:t>
      </w:r>
    </w:p>
    <w:p w14:paraId="3E15323F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Nalli (6.29%), despite being niche, signals strong ethnic wear demand that can be cross-leveraged on Myntra and Ajio for premium saree and kurta listings.</w:t>
      </w:r>
    </w:p>
    <w:p w14:paraId="4E356CEF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Flipkart and Ajio together account for only ~8.5% — both have significant room for growth with targeted category listings.</w:t>
      </w:r>
    </w:p>
    <w:p w14:paraId="72A0E2B0" w14:textId="77777777" w:rsidR="0065540A" w:rsidRDefault="0065540A">
      <w:pPr>
        <w:spacing w:after="120"/>
      </w:pPr>
    </w:p>
    <w:p w14:paraId="21258049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 xml:space="preserve">7. Consumer Purchase </w:t>
      </w:r>
      <w:proofErr w:type="spellStart"/>
      <w:r>
        <w:rPr>
          <w:b/>
          <w:bCs/>
          <w:color w:val="1A1A1A"/>
          <w:sz w:val="28"/>
          <w:szCs w:val="28"/>
        </w:rPr>
        <w:t>Behaviour</w:t>
      </w:r>
      <w:proofErr w:type="spellEnd"/>
      <w:r>
        <w:rPr>
          <w:b/>
          <w:bCs/>
          <w:color w:val="1A1A1A"/>
          <w:sz w:val="28"/>
          <w:szCs w:val="28"/>
        </w:rPr>
        <w:t xml:space="preserve"> — Age &amp; Gender Segmentation</w:t>
      </w:r>
    </w:p>
    <w:p w14:paraId="36B73E39" w14:textId="77777777" w:rsidR="0065540A" w:rsidRDefault="00000000">
      <w:pPr>
        <w:spacing w:before="40" w:after="80"/>
      </w:pPr>
      <w:r>
        <w:t xml:space="preserve">A grouped bar chart compares male and female purchase </w:t>
      </w:r>
      <w:proofErr w:type="spellStart"/>
      <w:r>
        <w:t>behaviour</w:t>
      </w:r>
      <w:proofErr w:type="spellEnd"/>
      <w:r>
        <w:t xml:space="preserve"> across Adults, Seniors, and Teenagers.</w:t>
      </w:r>
    </w:p>
    <w:p w14:paraId="2EDAD20C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Adult women (W) dominate at 34.59% — the single largest customer segment in the entire dataset. This cohort makes the most purchase decisions and should be the primary focus of retention and loyalty programs.</w:t>
      </w:r>
    </w:p>
    <w:p w14:paraId="1BB8D8D3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Adult men stand at 15.47%, roughly half the female adult share — reinforcing the gender gap observed in the overall sales pie chart.</w:t>
      </w:r>
    </w:p>
    <w:p w14:paraId="1D62CE8D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Teenage women are at 21.13% — the fastest-growing and most digitally native segment. They respond to social commerce, influencer content, and platform-native discovery (Reels, Instagram Shopping, </w:t>
      </w:r>
      <w:proofErr w:type="spellStart"/>
      <w:r>
        <w:t>Meesho</w:t>
      </w:r>
      <w:proofErr w:type="spellEnd"/>
      <w:r>
        <w:t>).</w:t>
      </w:r>
    </w:p>
    <w:p w14:paraId="729ABE07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Senior women (13.70%) and Senior men (5.91%) together represent a stable, loyalty-prone segment. They are less price-sensitive and more habitual in their buying patterns — ideal for subscription and auto-replenishment models.</w:t>
      </w:r>
    </w:p>
    <w:p w14:paraId="35790556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Teenage men at 9.20% are an emerging segment that is currently under-engaged. Athleisure, casual wear, and accessories could be the entry categories.</w:t>
      </w:r>
    </w:p>
    <w:p w14:paraId="7ECE7234" w14:textId="77777777" w:rsidR="0065540A" w:rsidRDefault="0065540A">
      <w:pPr>
        <w:spacing w:after="120"/>
      </w:pPr>
    </w:p>
    <w:p w14:paraId="51003D69" w14:textId="77777777" w:rsidR="0065540A" w:rsidRDefault="00000000">
      <w:pPr>
        <w:pBdr>
          <w:bottom w:val="single" w:sz="4" w:space="4" w:color="333333"/>
        </w:pBdr>
        <w:spacing w:before="300" w:after="100"/>
      </w:pPr>
      <w:r>
        <w:rPr>
          <w:b/>
          <w:bCs/>
          <w:color w:val="1A1A1A"/>
          <w:sz w:val="28"/>
          <w:szCs w:val="28"/>
        </w:rPr>
        <w:t>Summary — Key Takeaways</w:t>
      </w:r>
    </w:p>
    <w:p w14:paraId="1140BD3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February is the peak sales month; December is the weakest — seasonal inventory planning is a top priority.</w:t>
      </w:r>
    </w:p>
    <w:p w14:paraId="7BA69E52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Women drive 64% of sales; adult women alone are 34.59% of all buyers — the core audience for every major initiative.</w:t>
      </w:r>
    </w:p>
    <w:p w14:paraId="42149F5C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92% fulfillment is good but the 8% gap translates to crores in lost revenue annually — operational improvement has clear ROI.</w:t>
      </w:r>
    </w:p>
    <w:p w14:paraId="2C3251BB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Manipur in Top 5 is a signal for Northeast India expansion before competitors establish a foothold.</w:t>
      </w:r>
    </w:p>
    <w:p w14:paraId="21764D73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lastRenderedPageBreak/>
        <w:t>Meesho</w:t>
      </w:r>
      <w:proofErr w:type="spellEnd"/>
      <w:r>
        <w:t xml:space="preserve"> at 21.6% is the highest-potential e-commerce channel for D Mart's value-retail positioning — currently under-leveraged.</w:t>
      </w:r>
    </w:p>
    <w:p w14:paraId="5285F870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Regional clothing preferences are distinct by state — ethnic wear in South/Northeast, more uniform demand for western and kurta across metros.</w:t>
      </w:r>
    </w:p>
    <w:p w14:paraId="7898BB59" w14:textId="77777777" w:rsidR="0065540A" w:rsidRDefault="00000000">
      <w:pPr>
        <w:pStyle w:val="ListParagraph"/>
        <w:numPr>
          <w:ilvl w:val="0"/>
          <w:numId w:val="2"/>
        </w:numPr>
        <w:spacing w:before="40" w:after="40"/>
      </w:pPr>
      <w:r>
        <w:t>Teenage women (21.13%) are the next growth cohort — social commerce and platform-native strategies needed to capture them early.</w:t>
      </w:r>
    </w:p>
    <w:p w14:paraId="16583D4C" w14:textId="77777777" w:rsidR="0065540A" w:rsidRDefault="0065540A">
      <w:pPr>
        <w:spacing w:after="120"/>
      </w:pPr>
    </w:p>
    <w:sectPr w:rsidR="0065540A"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4C64BC"/>
    <w:multiLevelType w:val="hybridMultilevel"/>
    <w:tmpl w:val="9C8C210C"/>
    <w:lvl w:ilvl="0" w:tplc="14F68D8C">
      <w:start w:val="1"/>
      <w:numFmt w:val="bullet"/>
      <w:lvlText w:val="•"/>
      <w:lvlJc w:val="left"/>
      <w:pPr>
        <w:ind w:left="600" w:hanging="300"/>
      </w:pPr>
    </w:lvl>
    <w:lvl w:ilvl="1" w:tplc="C690307A">
      <w:numFmt w:val="decimal"/>
      <w:lvlText w:val=""/>
      <w:lvlJc w:val="left"/>
    </w:lvl>
    <w:lvl w:ilvl="2" w:tplc="49ACAEC6">
      <w:numFmt w:val="decimal"/>
      <w:lvlText w:val=""/>
      <w:lvlJc w:val="left"/>
    </w:lvl>
    <w:lvl w:ilvl="3" w:tplc="75B2C1A6">
      <w:numFmt w:val="decimal"/>
      <w:lvlText w:val=""/>
      <w:lvlJc w:val="left"/>
    </w:lvl>
    <w:lvl w:ilvl="4" w:tplc="A9C6A9F0">
      <w:numFmt w:val="decimal"/>
      <w:lvlText w:val=""/>
      <w:lvlJc w:val="left"/>
    </w:lvl>
    <w:lvl w:ilvl="5" w:tplc="0BB8D3DE">
      <w:numFmt w:val="decimal"/>
      <w:lvlText w:val=""/>
      <w:lvlJc w:val="left"/>
    </w:lvl>
    <w:lvl w:ilvl="6" w:tplc="A41E90D2">
      <w:numFmt w:val="decimal"/>
      <w:lvlText w:val=""/>
      <w:lvlJc w:val="left"/>
    </w:lvl>
    <w:lvl w:ilvl="7" w:tplc="765294BE">
      <w:numFmt w:val="decimal"/>
      <w:lvlText w:val=""/>
      <w:lvlJc w:val="left"/>
    </w:lvl>
    <w:lvl w:ilvl="8" w:tplc="A30ECECA">
      <w:numFmt w:val="decimal"/>
      <w:lvlText w:val=""/>
      <w:lvlJc w:val="left"/>
    </w:lvl>
  </w:abstractNum>
  <w:abstractNum w:abstractNumId="1" w15:restartNumberingAfterBreak="0">
    <w:nsid w:val="2A1176F5"/>
    <w:multiLevelType w:val="hybridMultilevel"/>
    <w:tmpl w:val="EB40A7CC"/>
    <w:lvl w:ilvl="0" w:tplc="E51E3A4A">
      <w:start w:val="1"/>
      <w:numFmt w:val="bullet"/>
      <w:lvlText w:val="●"/>
      <w:lvlJc w:val="left"/>
      <w:pPr>
        <w:ind w:left="720" w:hanging="360"/>
      </w:pPr>
    </w:lvl>
    <w:lvl w:ilvl="1" w:tplc="95101D74">
      <w:start w:val="1"/>
      <w:numFmt w:val="bullet"/>
      <w:lvlText w:val="○"/>
      <w:lvlJc w:val="left"/>
      <w:pPr>
        <w:ind w:left="1440" w:hanging="360"/>
      </w:pPr>
    </w:lvl>
    <w:lvl w:ilvl="2" w:tplc="4F641196">
      <w:start w:val="1"/>
      <w:numFmt w:val="bullet"/>
      <w:lvlText w:val="■"/>
      <w:lvlJc w:val="left"/>
      <w:pPr>
        <w:ind w:left="2160" w:hanging="360"/>
      </w:pPr>
    </w:lvl>
    <w:lvl w:ilvl="3" w:tplc="FD7056B6">
      <w:start w:val="1"/>
      <w:numFmt w:val="bullet"/>
      <w:lvlText w:val="●"/>
      <w:lvlJc w:val="left"/>
      <w:pPr>
        <w:ind w:left="2880" w:hanging="360"/>
      </w:pPr>
    </w:lvl>
    <w:lvl w:ilvl="4" w:tplc="03EAA314">
      <w:start w:val="1"/>
      <w:numFmt w:val="bullet"/>
      <w:lvlText w:val="○"/>
      <w:lvlJc w:val="left"/>
      <w:pPr>
        <w:ind w:left="3600" w:hanging="360"/>
      </w:pPr>
    </w:lvl>
    <w:lvl w:ilvl="5" w:tplc="CC102ADE">
      <w:start w:val="1"/>
      <w:numFmt w:val="bullet"/>
      <w:lvlText w:val="■"/>
      <w:lvlJc w:val="left"/>
      <w:pPr>
        <w:ind w:left="4320" w:hanging="360"/>
      </w:pPr>
    </w:lvl>
    <w:lvl w:ilvl="6" w:tplc="EE9EDB98">
      <w:start w:val="1"/>
      <w:numFmt w:val="bullet"/>
      <w:lvlText w:val="●"/>
      <w:lvlJc w:val="left"/>
      <w:pPr>
        <w:ind w:left="5040" w:hanging="360"/>
      </w:pPr>
    </w:lvl>
    <w:lvl w:ilvl="7" w:tplc="151E7D42">
      <w:start w:val="1"/>
      <w:numFmt w:val="bullet"/>
      <w:lvlText w:val="●"/>
      <w:lvlJc w:val="left"/>
      <w:pPr>
        <w:ind w:left="5760" w:hanging="360"/>
      </w:pPr>
    </w:lvl>
    <w:lvl w:ilvl="8" w:tplc="E6F4C704">
      <w:start w:val="1"/>
      <w:numFmt w:val="bullet"/>
      <w:lvlText w:val="●"/>
      <w:lvlJc w:val="left"/>
      <w:pPr>
        <w:ind w:left="6480" w:hanging="360"/>
      </w:pPr>
    </w:lvl>
  </w:abstractNum>
  <w:num w:numId="1" w16cid:durableId="2069107425">
    <w:abstractNumId w:val="1"/>
    <w:lvlOverride w:ilvl="0">
      <w:startOverride w:val="1"/>
    </w:lvlOverride>
  </w:num>
  <w:num w:numId="2" w16cid:durableId="1837125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40A"/>
    <w:rsid w:val="0065540A"/>
    <w:rsid w:val="00C9263F"/>
    <w:rsid w:val="00FF2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F9448"/>
  <w15:docId w15:val="{ACA1F8E7-178C-44A3-A61F-1C04C6D7E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200" w:after="8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1074</Words>
  <Characters>6127</Characters>
  <Application>Microsoft Office Word</Application>
  <DocSecurity>0</DocSecurity>
  <Lines>51</Lines>
  <Paragraphs>14</Paragraphs>
  <ScaleCrop>false</ScaleCrop>
  <Company/>
  <LinksUpToDate>false</LinksUpToDate>
  <CharactersWithSpaces>7187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prakher dwivedi</cp:lastModifiedBy>
  <cp:revision>2</cp:revision>
  <dcterms:created xsi:type="dcterms:W3CDTF">2026-05-17T18:00:00Z</dcterms:created>
  <dcterms:modified xsi:type="dcterms:W3CDTF">2026-05-17T18:02:00Z</dcterms:modified>
</cp:coreProperties>
</file>