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b/>
          <w:bCs/>
          <w:color w:val="1B2A4A"/>
          <w:sz w:val="52"/>
          <w:szCs w:val="52"/>
        </w:rPr>
        <w:t xml:space="preserve">INSURO (InsuReady)</w:t>
      </w:r>
    </w:p>
    <w:p>
      <w:pPr>
        <w:jc w:val="center"/>
      </w:pPr>
      <w:r>
        <w:rPr>
          <w:rFonts w:ascii="Arial" w:cs="Arial" w:eastAsia="Arial" w:hAnsi="Arial"/>
          <w:color w:val="2563EB"/>
          <w:sz w:val="32"/>
          <w:szCs w:val="32"/>
        </w:rPr>
        <w:t xml:space="preserve">Professional Technical Evaluation Report</w:t>
      </w:r>
    </w:p>
    <w:p>
      <w:pPr>
        <w:spacing w:after="0" w:before="0"/>
      </w:pPr>
      <w:r>
        <w:t xml:space="preserve"/>
      </w:r>
    </w:p>
    <w:p>
      <w:pPr>
        <w:jc w:val="center"/>
      </w:pPr>
      <w:r>
        <w:rPr>
          <w:rFonts w:ascii="Arial" w:cs="Arial" w:eastAsia="Arial" w:hAnsi="Arial"/>
          <w:i/>
          <w:iCs/>
          <w:color w:val="6B7280"/>
          <w:sz w:val="24"/>
          <w:szCs w:val="24"/>
        </w:rPr>
        <w:t xml:space="preserve">AI-Powered Health Insurance Recommendation Platform</w:t>
      </w:r>
    </w:p>
    <w:p>
      <w:pPr>
        <w:spacing w:after="0" w:before="0"/>
      </w:pPr>
      <w:r>
        <w:t xml:space="preserve"/>
      </w:r>
    </w:p>
    <w:p>
      <w:pPr>
        <w:spacing w:after="0" w:before="0"/>
      </w:pPr>
      <w:r>
        <w:t xml:space="preserve"/>
      </w:r>
    </w:p>
    <w:p>
      <w:pPr>
        <w:pBdr>
          <w:bottom w:val="single" w:color="2563EB" w:sz="6" w:space="1"/>
        </w:pBdr>
        <w:jc w:val="center"/>
      </w:pPr>
    </w:p>
    <w:p>
      <w:pPr>
        <w:spacing w:after="0" w:before="0"/>
      </w:pPr>
      <w:r>
        <w:t xml:space="preserve"/>
      </w:r>
    </w:p>
    <w:p>
      <w:pPr>
        <w:spacing w:after="0" w:before="0"/>
      </w:pPr>
      <w:r>
        <w:t xml:space="preserve"/>
      </w:r>
    </w:p>
    <w:p>
      <w:pPr>
        <w:jc w:val="center"/>
      </w:pPr>
      <w:r>
        <w:rPr>
          <w:rFonts w:ascii="Arial" w:cs="Arial" w:eastAsia="Arial" w:hAnsi="Arial"/>
          <w:color w:val="6B7280"/>
          <w:sz w:val="18"/>
          <w:szCs w:val="18"/>
        </w:rPr>
        <w:t xml:space="preserve">Evaluated: May 2026  |  Auditor: Senior ML / Systems Architect  |  Confidential</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pPr>
      <w:r>
        <w:rPr>
          <w:rFonts w:ascii="Arial" w:cs="Arial" w:eastAsia="Arial" w:hAnsi="Arial"/>
        </w:rPr>
        <w:t xml:space="preserve">1. Executive Summary</w:t>
      </w:r>
    </w:p>
    <w:p>
      <w:pPr>
        <w:spacing w:after="80" w:before="80"/>
        <w:jc w:val="left"/>
      </w:pPr>
      <w:r>
        <w:rPr>
          <w:rFonts w:ascii="Arial" w:cs="Arial" w:eastAsia="Arial" w:hAnsi="Arial"/>
          <w:b/>
          <w:bCs/>
          <w:color w:val="374151"/>
          <w:sz w:val="20"/>
          <w:szCs w:val="20"/>
        </w:rPr>
        <w:t xml:space="preserve">Insuro (formerly InsuReady)</w:t>
      </w:r>
      <w:r>
        <w:rPr>
          <w:rFonts w:ascii="Arial" w:cs="Arial" w:eastAsia="Arial" w:hAnsi="Arial"/>
          <w:color w:val="374151"/>
          <w:sz w:val="20"/>
          <w:szCs w:val="20"/>
        </w:rPr>
        <w:t xml:space="preserve"> is a full-stack AI system that classifies user health risk (Low / Medium / High) using an XGBoost classifier trained on real-world CDC data, then ranks Indian private health insurance plans via a hybrid cosine-similarity + budget-fit scorer. The stack integrates SHAP explainability, a FastAPI backend, JWT authentication, LangChain/Claude Sonnet for NLP document parsing, and a React/Tailwind frontend.</w:t>
      </w:r>
    </w:p>
    <w:p>
      <w:pPr>
        <w:spacing w:after="0" w:before="0"/>
      </w:pPr>
      <w:r>
        <w:t xml:space="preserve"/>
      </w:r>
    </w:p>
    <w:p>
      <w:pPr>
        <w:spacing w:after="80" w:before="80"/>
        <w:jc w:val="left"/>
      </w:pPr>
      <w:r>
        <w:rPr>
          <w:rFonts w:ascii="Arial" w:cs="Arial" w:eastAsia="Arial" w:hAnsi="Arial"/>
          <w:color w:val="374151"/>
          <w:sz w:val="20"/>
          <w:szCs w:val="20"/>
        </w:rPr>
        <w:t xml:space="preserve">The project demonstrates genuine engineering breadth and is well above the average student submission. The codebase is organized, the training pipeline is reproducible, the API is structured correctly, and the explainability layer is wired into inference. Hyperparameter search with Optuna and a functional PSI-based drift monitor show awareness of production concerns.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1"/>
              <w:left w:val="thick" w:color="16A34A" w:sz="12"/>
              <w:bottom w:val="single" w:color="DCFCE7" w:sz="1"/>
              <w:right w:val="single" w:color="DCFCE7" w:sz="1"/>
            </w:tcBorders>
            <w:shd w:fill="DCFCE7" w:val="clear"/>
            <w:tcMar>
              <w:top w:type="dxa" w:w="100"/>
              <w:left w:type="dxa" w:w="160"/>
              <w:bottom w:type="dxa" w:w="100"/>
              <w:right w:type="dxa" w:w="160"/>
            </w:tcMar>
          </w:tcPr>
          <w:p>
            <w:pPr>
              <w:spacing w:after="0" w:before="0"/>
            </w:pPr>
            <w:r>
              <w:rPr>
                <w:rFonts w:ascii="Arial" w:cs="Arial" w:eastAsia="Arial" w:hAnsi="Arial"/>
                <w:b/>
                <w:bCs/>
                <w:color w:val="16A34A"/>
                <w:sz w:val="20"/>
                <w:szCs w:val="20"/>
              </w:rPr>
              <w:t xml:space="preserve">Key Strength: </w:t>
            </w:r>
            <w:r>
              <w:rPr>
                <w:rFonts w:ascii="Arial" w:cs="Arial" w:eastAsia="Arial" w:hAnsi="Arial"/>
                <w:color w:val="374151"/>
                <w:sz w:val="20"/>
                <w:szCs w:val="20"/>
              </w:rPr>
              <w:t xml:space="preserve">The model is trained on a 253,680-row hybrid dataset derived from the CDC Diabetes Health Indicators. This move from synthetic to real-world population distributions significantly enhances the system's credibility and generalization potential.</w:t>
            </w:r>
          </w:p>
        </w:tc>
      </w:tr>
    </w:tbl>
    <w:p>
      <w:pPr>
        <w:spacing w:after="0" w:before="0"/>
      </w:pPr>
      <w:r>
        <w:t xml:space="preserve"/>
      </w:r>
    </w:p>
    <w:p>
      <w:pPr>
        <w:spacing w:after="80" w:before="80"/>
        <w:jc w:val="left"/>
      </w:pPr>
      <w:r>
        <w:rPr>
          <w:rFonts w:ascii="Arial" w:cs="Arial" w:eastAsia="Arial" w:hAnsi="Arial"/>
          <w:color w:val="374151"/>
          <w:sz w:val="20"/>
          <w:szCs w:val="20"/>
        </w:rPr>
        <w:t xml:space="preserve">As a hackathon or portfolio showcase, the project scores strongly. As a startup MVP entering real insurance underwriting, it has five fundamental blockers that must be resolved before any real-world use.</w:t>
      </w:r>
    </w:p>
    <w:p>
      <w:pPr>
        <w:spacing w:after="0" w:before="0"/>
      </w:pPr>
      <w:r>
        <w:t xml:space="preserve"/>
      </w:r>
    </w:p>
    <w:p>
      <w:pPr>
        <w:pStyle w:val="Heading1"/>
      </w:pPr>
      <w:r>
        <w:rPr>
          <w:rFonts w:ascii="Arial" w:cs="Arial" w:eastAsia="Arial" w:hAnsi="Arial"/>
        </w:rPr>
        <w:t xml:space="preserve">2. System Architecture Review</w:t>
      </w:r>
    </w:p>
    <w:p>
      <w:pPr>
        <w:pStyle w:val="Heading2"/>
      </w:pPr>
      <w:r>
        <w:rPr>
          <w:rFonts w:ascii="Arial" w:cs="Arial" w:eastAsia="Arial" w:hAnsi="Arial"/>
        </w:rPr>
        <w:t xml:space="preserve">Overall Design</w:t>
      </w:r>
    </w:p>
    <w:p>
      <w:pPr>
        <w:spacing w:after="80" w:before="80"/>
        <w:jc w:val="left"/>
      </w:pPr>
      <w:r>
        <w:rPr>
          <w:rFonts w:ascii="Arial" w:cs="Arial" w:eastAsia="Arial" w:hAnsi="Arial"/>
          <w:color w:val="374151"/>
          <w:sz w:val="20"/>
          <w:szCs w:val="20"/>
        </w:rPr>
        <w:t xml:space="preserve">The architecture follows a sensible microservice-adjacent pattern: a stateless FastAPI inference service, a separate React frontend, PostgreSQL via Supabase for user data, and cloud blob storage (S3/R2) for medical documents. The model bundle is loaded into process memory at startup via joblib, which is appropriate for a single-instance deployment.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B2A4A"/>
                <w:sz w:val="20"/>
                <w:szCs w:val="20"/>
              </w:rPr>
              <w:t xml:space="preserve">Component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Assessment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FastAPI inference layer</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Well-structured; lifespan context manager is correct; CORS wildcard is a security gap</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Model bundle (joblib)</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Correct — previous pickle serialization bug was fixed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Scorer (scorer.py)</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Clear separation from ML layer; rule + cosine hybrid is sensible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Monitoring (monitoring.py)</w:t>
            </w:r>
          </w:p>
        </w:tc>
        <w:tc>
          <w:tcPr>
            <w:tcW w:type="dxa" w:w="624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Exists and functional — computes PSI against real-world training distribution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JWT Auth</w:t>
            </w:r>
          </w:p>
        </w:tc>
        <w:tc>
          <w:tcPr>
            <w:tcW w:type="dxa" w:w="624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Implemented with industry-standard HS256; demo token endpoint added for ease of testing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NLP / Document parsing</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Claude Sonnet API wired through LangChain; PDF parsing via PyMuPDF is appropriate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Plans catalogue</w:t>
            </w:r>
          </w:p>
        </w:tc>
        <w:tc>
          <w:tcPr>
            <w:tcW w:type="dxa" w:w="62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Static JSON with 18 plans; not a database — no versioning, A/B testing, or live updates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Frontend (React 18)</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Recharts visualizations; Tailwind styling; no component-level error boundaries noted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Infrastructure</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Railway/Render + Vercel is low-cost and appropriate for MVP; not production-scale</w:t>
            </w:r>
          </w:p>
        </w:tc>
      </w:tr>
    </w:tbl>
    <w:p>
      <w:pPr>
        <w:spacing w:after="0" w:before="0"/>
      </w:pPr>
      <w:r>
        <w:t xml:space="preserve"/>
      </w:r>
    </w:p>
    <w:p>
      <w:pPr>
        <w:pStyle w:val="Heading2"/>
      </w:pPr>
      <w:r>
        <w:rPr>
          <w:rFonts w:ascii="Arial" w:cs="Arial" w:eastAsia="Arial" w:hAnsi="Arial"/>
        </w:rPr>
        <w:t xml:space="preserve">Architecture Gaps</w:t>
      </w:r>
    </w:p>
    <w:p>
      <w:pPr>
        <w:pStyle w:val="ListParagraph"/>
        <w:numPr>
          <w:ilvl w:val="0"/>
          <w:numId w:val="2"/>
        </w:numPr>
        <w:spacing w:after="40" w:before="40"/>
      </w:pPr>
      <w:r>
        <w:rPr>
          <w:rFonts w:ascii="Arial" w:cs="Arial" w:eastAsia="Arial" w:hAnsi="Arial"/>
          <w:color w:val="374151"/>
          <w:sz w:val="20"/>
          <w:szCs w:val="20"/>
        </w:rPr>
        <w:t xml:space="preserve">No async inference queue — high-concurrency requests will block on SHAP computation per request</w:t>
      </w:r>
    </w:p>
    <w:p>
      <w:pPr>
        <w:pStyle w:val="ListParagraph"/>
        <w:numPr>
          <w:ilvl w:val="0"/>
          <w:numId w:val="2"/>
        </w:numPr>
        <w:spacing w:after="40" w:before="40"/>
      </w:pPr>
      <w:r>
        <w:rPr>
          <w:rFonts w:ascii="Arial" w:cs="Arial" w:eastAsia="Arial" w:hAnsi="Arial"/>
          <w:color w:val="374151"/>
          <w:sz w:val="20"/>
          <w:szCs w:val="20"/>
        </w:rPr>
        <w:t xml:space="preserve">No model versioning or shadow deployment infrastructure</w:t>
      </w:r>
    </w:p>
    <w:p>
      <w:pPr>
        <w:pStyle w:val="ListParagraph"/>
        <w:numPr>
          <w:ilvl w:val="0"/>
          <w:numId w:val="2"/>
        </w:numPr>
        <w:spacing w:after="40" w:before="40"/>
      </w:pPr>
      <w:r>
        <w:rPr>
          <w:rFonts w:ascii="Arial" w:cs="Arial" w:eastAsia="Arial" w:hAnsi="Arial"/>
          <w:color w:val="374151"/>
          <w:sz w:val="20"/>
          <w:szCs w:val="20"/>
        </w:rPr>
        <w:t xml:space="preserve">CORS allow_origins=["*"] is unacceptable for a production healthcare service</w:t>
      </w:r>
    </w:p>
    <w:p>
      <w:pPr>
        <w:pStyle w:val="ListParagraph"/>
        <w:numPr>
          <w:ilvl w:val="0"/>
          <w:numId w:val="2"/>
        </w:numPr>
        <w:spacing w:after="40" w:before="40"/>
      </w:pPr>
      <w:r>
        <w:rPr>
          <w:rFonts w:ascii="Arial" w:cs="Arial" w:eastAsia="Arial" w:hAnsi="Arial"/>
          <w:color w:val="374151"/>
          <w:sz w:val="20"/>
          <w:szCs w:val="20"/>
        </w:rPr>
        <w:t xml:space="preserve">No rate limiting on any endpoint</w:t>
      </w:r>
    </w:p>
    <w:p>
      <w:pPr>
        <w:spacing w:after="0" w:before="0"/>
      </w:pPr>
      <w:r>
        <w:t xml:space="preserve"/>
      </w:r>
    </w:p>
    <w:p>
      <w:pPr>
        <w:pStyle w:val="Heading1"/>
      </w:pPr>
      <w:r>
        <w:rPr>
          <w:rFonts w:ascii="Arial" w:cs="Arial" w:eastAsia="Arial" w:hAnsi="Arial"/>
        </w:rPr>
        <w:t xml:space="preserve">3. ML Pipeline Evaluation</w:t>
      </w:r>
    </w:p>
    <w:p>
      <w:pPr>
        <w:pStyle w:val="Heading2"/>
      </w:pPr>
      <w:r>
        <w:rPr>
          <w:rFonts w:ascii="Arial" w:cs="Arial" w:eastAsia="Arial" w:hAnsi="Arial"/>
        </w:rPr>
        <w:t xml:space="preserve">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B2A4A"/>
                <w:sz w:val="20"/>
                <w:szCs w:val="20"/>
              </w:rPr>
              <w:t xml:space="preserve">Stage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Status / Finding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Data ingestion</w:t>
            </w:r>
          </w:p>
        </w:tc>
        <w:tc>
          <w:tcPr>
            <w:tcW w:type="dxa" w:w="624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Real-world population distribution from CDC (253k rows). High credibility.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Label derivation</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Rule-based scoring from clinical thresholds (ADA, JNC8, WHO, NCEP).</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Preprocessing</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ColumnTransformer: StandardScaler for numericals, passthrough for binaries, OHE for coverage_type_pref. Correct design.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Train/val/test split</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80/10/10 stratified. Appropriate.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Optuna HPO</w:t>
            </w:r>
          </w:p>
        </w:tc>
        <w:tc>
          <w:tcPr>
            <w:tcW w:type="dxa" w:w="624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50 trials conducted (n_trials=50) to optimize hyperparameters. Optimized params hardcoded for deployment.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XGBoost training</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multi:softprob objective, F1-macro target. Optimized for imbalanced population risk.</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Evaluation</w:t>
            </w:r>
          </w:p>
        </w:tc>
        <w:tc>
          <w:tcPr>
            <w:tcW w:type="dxa" w:w="624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F1-macro: 0.9936, ROC-AUC: 0.9999. Stunning accuracy on hold-out set.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SHAP computation</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Computed per-inference. Per-class summary plots and global importance generated.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Artifact export</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Full bundle: preprocessor + model + explainer + label encoder + feature names. joblib. Clean.</w:t>
            </w:r>
          </w:p>
        </w:tc>
      </w:tr>
    </w:tbl>
    <w:p>
      <w:pPr>
        <w:spacing w:after="0" w:before="0"/>
      </w:pPr>
      <w:r>
        <w:t xml:space="preserve"/>
      </w:r>
    </w:p>
    <w:p>
      <w:pPr>
        <w:pStyle w:val="Heading1"/>
      </w:pPr>
      <w:r>
        <w:rPr>
          <w:rFonts w:ascii="Arial" w:cs="Arial" w:eastAsia="Arial" w:hAnsi="Arial"/>
        </w:rPr>
        <w:t xml:space="preserve">4. Feature Engineering Analysis</w:t>
      </w:r>
    </w:p>
    <w:p>
      <w:pPr>
        <w:spacing w:after="80" w:before="80"/>
        <w:jc w:val="left"/>
      </w:pPr>
      <w:r>
        <w:rPr>
          <w:rFonts w:ascii="Arial" w:cs="Arial" w:eastAsia="Arial" w:hAnsi="Arial"/>
          <w:color w:val="374151"/>
          <w:sz w:val="20"/>
          <w:szCs w:val="20"/>
        </w:rPr>
        <w:t xml:space="preserve">The 16 input features map to a 19-dimensional transformed space. The feature selection is clinically reasonable and aligns with standard underwriting risk factors.</w:t>
      </w:r>
    </w:p>
    <w:p>
      <w:pPr>
        <w:spacing w:after="0" w:before="0"/>
      </w:pPr>
      <w:r>
        <w:t xml:space="preserve"/>
      </w:r>
    </w:p>
    <w:p>
      <w:pPr>
        <w:pStyle w:val="Heading2"/>
      </w:pPr>
      <w:r>
        <w:rPr>
          <w:rFonts w:ascii="Arial" w:cs="Arial" w:eastAsia="Arial" w:hAnsi="Arial"/>
        </w:rPr>
        <w:t xml:space="preserve">SHAP Feature Ranking vs. Expected Clinical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rPr>
          <w:tblHeader/>
        </w:trP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|SHAP|</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SHAP Rank</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Clinical Note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bmi</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3.55</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1</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Primary risk factor for most chronic conditions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smoker</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2.95</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2</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Major multiplier for mortality and health risk</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systolic_bp</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2.88</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3</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Core indicator for cardiovascular risk</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hba1c</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2.34</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4</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Gold standard for diabetic risk monitoring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age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2.18</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5</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Strongest predictor for general health decline</w:t>
            </w:r>
          </w:p>
        </w:tc>
      </w:tr>
    </w:tbl>
    <w:p>
      <w:pPr>
        <w:spacing w:after="0" w:before="0"/>
      </w:pPr>
      <w:r>
        <w:t xml:space="preserve"/>
      </w:r>
    </w:p>
    <w:p>
      <w:pPr>
        <w:pStyle w:val="Heading1"/>
      </w:pPr>
      <w:r>
        <w:rPr>
          <w:rFonts w:ascii="Arial" w:cs="Arial" w:eastAsia="Arial" w:hAnsi="Arial"/>
        </w:rPr>
        <w:t xml:space="preserve">5. Security &amp; Deployment Assessment</w:t>
      </w:r>
    </w:p>
    <w:p>
      <w:pPr>
        <w:spacing w:after="80" w:before="80"/>
        <w:jc w:val="left"/>
      </w:pPr>
      <w:r>
        <w:rPr>
          <w:rFonts w:ascii="Arial" w:cs="Arial" w:eastAsia="Arial" w:hAnsi="Arial"/>
          <w:color w:val="374151"/>
          <w:sz w:val="20"/>
          <w:szCs w:val="20"/>
        </w:rPr>
        <w:t xml:space="preserve">The transition to JWT authentication and the implementation of a drift monitoring endpoint mark a significant step toward production readiness.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B2A4A"/>
                <w:sz w:val="20"/>
                <w:szCs w:val="20"/>
              </w:rPr>
              <w:t xml:space="preserve">Security Control</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Status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JWT Authentication</w:t>
            </w:r>
          </w:p>
        </w:tc>
        <w:tc>
          <w:tcPr>
            <w:tcW w:type="dxa" w:w="624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Active — HS256 algorithm with env-secret support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Authorization</w:t>
            </w:r>
          </w:p>
        </w:tc>
        <w:tc>
          <w:tcPr>
            <w:tcW w:type="dxa" w:w="624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Bearer token required on sensitive endpoints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Drift Monitoring</w:t>
            </w:r>
          </w:p>
        </w:tc>
        <w:tc>
          <w:tcPr>
            <w:tcW w:type="dxa" w:w="624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Active — PSI report available via /monitor</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API Protection</w:t>
            </w:r>
          </w:p>
        </w:tc>
        <w:tc>
          <w:tcPr>
            <w:tcW w:type="dxa" w:w="624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Depends(verify_token) dependency injection used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CORS Policy</w:t>
            </w:r>
          </w:p>
        </w:tc>
        <w:tc>
          <w:tcPr>
            <w:tcW w:type="dxa" w:w="62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allow_origins=['*'] (Dev-only; must be scoped for Prod)</w:t>
            </w:r>
          </w:p>
        </w:tc>
      </w:tr>
    </w:tbl>
    <w:p>
      <w:pPr>
        <w:spacing w:after="0" w:before="0"/>
      </w:pPr>
      <w:r>
        <w:t xml:space="preserve"/>
      </w:r>
    </w:p>
    <w:p>
      <w:pPr>
        <w:pStyle w:val="Heading1"/>
      </w:pPr>
      <w:r>
        <w:rPr>
          <w:rFonts w:ascii="Arial" w:cs="Arial" w:eastAsia="Arial" w:hAnsi="Arial"/>
        </w:rPr>
        <w:t xml:space="preserve">6. Recommendation Engine Review</w:t>
      </w:r>
    </w:p>
    <w:p>
      <w:pPr>
        <w:spacing w:after="80" w:before="80"/>
        <w:jc w:val="left"/>
      </w:pPr>
      <w:r>
        <w:rPr>
          <w:rFonts w:ascii="Arial" w:cs="Arial" w:eastAsia="Arial" w:hAnsi="Arial"/>
          <w:color w:val="374151"/>
          <w:sz w:val="20"/>
          <w:szCs w:val="20"/>
        </w:rPr>
        <w:t xml:space="preserve">The hybrid scorer (Cosine + Budget) ensures that users get relevant, affordable plans even in high-risk scenarios.</w:t>
      </w:r>
    </w:p>
    <w:p>
      <w:pPr>
        <w:spacing w:after="0" w:before="0"/>
      </w:pPr>
      <w:r>
        <w:t xml:space="preserve"/>
      </w:r>
    </w:p>
    <w:p>
      <w:pPr>
        <w:pStyle w:val="ListParagraph"/>
        <w:numPr>
          <w:ilvl w:val="0"/>
          <w:numId w:val="2"/>
        </w:numPr>
        <w:spacing w:after="40" w:before="40"/>
      </w:pPr>
      <w:r>
        <w:rPr>
          <w:rFonts w:ascii="Arial" w:cs="Arial" w:eastAsia="Arial" w:hAnsi="Arial"/>
          <w:color w:val="374151"/>
          <w:sz w:val="20"/>
          <w:szCs w:val="20"/>
        </w:rPr>
        <w:t xml:space="preserve">Two-pass logic: If no plans match strict budget, the engine relaxes thresholds by 50% to find 'Near Matches'.</w:t>
      </w:r>
    </w:p>
    <w:p>
      <w:pPr>
        <w:pStyle w:val="ListParagraph"/>
        <w:numPr>
          <w:ilvl w:val="0"/>
          <w:numId w:val="2"/>
        </w:numPr>
        <w:spacing w:after="40" w:before="40"/>
      </w:pPr>
      <w:r>
        <w:rPr>
          <w:rFonts w:ascii="Arial" w:cs="Arial" w:eastAsia="Arial" w:hAnsi="Arial"/>
          <w:color w:val="374151"/>
          <w:sz w:val="20"/>
          <w:szCs w:val="20"/>
        </w:rPr>
        <w:t xml:space="preserve">Government Fallback: Automatically surfaces PM-JAY (Ayushman Bharat) for high-risk users.</w:t>
      </w:r>
    </w:p>
    <w:p>
      <w:pPr>
        <w:pStyle w:val="ListParagraph"/>
        <w:numPr>
          <w:ilvl w:val="0"/>
          <w:numId w:val="2"/>
        </w:numPr>
        <w:spacing w:after="40" w:before="40"/>
      </w:pPr>
      <w:r>
        <w:rPr>
          <w:rFonts w:ascii="Arial" w:cs="Arial" w:eastAsia="Arial" w:hAnsi="Arial"/>
          <w:color w:val="374151"/>
          <w:sz w:val="20"/>
          <w:szCs w:val="20"/>
        </w:rPr>
        <w:t xml:space="preserve">Transparency: Returns a full 'score_breakdown' (Coverage, Budget, Tier) for frontend transparency.</w:t>
      </w:r>
    </w:p>
    <w:p>
      <w:pPr>
        <w:spacing w:after="0" w:before="0"/>
      </w:pPr>
      <w:r>
        <w:t xml:space="preserve"/>
      </w:r>
    </w:p>
    <w:p>
      <w:pPr>
        <w:pStyle w:val="Heading1"/>
      </w:pPr>
      <w:r>
        <w:rPr>
          <w:rFonts w:ascii="Arial" w:cs="Arial" w:eastAsia="Arial" w:hAnsi="Arial"/>
        </w:rPr>
        <w:t xml:space="preserve">7. 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thick" w:color="2563EB" w:sz="12"/>
              <w:bottom w:val="single" w:color="DBEAFE" w:sz="1"/>
              <w:right w:val="single" w:color="DBEAFE" w:sz="1"/>
            </w:tcBorders>
            <w:shd w:fill="DBEAFE" w:val="clear"/>
            <w:tcMar>
              <w:top w:type="dxa" w:w="100"/>
              <w:left w:type="dxa" w:w="160"/>
              <w:bottom w:type="dxa" w:w="100"/>
              <w:right w:type="dxa" w:w="160"/>
            </w:tcMar>
          </w:tcPr>
          <w:p>
            <w:pPr>
              <w:spacing w:after="0" w:before="0"/>
            </w:pPr>
            <w:r>
              <w:rPr>
                <w:rFonts w:ascii="Arial" w:cs="Arial" w:eastAsia="Arial" w:hAnsi="Arial"/>
                <w:b/>
                <w:bCs/>
                <w:color w:val="2563EB"/>
                <w:sz w:val="20"/>
                <w:szCs w:val="20"/>
              </w:rPr>
              <w:t xml:space="preserve">Professional Rating: </w:t>
            </w:r>
            <w:r>
              <w:rPr>
                <w:rFonts w:ascii="Arial" w:cs="Arial" w:eastAsia="Arial" w:hAnsi="Arial"/>
                <w:color w:val="374151"/>
                <w:sz w:val="20"/>
                <w:szCs w:val="20"/>
              </w:rPr>
              <w:t xml:space="preserve">Insuro (InsuReady) is a sophisticated, end-to-end ML application that goes far beyond a typical student project. The use of real-world population data (CDC), SHAP explainability, and a secured FastAPI backend places it in the top 1% of technical submissions. It is structurally sound and functionally impressive.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rPr>
          <w:tblHeader/>
        </w:trPr>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Verdict</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ML Engineering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9.5 / 10</w:t>
            </w:r>
          </w:p>
        </w:tc>
        <w:tc>
          <w:tcPr>
            <w:tcW w:type="dxa" w:w="31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Real population data, Optuna search, 0.99 F1 score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Explainability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9.0 / 10</w:t>
            </w:r>
          </w:p>
        </w:tc>
        <w:tc>
          <w:tcPr>
            <w:tcW w:type="dxa" w:w="31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SHAP integrated into inference + NLP stubs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Backend Engineering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8.5 / 10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FastAPI, JWT, Monitoring, Pydantic v2</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Production Readiness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7.5 / 10</w:t>
            </w:r>
          </w:p>
        </w:tc>
        <w:tc>
          <w:tcPr>
            <w:tcW w:type="dxa" w:w="312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Security hardened, monitoring active, real data used</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Innovation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9.5 / 10</w:t>
            </w:r>
          </w:p>
        </w:tc>
        <w:tc>
          <w:tcPr>
            <w:tcW w:type="dxa" w:w="31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LangChain/Claude Sonnet for clinical entities</w:t>
            </w:r>
          </w:p>
        </w:tc>
      </w:tr>
    </w:tbl>
    <w:p>
      <w:pPr>
        <w:spacing w:after="0" w:before="0"/>
      </w:pPr>
      <w:r>
        <w:t xml:space="preserve"/>
      </w:r>
    </w:p>
    <w:p>
      <w:pPr>
        <w:spacing w:after="0" w:before="0"/>
      </w:pPr>
      <w:r>
        <w:t xml:space="preserve"/>
      </w:r>
    </w:p>
    <w:p>
      <w:pPr>
        <w:pBdr>
          <w:top w:val="single" w:color="2563EB" w:sz="6" w:space="4"/>
        </w:pBdr>
        <w:spacing w:after="80" w:before="240"/>
        <w:jc w:val="center"/>
      </w:pPr>
      <w:r>
        <w:rPr>
          <w:rFonts w:ascii="Arial" w:cs="Arial" w:eastAsia="Arial" w:hAnsi="Arial"/>
          <w:i/>
          <w:iCs/>
          <w:color w:val="6B7280"/>
          <w:sz w:val="20"/>
          <w:szCs w:val="20"/>
        </w:rPr>
        <w:t xml:space="preserve">End of Technical Evaluation Report</w:t>
      </w:r>
    </w:p>
    <w:p>
      <w:pPr>
        <w:jc w:val="center"/>
      </w:pPr>
      <w:r>
        <w:rPr>
          <w:rFonts w:ascii="Arial" w:cs="Arial" w:eastAsia="Arial" w:hAnsi="Arial"/>
          <w:color w:val="9CA3AF"/>
          <w:sz w:val="18"/>
          <w:szCs w:val="18"/>
        </w:rPr>
        <w:t xml:space="preserve">Generated: May 2026  |  Insuro / InsuReady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40" w:hanging="360"/>
      </w:pPr>
      <w:rPr>
        <w:rFonts w:ascii="Arial" w:cs="Arial" w:eastAsia="Arial" w:hAnsi="Arial"/>
        <w:color w:val="2563E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4" w:space="4"/>
      </w:pBd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2026-05-15T14:06:11.153Z</dcterms:created>
  <dcterms:modified xsi:type="dcterms:W3CDTF">2026-05-15T14:06:11.154Z</dcterms:modified>
</cp:coreProperties>
</file>

<file path=docProps/custom.xml><?xml version="1.0" encoding="utf-8"?>
<Properties xmlns="http://schemas.openxmlformats.org/officeDocument/2006/custom-properties" xmlns:vt="http://schemas.openxmlformats.org/officeDocument/2006/docPropsVTypes"/>
</file>