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libri" w:cs="Calibri" w:eastAsia="Calibri" w:hAnsi="Calibri"/>
          <w:b/>
          <w:bCs/>
          <w:color w:val="000000"/>
          <w:sz w:val="48"/>
          <w:szCs w:val="48"/>
        </w:rPr>
        <w:t xml:space="preserve">Logic-Flow Code Visualizer (LFCV)</w:t>
      </w:r>
    </w:p>
    <w:p>
      <w:pPr>
        <w:spacing w:after="480" w:before="0"/>
      </w:pPr>
      <w:r>
        <w:rPr>
          <w:rFonts w:ascii="Calibri" w:cs="Calibri" w:eastAsia="Calibri" w:hAnsi="Calibri"/>
          <w:color w:val="444444"/>
          <w:sz w:val="28"/>
          <w:szCs w:val="28"/>
        </w:rPr>
        <w:t xml:space="preserve">Code Directory Structure and File Reference  —  Version 2.0</w:t>
      </w:r>
    </w:p>
    <w:p>
      <w:pPr>
        <w:spacing w:after="60" w:before="60"/>
      </w:pPr>
      <w:r>
        <w:t xml:space="preserve"/>
      </w:r>
    </w:p>
    <w:p>
      <w:pPr>
        <w:spacing w:after="0" w:before="0"/>
      </w:pPr>
      <w:r>
        <w:br w:type="page"/>
      </w:r>
    </w:p>
    <w:p>
      <w:pPr>
        <w:pStyle w:val="Heading1"/>
        <w:pBdr>
          <w:bottom w:val="single" w:color="333333" w:sz="4" w:space="4"/>
        </w:pBdr>
        <w:spacing w:after="160" w:before="320"/>
      </w:pPr>
      <w:r>
        <w:rPr>
          <w:rFonts w:ascii="Calibri" w:cs="Calibri" w:eastAsia="Calibri" w:hAnsi="Calibri"/>
          <w:b/>
          <w:bCs/>
          <w:color w:val="000000"/>
          <w:sz w:val="28"/>
          <w:szCs w:val="28"/>
        </w:rPr>
        <w:t xml:space="preserve">1.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before="20"/>
            </w:pPr>
            <w:r>
              <w:rPr>
                <w:rFonts w:ascii="Courier New" w:cs="Courier New" w:eastAsia="Courier New" w:hAnsi="Courier New"/>
                <w:color w:val="222222"/>
                <w:sz w:val="19"/>
                <w:szCs w:val="19"/>
              </w:rPr>
              <w:t xml:space="preserve">LFCV_v2/</w:t>
            </w:r>
          </w:p>
          <w:p>
            <w:pPr>
              <w:spacing w:after="20" w:before="20"/>
            </w:pPr>
            <w:r>
              <w:rPr>
                <w:rFonts w:ascii="Courier New" w:cs="Courier New" w:eastAsia="Courier New" w:hAnsi="Courier New"/>
                <w:color w:val="222222"/>
                <w:sz w:val="19"/>
                <w:szCs w:val="19"/>
              </w:rPr>
              <w:t xml:space="preserve">├── pom.xml                          Maven build configuration</w:t>
            </w:r>
          </w:p>
          <w:p>
            <w:pPr>
              <w:spacing w:after="20" w:before="20"/>
            </w:pPr>
            <w:r>
              <w:rPr>
                <w:rFonts w:ascii="Courier New" w:cs="Courier New" w:eastAsia="Courier New" w:hAnsi="Courier New"/>
                <w:color w:val="222222"/>
                <w:sz w:val="19"/>
                <w:szCs w:val="19"/>
              </w:rPr>
              <w:t xml:space="preserve">├── HOW_TO_RUN.txt                   Quick-start instructions for first-time users</w:t>
            </w:r>
          </w:p>
          <w:p>
            <w:pPr>
              <w:spacing w:after="20" w:before="20"/>
            </w:pPr>
            <w:r>
              <w:rPr>
                <w:rFonts w:ascii="Courier New" w:cs="Courier New" w:eastAsia="Courier New" w:hAnsi="Courier New"/>
                <w:color w:val="222222"/>
                <w:sz w:val="19"/>
                <w:szCs w:val="19"/>
              </w:rPr>
              <w:t xml:space="preserve">├── src/</w:t>
            </w:r>
          </w:p>
          <w:p>
            <w:pPr>
              <w:spacing w:after="20" w:before="20"/>
            </w:pPr>
            <w:r>
              <w:rPr>
                <w:rFonts w:ascii="Courier New" w:cs="Courier New" w:eastAsia="Courier New" w:hAnsi="Courier New"/>
                <w:color w:val="222222"/>
                <w:sz w:val="19"/>
                <w:szCs w:val="19"/>
              </w:rPr>
              <w:t xml:space="preserve">│   ├── main/</w:t>
            </w:r>
          </w:p>
          <w:p>
            <w:pPr>
              <w:spacing w:after="20" w:before="20"/>
            </w:pPr>
            <w:r>
              <w:rPr>
                <w:rFonts w:ascii="Courier New" w:cs="Courier New" w:eastAsia="Courier New" w:hAnsi="Courier New"/>
                <w:color w:val="222222"/>
                <w:sz w:val="19"/>
                <w:szCs w:val="19"/>
              </w:rPr>
              <w:t xml:space="preserve">│   │   ├── java/com/lfcv/           Application source code</w:t>
            </w:r>
          </w:p>
          <w:p>
            <w:pPr>
              <w:spacing w:after="20" w:before="20"/>
            </w:pPr>
            <w:r>
              <w:rPr>
                <w:rFonts w:ascii="Courier New" w:cs="Courier New" w:eastAsia="Courier New" w:hAnsi="Courier New"/>
                <w:color w:val="222222"/>
                <w:sz w:val="19"/>
                <w:szCs w:val="19"/>
              </w:rPr>
              <w:t xml:space="preserve">│   │   └── resources/               FXML layouts, CSS, config</w:t>
            </w:r>
          </w:p>
          <w:p>
            <w:pPr>
              <w:spacing w:after="20" w:before="20"/>
            </w:pPr>
            <w:r>
              <w:rPr>
                <w:rFonts w:ascii="Courier New" w:cs="Courier New" w:eastAsia="Courier New" w:hAnsi="Courier New"/>
                <w:color w:val="222222"/>
                <w:sz w:val="19"/>
                <w:szCs w:val="19"/>
              </w:rPr>
              <w:t xml:space="preserve">│   └── test/</w:t>
            </w:r>
          </w:p>
          <w:p>
            <w:pPr>
              <w:spacing w:after="20" w:before="20"/>
            </w:pPr>
            <w:r>
              <w:rPr>
                <w:rFonts w:ascii="Courier New" w:cs="Courier New" w:eastAsia="Courier New" w:hAnsi="Courier New"/>
                <w:color w:val="222222"/>
                <w:sz w:val="19"/>
                <w:szCs w:val="19"/>
              </w:rPr>
              <w:t xml:space="preserve">│       └── java/com/lfcv/           JUnit 5 test classes</w:t>
            </w:r>
          </w:p>
          <w:p>
            <w:pPr>
              <w:spacing w:after="20" w:before="20"/>
            </w:pPr>
            <w:r>
              <w:rPr>
                <w:rFonts w:ascii="Courier New" w:cs="Courier New" w:eastAsia="Courier New" w:hAnsi="Courier New"/>
                <w:color w:val="222222"/>
                <w:sz w:val="19"/>
                <w:szCs w:val="19"/>
              </w:rPr>
              <w:t xml:space="preserve">├── sample-submissions/              Six sample .java files for demo</w:t>
            </w:r>
          </w:p>
          <w:p>
            <w:pPr>
              <w:spacing w:after="20" w:before="20"/>
            </w:pPr>
            <w:r>
              <w:rPr>
                <w:rFonts w:ascii="Courier New" w:cs="Courier New" w:eastAsia="Courier New" w:hAnsi="Courier New"/>
                <w:color w:val="222222"/>
                <w:sz w:val="19"/>
                <w:szCs w:val="19"/>
              </w:rPr>
              <w:t xml:space="preserve">└── scripts/</w:t>
            </w:r>
          </w:p>
          <w:p>
            <w:pPr>
              <w:spacing w:after="20" w:before="20"/>
            </w:pPr>
            <w:r>
              <w:rPr>
                <w:rFonts w:ascii="Courier New" w:cs="Courier New" w:eastAsia="Courier New" w:hAnsi="Courier New"/>
                <w:color w:val="222222"/>
                <w:sz w:val="19"/>
                <w:szCs w:val="19"/>
              </w:rPr>
              <w:t xml:space="preserve">    └── setup_database.sql           MySQL schema creation script</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2. Source Code — com/lfcv/</w:t>
      </w:r>
    </w:p>
    <w:p>
      <w:pPr>
        <w:pStyle w:val="Heading2"/>
        <w:spacing w:after="120" w:before="240"/>
      </w:pPr>
      <w:r>
        <w:rPr>
          <w:rFonts w:ascii="Calibri" w:cs="Calibri" w:eastAsia="Calibri" w:hAnsi="Calibri"/>
          <w:b/>
          <w:bCs/>
          <w:color w:val="1A1A1A"/>
          <w:sz w:val="24"/>
          <w:szCs w:val="24"/>
        </w:rPr>
        <w:t xml:space="preserve">2.1 Root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LFCVApp.java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Main JavaFX entry point. Loads MainDashboard.fxml, sets window title and size, calls System.exit(0) on close to release thread pool resources.</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2.2 analysis/</w:t>
      </w:r>
    </w:p>
    <w:p>
      <w:pPr>
        <w:spacing w:after="80" w:before="40"/>
        <w:jc w:val="both"/>
      </w:pPr>
      <w:r>
        <w:rPr>
          <w:rFonts w:ascii="Calibri" w:cs="Calibri" w:eastAsia="Calibri" w:hAnsi="Calibri"/>
          <w:color w:val="444444"/>
          <w:sz w:val="22"/>
          <w:szCs w:val="22"/>
        </w:rPr>
        <w:t xml:space="preserve">Contains all AST visitor classes and the pipeline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AnalysisEngine.java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Facade for the entire analysis pipeline. Accepts a File and student ID, runs all visitors, builds CFG, computes hash, detects smells, returns CodeMetrics. Create a new instance per file — not thread-safe as a singleton.</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Visitors.java</w:t>
            </w:r>
          </w:p>
        </w:tc>
        <w:tc>
          <w:tcPr>
            <w:tcW w:type="dxa" w:w="6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Contains three visitor classes in one file: CyclomaticComplexityVisitor (McCabe CC per method), NestingDepthVisitor (max and average nesting depth), CouplingVisitor (CBO — counts distinct non-JDK dependencies).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CfgBuilder.java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Builds a JGraphT DirectedGraph from the AST. Two-pass: first registers method entry nodes, then traverses method bodies. Handles if, for, for-each, while, do-while, try/catch, switch, return, throw, and generic statements. Traces cross-method call edges. State resets on every build() call.</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2.3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CfgVisualizer.java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Renders a JGraphT graph onto a JavaFX Canvas. Three-stage layout: BFS rank assignment, barycenter ordering, pixel coordinate assignment. Draws gradient-filled rounded rectangle nodes with glow halos, type icons, line number badges, Bezier curve edges, dashed back-edges for loops, and arrowheads. All drawing happens on the JavaFX Application Thread.</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2.4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IntegrityService.java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Pairwise plagiarism detection across a list of CodeMetrics. Stage 1: exact SHA-256 hash comparison — O(1) per pair. Stage 2: Jaccard token-set similarity on normalised source for near-matches. Default threshold: 75%. Results sorted by severity descending.</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2.5 bulk/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BulkProcessor.java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Parallel folder scanner using a fixed ExecutorService sized to availableProcessors - 1. Recursively finds all .java files. Derives student ID from subfolder name or filename. Reports progress via JavaFX SimpleDoubleProperty and SimpleStringProperty that can be bound directly to UI widgets.</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2.6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ReportGenerator.java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Exports analysis results in multiple formats. Methods: exportGradebookCsv() — 24 column CSV using Apache Commons CSV; exportPlagiarismCsv() — flagged pairs; exportJson() — full metrics tree using Gson; exportSummaryText() — plain text cohort overview.</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EmailService.java</w:t>
            </w:r>
          </w:p>
        </w:tc>
        <w:tc>
          <w:tcPr>
            <w:tcW w:type="dxa" w:w="6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Sends per-student and professor-summary reports via JavaMail SMTP. Supports STARTTLS and SSL. Methods: sendStudentReport(), sendProfessorSummary(), testConnection(). Caller provides host, port, username, password, and TLS flag.</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2.7 model/</w:t>
      </w:r>
    </w:p>
    <w:p>
      <w:pPr>
        <w:spacing w:after="80" w:before="40"/>
        <w:jc w:val="both"/>
      </w:pPr>
      <w:r>
        <w:rPr>
          <w:rFonts w:ascii="Calibri" w:cs="Calibri" w:eastAsia="Calibri" w:hAnsi="Calibri"/>
          <w:color w:val="444444"/>
          <w:sz w:val="22"/>
          <w:szCs w:val="22"/>
        </w:rPr>
        <w:t xml:space="preserve">Immutable value objects. All use the Builder pattern. Never modified after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CodeMetrics.java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Central value object. Holds every metric for one submission: line counts, CC values, nesting stats, CBO, CFG node/edge counts, smell flags, smell list, logic hash, quality score, quality grade. Built by AnalysisEngine, consumed by the UI and reporting layer.</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PlagiarismResult.java</w:t>
            </w:r>
          </w:p>
        </w:tc>
        <w:tc>
          <w:tcPr>
            <w:tcW w:type="dxa" w:w="6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Represents one detected suspicious pair. Fields: studentIdA, studentIdB, fileA, fileB, similarityRatio, exactHashMatch. Severity is computed from the ratio: IDENTICAL &gt; HIGH &gt; MEDIUM &gt; LOW.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CfgNode.java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One node in the Control Flow Graph. Fields: id (unique int), type (NodeType enum), label (display text, max 38 chars), lineNumber. Implements equals/hashCode on id only.</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2.8 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LogicHashUtil.java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Computes the SHA-256 logic fingerprint. Clones the AST, strips comments, renames variables to VAR_0/VAR_1/..., replaces string literals with STR, serialises, and hashes. getNormalisedSource() returns the anonymised text before hashing — used for the diff view.</w:t>
            </w:r>
          </w:p>
        </w:tc>
      </w:tr>
    </w:tbl>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2.9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MainController.java</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Primary JavaFX controller. Handles all button actions: handleAnalyse(), handleBulkScan(), handleIntegrity(), handleEmailSettings(), handleZoomIn/Out/Reset(), handleExportCsv/Json/Summary(). Manages the submissions and plagiarism ObservableLists that back the tables. Calls loadCfgForSubmission() on row selection. Builds the KPI badge row via makeBadge(). Wires bulk processor progress properties to the progress bar and label.</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3. Resources — src/main/resources/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fxml/MainDashboard.fxml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Declarative FXML layout for the entire dashboard. Defines all fx:id bindings wired to MainController fields. Contains the three-tab structure: Submissions (with split-pane detail panel), CFG Viewer, and Integrity Flags.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lfcv.properties</w:t>
            </w:r>
          </w:p>
        </w:tc>
        <w:tc>
          <w:tcPr>
            <w:tcW w:type="dxa" w:w="61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Runtime configuration. Keys: db.url, db.user, db.password, analysis.complexity.high (CC threshold), analysis.plagiarism.threshold (0.0-1.0), bulk.threadpool.size. Defaults are hardcoded in AppConfig if the file is missing.</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4. Tests — src/test/java/com/lfcv/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Tests</w:t>
            </w:r>
          </w:p>
        </w:tc>
        <w:tc>
          <w:tcPr>
            <w:tcW w:type="dxa" w:w="4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What It Tests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AnalysisEngineTest.java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9</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CC accuracy, nesting depth, logic hash format, hash equality for renamed code, full pipeline, grade range bounds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IntegrityServiceTest.java</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10</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Exact hash detection, three-way identical, severity thresholds, empty/single list edge cases, similarity percentage format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CfgBuilderTest.java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Node/edge presence, IF node type, for-loop back-edge cycle, try/catch node, McCabe formula E-N+2, label non-empty</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DesignSmellDetectorTest.java</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11</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Clean code produces no smells, magic number detection, high CC flag, excessive parameters, God Class, isSpaghettiCode helper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ReportGeneratorTest.java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12</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CSV created and non-empty, header row, row count, student ID in content, JSON keys, per-student file count</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GradeCalculatorTest.java</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8</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Perfect code scores high, spaghetti scores low, grade thresholds, score bounds, breakdown keys/ranges, custom weights</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5. Sample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Folder / File</w:t>
            </w:r>
          </w:p>
        </w:tc>
        <w:tc>
          <w:tcPr>
            <w:tcW w:type="dxa" w:w="1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Expected Grade</w:t>
            </w:r>
          </w:p>
        </w:tc>
        <w:tc>
          <w:tcPr>
            <w:tcW w:type="dxa" w:w="4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S001_Alice/Stack.java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Clean, well-commented Stack. Low CC, no smells. Used as plagiarism source.</w:t>
            </w:r>
          </w:p>
        </w:tc>
      </w:tr>
      <w:tr>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S002_Bob/MyStack.java</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A</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Structurally identical to Alice. Different variable names only. Will produce IDENTICAL hash.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S003_Charlie/GradeCalc.java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Deeply nested grade calculator. Spaghetti Code and Magic Numbers detected.</w:t>
            </w:r>
          </w:p>
        </w:tc>
      </w:tr>
      <w:tr>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S004_Diana/LinkedList.java</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B</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Moderate complexity generic LinkedList. Reasonable structure.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S005_Ethan/BinarySearchTree.java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Clean recursive BST. Good comments. Low nesting.</w:t>
            </w:r>
          </w:p>
        </w:tc>
      </w:tr>
      <w:tr>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S006_Frank/DataManager.java</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F</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God Class — stack, queue, sorting, student records all in one class. Many smells.</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6. Key Dependencies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Artifact ID</w:t>
            </w:r>
          </w:p>
        </w:tc>
        <w:tc>
          <w:tcPr>
            <w:tcW w:type="dxa" w:w="1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javafx-controls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21.0.1</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Core JavaFX UI components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javafx-fxml</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21.0.1</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FXML declarative layout loading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javafx-swing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21.0.1</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SwingFXUtils for chart image conversion</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javaparser-symbol-solver-core</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3.25.8</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AST parsing, visitor support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jgrapht-core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1.5.2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Directed graph data structure for CFG</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mysql-connector-j</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8.3.0</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JDBC driver for MySQL persistence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commons-csv</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1.10.0</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CSV export</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gson</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2.10.1</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JSON export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javax.mail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1.6.2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SMTP email dispatch</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slf4j-simple</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2.0.9</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Logging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junit-jupiter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5.10.1</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Unit tests (test scope only)</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maven-shade-plugin</w:t>
            </w:r>
          </w:p>
        </w:tc>
        <w:tc>
          <w:tcPr>
            <w:tcW w:type="dxa" w:w="1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3.5.1</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Fat JAR packaging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javafx-maven-plugin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0.0.8</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javafx:run launch command</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7. Data Flow Summary</w:t>
      </w:r>
    </w:p>
    <w:p>
      <w:pPr>
        <w:spacing w:after="80" w:before="40"/>
        <w:jc w:val="both"/>
      </w:pPr>
      <w:r>
        <w:rPr>
          <w:rFonts w:ascii="Calibri" w:cs="Calibri" w:eastAsia="Calibri" w:hAnsi="Calibri"/>
          <w:color w:val="444444"/>
          <w:sz w:val="22"/>
          <w:szCs w:val="22"/>
        </w:rPr>
        <w:t xml:space="preserve">The following shows how data moves through the system from input to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before="20"/>
            </w:pPr>
            <w:r>
              <w:rPr>
                <w:rFonts w:ascii="Courier New" w:cs="Courier New" w:eastAsia="Courier New" w:hAnsi="Courier New"/>
                <w:color w:val="222222"/>
                <w:sz w:val="19"/>
                <w:szCs w:val="19"/>
              </w:rPr>
              <w:t xml:space="preserve">Input: .java file path + student ID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v</w:t>
            </w:r>
          </w:p>
          <w:p>
            <w:pPr>
              <w:spacing w:after="20" w:before="20"/>
            </w:pPr>
            <w:r>
              <w:rPr>
                <w:rFonts w:ascii="Courier New" w:cs="Courier New" w:eastAsia="Courier New" w:hAnsi="Courier New"/>
                <w:color w:val="222222"/>
                <w:sz w:val="19"/>
                <w:szCs w:val="19"/>
              </w:rPr>
              <w:t xml:space="preserve">AnalysisEngine.analyse()</w:t>
            </w:r>
          </w:p>
          <w:p>
            <w:pPr>
              <w:spacing w:after="20" w:before="20"/>
            </w:pPr>
            <w:r>
              <w:rPr>
                <w:rFonts w:ascii="Courier New" w:cs="Courier New" w:eastAsia="Courier New" w:hAnsi="Courier New"/>
                <w:color w:val="222222"/>
                <w:sz w:val="19"/>
                <w:szCs w:val="19"/>
              </w:rPr>
              <w:t xml:space="preserve">  |-- JavaParser.parse()          -&gt; CompilationUnit (AST)</w:t>
            </w:r>
          </w:p>
          <w:p>
            <w:pPr>
              <w:spacing w:after="20" w:before="20"/>
            </w:pPr>
            <w:r>
              <w:rPr>
                <w:rFonts w:ascii="Courier New" w:cs="Courier New" w:eastAsia="Courier New" w:hAnsi="Courier New"/>
                <w:color w:val="222222"/>
                <w:sz w:val="19"/>
                <w:szCs w:val="19"/>
              </w:rPr>
              <w:t xml:space="preserve">  |-- CyclomaticComplexityVisitor -&gt; Map&lt;method, CC&gt;</w:t>
            </w:r>
          </w:p>
          <w:p>
            <w:pPr>
              <w:spacing w:after="20" w:before="20"/>
            </w:pPr>
            <w:r>
              <w:rPr>
                <w:rFonts w:ascii="Courier New" w:cs="Courier New" w:eastAsia="Courier New" w:hAnsi="Courier New"/>
                <w:color w:val="222222"/>
                <w:sz w:val="19"/>
                <w:szCs w:val="19"/>
              </w:rPr>
              <w:t xml:space="preserve">  |-- NestingDepthVisitor         -&gt; maxDepth, avgDepth</w:t>
            </w:r>
          </w:p>
          <w:p>
            <w:pPr>
              <w:spacing w:after="20" w:before="20"/>
            </w:pPr>
            <w:r>
              <w:rPr>
                <w:rFonts w:ascii="Courier New" w:cs="Courier New" w:eastAsia="Courier New" w:hAnsi="Courier New"/>
                <w:color w:val="222222"/>
                <w:sz w:val="19"/>
                <w:szCs w:val="19"/>
              </w:rPr>
              <w:t xml:space="preserve">  |-- CouplingVisitor             -&gt; CBO count</w:t>
            </w:r>
          </w:p>
          <w:p>
            <w:pPr>
              <w:spacing w:after="20" w:before="20"/>
            </w:pPr>
            <w:r>
              <w:rPr>
                <w:rFonts w:ascii="Courier New" w:cs="Courier New" w:eastAsia="Courier New" w:hAnsi="Courier New"/>
                <w:color w:val="222222"/>
                <w:sz w:val="19"/>
                <w:szCs w:val="19"/>
              </w:rPr>
              <w:t xml:space="preserve">  |-- DesignSmellDetector         -&gt; List&lt;String&gt; smells</w:t>
            </w:r>
          </w:p>
          <w:p>
            <w:pPr>
              <w:spacing w:after="20" w:before="20"/>
            </w:pPr>
            <w:r>
              <w:rPr>
                <w:rFonts w:ascii="Courier New" w:cs="Courier New" w:eastAsia="Courier New" w:hAnsi="Courier New"/>
                <w:color w:val="222222"/>
                <w:sz w:val="19"/>
                <w:szCs w:val="19"/>
              </w:rPr>
              <w:t xml:space="preserve">  |-- CfgBuilder.build()          -&gt; Graph&lt;CfgNode, DefaultEdge&gt;</w:t>
            </w:r>
          </w:p>
          <w:p>
            <w:pPr>
              <w:spacing w:after="20" w:before="20"/>
            </w:pPr>
            <w:r>
              <w:rPr>
                <w:rFonts w:ascii="Courier New" w:cs="Courier New" w:eastAsia="Courier New" w:hAnsi="Courier New"/>
                <w:color w:val="222222"/>
                <w:sz w:val="19"/>
                <w:szCs w:val="19"/>
              </w:rPr>
              <w:t xml:space="preserve">  |-- LogicHashUtil.compute()     -&gt; SHA-256 hex string</w:t>
            </w:r>
          </w:p>
          <w:p>
            <w:pPr>
              <w:spacing w:after="20" w:before="20"/>
            </w:pPr>
            <w:r>
              <w:rPr>
                <w:rFonts w:ascii="Courier New" w:cs="Courier New" w:eastAsia="Courier New" w:hAnsi="Courier New"/>
                <w:color w:val="222222"/>
                <w:sz w:val="19"/>
                <w:szCs w:val="19"/>
              </w:rPr>
              <w:t xml:space="preserve">  '-- GradeCalculator             -&gt; score (0-100) + grade (A-F)</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v</w:t>
            </w:r>
          </w:p>
          <w:p>
            <w:pPr>
              <w:spacing w:after="20" w:before="20"/>
            </w:pPr>
            <w:r>
              <w:rPr>
                <w:rFonts w:ascii="Courier New" w:cs="Courier New" w:eastAsia="Courier New" w:hAnsi="Courier New"/>
                <w:color w:val="222222"/>
                <w:sz w:val="19"/>
                <w:szCs w:val="19"/>
              </w:rPr>
              <w:t xml:space="preserve">CodeMetrics (immutable value object)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 ObservableList&lt;CodeMetrics&gt;  -&gt; Submissions TableView (UI)</w:t>
            </w:r>
          </w:p>
          <w:p>
            <w:pPr>
              <w:spacing w:after="20" w:before="20"/>
            </w:pPr>
            <w:r>
              <w:rPr>
                <w:rFonts w:ascii="Courier New" w:cs="Courier New" w:eastAsia="Courier New" w:hAnsi="Courier New"/>
                <w:color w:val="222222"/>
                <w:sz w:val="19"/>
                <w:szCs w:val="19"/>
              </w:rPr>
              <w:t xml:space="preserve">  |-- SubmissionRepository         -&gt; in-memory store</w:t>
            </w:r>
          </w:p>
          <w:p>
            <w:pPr>
              <w:spacing w:after="20" w:before="20"/>
            </w:pPr>
            <w:r>
              <w:rPr>
                <w:rFonts w:ascii="Courier New" w:cs="Courier New" w:eastAsia="Courier New" w:hAnsi="Courier New"/>
                <w:color w:val="222222"/>
                <w:sz w:val="19"/>
                <w:szCs w:val="19"/>
              </w:rPr>
              <w:t xml:space="preserve">  |-- DatabaseManager              -&gt; MySQL INSERT (if connected)</w:t>
            </w:r>
          </w:p>
          <w:p>
            <w:pPr>
              <w:spacing w:after="20" w:before="20"/>
            </w:pPr>
            <w:r>
              <w:rPr>
                <w:rFonts w:ascii="Courier New" w:cs="Courier New" w:eastAsia="Courier New" w:hAnsi="Courier New"/>
                <w:color w:val="222222"/>
                <w:sz w:val="19"/>
                <w:szCs w:val="19"/>
              </w:rPr>
              <w:t xml:space="preserve">  |-- IntegrityService             -&gt; PlagiarismResult list</w:t>
            </w:r>
          </w:p>
          <w:p>
            <w:pPr>
              <w:spacing w:after="20" w:before="20"/>
            </w:pPr>
            <w:r>
              <w:rPr>
                <w:rFonts w:ascii="Courier New" w:cs="Courier New" w:eastAsia="Courier New" w:hAnsi="Courier New"/>
                <w:color w:val="222222"/>
                <w:sz w:val="19"/>
                <w:szCs w:val="19"/>
              </w:rPr>
              <w:t xml:space="preserve">  |-- ReportGenerator              -&gt; CSV / JSON / TXT files</w:t>
            </w:r>
          </w:p>
          <w:p>
            <w:pPr>
              <w:spacing w:after="20" w:before="20"/>
            </w:pPr>
            <w:r>
              <w:rPr>
                <w:rFonts w:ascii="Courier New" w:cs="Courier New" w:eastAsia="Courier New" w:hAnsi="Courier New"/>
                <w:color w:val="222222"/>
                <w:sz w:val="19"/>
                <w:szCs w:val="19"/>
              </w:rPr>
              <w:t xml:space="preserve">  |-- EmailService                 -&gt; SMTP dispatch</w:t>
            </w:r>
          </w:p>
          <w:p>
            <w:pPr>
              <w:spacing w:after="20" w:before="20"/>
            </w:pPr>
            <w:r>
              <w:rPr>
                <w:rFonts w:ascii="Courier New" w:cs="Courier New" w:eastAsia="Courier New" w:hAnsi="Courier New"/>
                <w:color w:val="222222"/>
                <w:sz w:val="19"/>
                <w:szCs w:val="19"/>
              </w:rPr>
              <w:t xml:space="preserve">  '-- CfgVisualizer                -&gt; JavaFX Canvas</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8. Thread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Thread</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Responsible For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JavaFX Application Thread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(main)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All UI updates, canvas drawing, ObservableList mutations</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Analysis Thread</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analysis-thread</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Single-file analysis — AnalysisEngine.analyse()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 Thread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cfg-render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 graph construction — CfgBuilder.build(). Canvas drawn on FX thread via Platform.runLater().</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Integrity Thread</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integrity-thread</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Pairwise hash and token comparison across all submissions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Bulk Thread Pool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pool-thread-N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One thread per .java file during bulk scan — fixed size pool</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Email Thread</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email-send / email-test</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SMTP operations — kept off FX thread to avoid blocking the UI</w:t>
            </w:r>
          </w:p>
        </w:tc>
      </w:tr>
    </w:tbl>
    <w:p>
      <w:pPr>
        <w:spacing w:after="60" w:before="60"/>
      </w:pPr>
      <w:r>
        <w:t xml:space="preserve"/>
      </w:r>
    </w:p>
    <w:p>
      <w:pPr>
        <w:spacing w:after="80" w:before="40"/>
        <w:jc w:val="both"/>
      </w:pPr>
      <w:r>
        <w:rPr>
          <w:rFonts w:ascii="Calibri" w:cs="Calibri" w:eastAsia="Calibri" w:hAnsi="Calibri"/>
          <w:color w:val="444444"/>
          <w:sz w:val="22"/>
          <w:szCs w:val="22"/>
        </w:rPr>
        <w:t xml:space="preserve">Platform.runLater() is called whenever a background thread needs to update the UI. The ObservableLists backing the tables must only be mutated on the FX thread.</w:t>
      </w:r>
    </w:p>
    <w:p>
      <w:pPr>
        <w:spacing w:after="60" w:before="60"/>
      </w:pPr>
      <w:r>
        <w:t xml:space="preserve"/>
      </w:r>
    </w:p>
    <w:p>
      <w:pPr>
        <w:spacing w:after="0" w:before="0"/>
      </w:pPr>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after="0" w:before="10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00" w:before="0"/>
    </w:pPr>
    <w:r>
      <w:rPr>
        <w:rFonts w:ascii="Calibri" w:cs="Calibri" w:eastAsia="Calibri" w:hAnsi="Calibri"/>
        <w:color w:val="888888"/>
        <w:sz w:val="18"/>
        <w:szCs w:val="18"/>
      </w:rPr>
      <w:t xml:space="preserve">LFCV v2.0  |  Code Directory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 w:type="paragraph" w:styleId="Heading3">
    <w:name w:val="Heading 3"/>
    <w:basedOn w:val="Normal"/>
    <w:next w:val="Normal"/>
    <w:qFormat/>
    <w:pPr>
      <w:spacing w:after="8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2026-04-20T04:01:56.673Z</dcterms:created>
  <dcterms:modified xsi:type="dcterms:W3CDTF">2026-04-20T04:01:56.673Z</dcterms:modified>
</cp:coreProperties>
</file>

<file path=docProps/custom.xml><?xml version="1.0" encoding="utf-8"?>
<Properties xmlns="http://schemas.openxmlformats.org/officeDocument/2006/custom-properties" xmlns:vt="http://schemas.openxmlformats.org/officeDocument/2006/docPropsVTypes"/>
</file>