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best-in-class, board-grade </w:t>
      </w:r>
      <w:proofErr w:type="spell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Hoshin</w:t>
      </w:r>
      <w:proofErr w:type="spellEnd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Kanri</w:t>
      </w:r>
      <w:proofErr w:type="spellEnd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(Policy Deployment) diagram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, designed to withstand scrutiny from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Japanese NTT-grade engineers and strategists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br/>
        <w:t xml:space="preserve">It strictly follows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true </w:t>
      </w:r>
      <w:proofErr w:type="spell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Hoshin</w:t>
      </w:r>
      <w:proofErr w:type="spellEnd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 (Breakthrough → Annual → Deployment → </w:t>
      </w:r>
      <w:proofErr w:type="spell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Catchball</w:t>
      </w:r>
      <w:proofErr w:type="spellEnd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Control)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and is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synchronized with the 5-year roadmap and gates referenced in the attached Board Deck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FINAL BOARD DECK V2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a generic </w:t>
      </w:r>
      <w:proofErr w:type="spell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Hoshin</w:t>
      </w:r>
      <w:proofErr w:type="spellEnd"/>
      <w:r w:rsidRPr="00B56FEF">
        <w:rPr>
          <w:rFonts w:ascii="Times New Roman" w:eastAsia="Times New Roman" w:hAnsi="Times New Roman" w:cs="Times New Roman"/>
          <w:sz w:val="24"/>
          <w:szCs w:val="24"/>
        </w:rPr>
        <w:t>. It is engineered for:</w:t>
      </w:r>
    </w:p>
    <w:p w:rsidR="00B56FEF" w:rsidRPr="00B56FEF" w:rsidRDefault="00B56FEF" w:rsidP="00B56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Capital-intensive telecom environments</w:t>
      </w:r>
    </w:p>
    <w:p w:rsidR="00B56FEF" w:rsidRPr="00B56FEF" w:rsidRDefault="00B56FEF" w:rsidP="00B56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M&amp;A readiness and post-merger integration discipline</w:t>
      </w:r>
    </w:p>
    <w:p w:rsidR="00B56FEF" w:rsidRPr="00B56FEF" w:rsidRDefault="00B56FEF" w:rsidP="00B56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OTT, VAS, and Enterprise </w:t>
      </w:r>
      <w:proofErr w:type="spellStart"/>
      <w:r w:rsidRPr="00B56FEF">
        <w:rPr>
          <w:rFonts w:ascii="Times New Roman" w:eastAsia="Times New Roman" w:hAnsi="Times New Roman" w:cs="Times New Roman"/>
          <w:sz w:val="24"/>
          <w:szCs w:val="24"/>
        </w:rPr>
        <w:t>monetisation</w:t>
      </w:r>
      <w:proofErr w:type="spellEnd"/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with economic guardrails</w:t>
      </w:r>
    </w:p>
    <w:p w:rsidR="00B56FEF" w:rsidRPr="00B56FEF" w:rsidRDefault="00B56FEF" w:rsidP="00B56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Distribution and go-to-market operating-model reset</w:t>
      </w:r>
    </w:p>
    <w:p w:rsidR="00B56FEF" w:rsidRPr="00B56FEF" w:rsidRDefault="00B56FEF" w:rsidP="00B56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IPO / strategic-merger optionality under asymmetric capital conditions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56F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DISHHOME — 5-YEAR HOSHIN KANRI POLICY DEPLOYMENT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(True Japanese-style, X-Matrix logic explained in linear form)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I. LONG-TERM BREAKTHROUGH OBJECTIVES (5-YEAR HORIZON)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(“True North” – non-negotiable outcomes)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944"/>
        <w:gridCol w:w="3807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Breakthrough Objective (2025–2030)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Restore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EBITDA quality ≥20%</w:t>
            </w: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Cash EBITDA ≥15%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Valuation credibility precedes any IPO or M&amp;A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 + VAS to ≥30% of EBITDA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hedge against price-led consumer wars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Achieve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M&amp;A-ready operating architecture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Enables consolidation without value leakage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Establish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OTT as churn-</w:t>
            </w:r>
            <w:proofErr w:type="spellStart"/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defence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ecosystem lever</w:t>
            </w: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, not a cost center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ARPU erosion while avoiding content traps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B5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capital-contingent strategic freedom</w:t>
            </w: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(IPO </w:t>
            </w: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Merger)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must survive both outcomes</w:t>
            </w:r>
          </w:p>
        </w:tc>
      </w:tr>
    </w:tbl>
    <w:p w:rsidR="00B56FEF" w:rsidRPr="00B56FEF" w:rsidRDefault="00B56FEF" w:rsidP="00B56F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NTT discipline lens</w:t>
      </w:r>
      <w:proofErr w:type="gram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56FEF">
        <w:rPr>
          <w:rFonts w:ascii="Times New Roman" w:eastAsia="Times New Roman" w:hAnsi="Times New Roman" w:cs="Times New Roman"/>
          <w:sz w:val="24"/>
          <w:szCs w:val="24"/>
        </w:rPr>
        <w:br/>
        <w:t>Breakthroughs are outcome-based, not initiative-based. None depend on “growth optimism.”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II. 3–5 YEAR STRATEGIC THEMES (HOSHIN FOCUS AREAS)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(Few, hard choices — not a laundry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4"/>
        <w:gridCol w:w="4356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Strategic Intent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S1 — Financial Core First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Cash, controls, ROIC gating before growth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S2 — Enterprise-Led Value Expansion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SLA-backed, predictable, high-margin revenues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S3 — OTT &amp; VAS With Economic Guardrails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Bundling, retention, diaspora </w:t>
            </w: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monetisation</w:t>
            </w:r>
            <w:proofErr w:type="spellEnd"/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S4 — Programmable Network &amp; Distribution Reset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Scale efficiency + M&amp;A integration readiness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S5 — Capital &amp; Consolidation Optionality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Pre-designed paths, not reactive deals</w:t>
            </w:r>
          </w:p>
        </w:tc>
      </w:tr>
    </w:tbl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III. ANNUAL HOSHIN OBJECTIVES (FIRST 24 MONTHS – MOST CRITICAL)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(Pulled directly from the roadmap sequencing in the attachment)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>FINAL BOARD DECK V2</w: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YEAR 1 (FOUNDATION &amp;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129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 Objective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Stabilise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EBITDA to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≥18% run-rate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Restore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operating cash predictability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Launch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 GTM v1</w:t>
            </w: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SLA discipline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Reset OTT into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bundling-led, ROI-guarded model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PMO + governance + audit closure</w:t>
            </w:r>
          </w:p>
        </w:tc>
      </w:tr>
    </w:tbl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YEAR 2 (OPTIONALITY &amp; SCALE READINESS)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5268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 Objective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Reach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 ≥15% of EBITDA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OSS/BSS &amp; NOC hardening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A8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Achieve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M&amp;A / IPO decision readiness gate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A9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 </w:t>
            </w: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vendor &amp; distributor consolidation wave-1</w:t>
            </w:r>
          </w:p>
        </w:tc>
      </w:tr>
    </w:tbl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IV. DEPLOYMENT: KEY INITIATIVES BY STRATEGIC THEME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is where most </w:t>
      </w:r>
      <w:proofErr w:type="spellStart"/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Hoshins</w:t>
      </w:r>
      <w:proofErr w:type="spellEnd"/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fail — specificity matters)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S1 — FINANCIAL CORE (MANDATORY, ALL SCENARIOS)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234"/>
        <w:gridCol w:w="2188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Zero-Based Budgeting reset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Cost baseline reset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Weekly flash close + variance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EBITDA visibility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Capex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ROIC gates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CFO / PMO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Demand-linked </w:t>
            </w: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capex</w:t>
            </w:r>
            <w:proofErr w:type="spellEnd"/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FX exposure cap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Treasury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≤2% revenue impact</w:t>
            </w:r>
          </w:p>
        </w:tc>
      </w:tr>
    </w:tbl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linked: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B1, B5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br/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 avoided: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Capital destroys value instead of enabling it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S2 — ENTERPRISE &amp; VAS (MARGIN ENGINE)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767"/>
        <w:gridCol w:w="2868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Account-Based Selling (ABM)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CCO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Qualified enterprise pipeline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SLA product catalogue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Standardised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SKUs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Kano-based service stack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PMO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Must-have / Delighter clarity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Datalaya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-backed hosting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Infra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Sovereign data services</w:t>
            </w:r>
          </w:p>
        </w:tc>
      </w:tr>
    </w:tbl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linked: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B2, B3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br/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NTT logic: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Enterprise is a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risk reducer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>, not just a growth bet.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S3 — OTT &amp; VAS (DEFENSIVE, NOT SPECULATIVE)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249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Initiative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Guardrail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Bundled OTT tiers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No standalone subsidy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Churn-based ROI tests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Cohort-level proof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Diaspora pricing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Geo-segmented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Ad-supported models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Partner-first</w:t>
            </w:r>
          </w:p>
        </w:tc>
      </w:tr>
    </w:tbl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prohibitions (</w:t>
      </w:r>
      <w:proofErr w:type="spell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Hoshin</w:t>
      </w:r>
      <w:proofErr w:type="spellEnd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discipline):</w:t>
      </w:r>
    </w:p>
    <w:p w:rsidR="00B56FEF" w:rsidRPr="00B56FEF" w:rsidRDefault="00B56FEF" w:rsidP="00B56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No exclusive content bidding</w:t>
      </w:r>
    </w:p>
    <w:p w:rsidR="00B56FEF" w:rsidRPr="00B56FEF" w:rsidRDefault="00B56FEF" w:rsidP="00B56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No minimum guarantees without scale proof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linked: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B4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br/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 avoided: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OTT becoming a valuation drag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S4 — TECHNOLOGY, NOC &amp; DISTRIBUTION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581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AI-NOC pilot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uptime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IAM + SIEM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Zero-tolerance access risk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OSS/BSS unification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M&amp;A-ready stack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Distributor SOPs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Cost-to-serve reduction</w:t>
            </w:r>
          </w:p>
        </w:tc>
      </w:tr>
    </w:tbl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linked: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B3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br/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NTT lens: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Integration readiness is engineered, not improvised.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6FEF">
        <w:rPr>
          <w:rFonts w:ascii="Times New Roman" w:eastAsia="Times New Roman" w:hAnsi="Times New Roman" w:cs="Times New Roman"/>
          <w:b/>
          <w:bCs/>
          <w:sz w:val="27"/>
          <w:szCs w:val="27"/>
        </w:rPr>
        <w:t>S5 — M&amp;A &amp; CAPITAL PATHWAYS (PRE-DESIGNED)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981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IPO-led bolt-on M&amp;A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EBITDA + cash gates met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merger (WL)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Capital asymmetry persists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Satellite / </w:t>
            </w:r>
            <w:proofErr w:type="spellStart"/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Starlink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Selective enterprise / rural use</w:t>
            </w:r>
          </w:p>
        </w:tc>
      </w:tr>
    </w:tbl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</w:p>
    <w:p w:rsidR="00B56FEF" w:rsidRPr="00B56FEF" w:rsidRDefault="00B56FEF" w:rsidP="00B56F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Capital outcome determines where DishHome plays — not what it believes.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Breakthrough linked: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B5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br/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Failure mode avoided: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Reactive consolidation under distress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V. CATCHBALL ALIGNMENT (CRITICAL FOR JAPANESE SCRUTINY)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888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Catchball</w:t>
            </w:r>
            <w:proofErr w:type="spellEnd"/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Mechanism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Board ↔ CEO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 KPI gates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CEO ↔ PMO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Monthly initiative scorecards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PMO ↔ Functions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Weekly variance &amp; blockers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Audit ↔ Management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Closure as KPI</w:t>
            </w:r>
          </w:p>
        </w:tc>
      </w:tr>
    </w:tbl>
    <w:p w:rsidR="00B56FEF" w:rsidRPr="00B56FEF" w:rsidRDefault="00B56FEF" w:rsidP="00B56F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Japanese standard</w:t>
      </w:r>
      <w:proofErr w:type="gram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56FEF">
        <w:rPr>
          <w:rFonts w:ascii="Times New Roman" w:eastAsia="Times New Roman" w:hAnsi="Times New Roman" w:cs="Times New Roman"/>
          <w:sz w:val="24"/>
          <w:szCs w:val="24"/>
        </w:rPr>
        <w:br/>
        <w:t xml:space="preserve">Strategy is not “approved once” — it is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re-negotiated continuously through data</w:t>
      </w:r>
      <w:r w:rsidRPr="00B56F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VI. CONTROL &amp; REVIEW (HOSHIN CHECK)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(What ensures this does not become a PowerPoint exercise)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289"/>
      </w:tblGrid>
      <w:tr w:rsidR="00B56FEF" w:rsidRPr="00B56FEF" w:rsidTr="00B56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Cadence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EBITDA &amp; Cash gates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Audit risk closure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pipeline health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OTT ROI proof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B56FEF" w:rsidRPr="00B56FEF" w:rsidTr="00B56F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M&amp;A readiness score</w:t>
            </w:r>
          </w:p>
        </w:tc>
        <w:tc>
          <w:tcPr>
            <w:tcW w:w="0" w:type="auto"/>
            <w:vAlign w:val="center"/>
            <w:hideMark/>
          </w:tcPr>
          <w:p w:rsidR="00B56FEF" w:rsidRPr="00B56FEF" w:rsidRDefault="00B56FEF" w:rsidP="00B56F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FEF">
              <w:rPr>
                <w:rFonts w:ascii="Times New Roman" w:eastAsia="Times New Roman" w:hAnsi="Times New Roman" w:cs="Times New Roman"/>
                <w:sz w:val="24"/>
                <w:szCs w:val="24"/>
              </w:rPr>
              <w:t>Semi-annual</w:t>
            </w:r>
          </w:p>
        </w:tc>
      </w:tr>
    </w:tbl>
    <w:p w:rsidR="00B56FEF" w:rsidRPr="00B56FEF" w:rsidRDefault="00B56FEF" w:rsidP="00B56F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56FEF" w:rsidRPr="00B56FEF" w:rsidRDefault="00B56FEF" w:rsidP="00B56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6FEF">
        <w:rPr>
          <w:rFonts w:ascii="Times New Roman" w:eastAsia="Times New Roman" w:hAnsi="Times New Roman" w:cs="Times New Roman"/>
          <w:b/>
          <w:bCs/>
          <w:sz w:val="36"/>
          <w:szCs w:val="36"/>
        </w:rPr>
        <w:t>VII. FINAL HOSHIN TEST (NTT-GRADE)</w:t>
      </w:r>
    </w:p>
    <w:p w:rsidR="00B56FEF" w:rsidRPr="00B56FEF" w:rsidRDefault="00B56FEF" w:rsidP="00B56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B56FEF">
        <w:rPr>
          <w:rFonts w:ascii="Times New Roman" w:eastAsia="Times New Roman" w:hAnsi="Times New Roman" w:cs="Times New Roman"/>
          <w:sz w:val="24"/>
          <w:szCs w:val="24"/>
        </w:rPr>
        <w:t>Hoshin</w:t>
      </w:r>
      <w:proofErr w:type="spellEnd"/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 passes if:</w:t>
      </w:r>
    </w:p>
    <w:p w:rsidR="00B56FEF" w:rsidRPr="00B56FEF" w:rsidRDefault="00B56FEF" w:rsidP="00B56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works without IPO</w:t>
      </w:r>
    </w:p>
    <w:p w:rsidR="00B56FEF" w:rsidRPr="00B56FEF" w:rsidRDefault="00B56FEF" w:rsidP="00B56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works with IPO</w:t>
      </w:r>
    </w:p>
    <w:p w:rsidR="00B56FEF" w:rsidRPr="00B56FEF" w:rsidRDefault="00B56FEF" w:rsidP="00B56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prevents bad M&amp;A</w:t>
      </w:r>
    </w:p>
    <w:p w:rsidR="00B56FEF" w:rsidRPr="00B56FEF" w:rsidRDefault="00B56FEF" w:rsidP="00B56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forces economic proof</w:t>
      </w:r>
    </w:p>
    <w:p w:rsidR="00B56FEF" w:rsidRPr="00B56FEF" w:rsidRDefault="00B56FEF" w:rsidP="00B56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treats control as value creation</w:t>
      </w:r>
    </w:p>
    <w:p w:rsidR="00B56FEF" w:rsidRPr="00B56FEF" w:rsidRDefault="00B56FEF" w:rsidP="00B56F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Board-level takeaway</w:t>
      </w:r>
      <w:proofErr w:type="gramStart"/>
      <w:r w:rsidRPr="00B56F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56FEF">
        <w:rPr>
          <w:rFonts w:ascii="Times New Roman" w:eastAsia="Times New Roman" w:hAnsi="Times New Roman" w:cs="Times New Roman"/>
          <w:sz w:val="24"/>
          <w:szCs w:val="24"/>
        </w:rPr>
        <w:br/>
      </w: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t>DishHome is not pursuing growth, OTT, or M&amp;A.</w:t>
      </w:r>
      <w:r w:rsidRPr="00B56FEF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It is engineering strategic freedom under capital asymmetry.</w:t>
      </w:r>
    </w:p>
    <w:p w:rsidR="00544619" w:rsidRDefault="00544619">
      <w:bookmarkStart w:id="0" w:name="_GoBack"/>
      <w:bookmarkEnd w:id="0"/>
    </w:p>
    <w:sectPr w:rsidR="0054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051EB"/>
    <w:multiLevelType w:val="multilevel"/>
    <w:tmpl w:val="E02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A2733"/>
    <w:multiLevelType w:val="multilevel"/>
    <w:tmpl w:val="2964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6756CC"/>
    <w:multiLevelType w:val="multilevel"/>
    <w:tmpl w:val="459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FEF"/>
    <w:rsid w:val="00544619"/>
    <w:rsid w:val="00B5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A86EE-3AC9-4920-A232-F6692326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6F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6F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6F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F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6F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6F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6FEF"/>
    <w:rPr>
      <w:b/>
      <w:bCs/>
    </w:rPr>
  </w:style>
  <w:style w:type="character" w:customStyle="1" w:styleId="relative">
    <w:name w:val="relative"/>
    <w:basedOn w:val="DefaultParagraphFont"/>
    <w:rsid w:val="00B56FEF"/>
  </w:style>
  <w:style w:type="paragraph" w:customStyle="1" w:styleId="not-prose">
    <w:name w:val="not-prose"/>
    <w:basedOn w:val="Normal"/>
    <w:rsid w:val="00B5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56F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0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2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7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50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2026-01-09T01:56:00Z</dcterms:created>
  <dcterms:modified xsi:type="dcterms:W3CDTF">2026-01-09T01:56:00Z</dcterms:modified>
</cp:coreProperties>
</file>