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Aptos Display" w:hAnsi="Aptos Display"/>
          <w:b/>
          <w:color w:val="1F4E79"/>
          <w:sz w:val="48"/>
        </w:rPr>
        <w:t>End-to-End MLOps Workflow for Heart Disease Classification</w:t>
      </w:r>
    </w:p>
    <w:p>
      <w:pPr>
        <w:spacing w:after="360"/>
        <w:jc w:val="center"/>
      </w:pPr>
      <w:r>
        <w:rPr>
          <w:color w:val="666666"/>
          <w:sz w:val="24"/>
        </w:rPr>
        <w:t>Final Written Report</w:t>
      </w:r>
    </w:p>
    <w:tbl>
      <w:tblPr>
        <w:tblW w:type="auto" w:w="0"/>
        <w:jc w:val="center"/>
        <w:tblLayout w:type="fixed"/>
        <w:tblLook w:firstColumn="1" w:firstRow="1" w:lastColumn="0" w:lastRow="0" w:noHBand="0" w:noVBand="1" w:val="04A0"/>
      </w:tblPr>
      <w:tblGrid>
        <w:gridCol w:w="9144"/>
      </w:tblGrid>
      <w:tr>
        <w:tc>
          <w:tcPr>
            <w:tcW w:type="dxa" w:w="9792"/>
            <w:shd w:fill="D9EAF7"/>
            <w:tcMar>
              <w:top w:w="130" w:type="dxa"/>
              <w:start w:w="150" w:type="dxa"/>
              <w:bottom w:w="130" w:type="dxa"/>
              <w:end w:w="150" w:type="dxa"/>
            </w:tcMar>
            <w:vAlign w:val="center"/>
          </w:tcPr>
          <w:p>
            <w:r>
              <w:rPr>
                <w:b/>
                <w:color w:val="203864"/>
              </w:rPr>
              <w:t xml:space="preserve">Submission  </w:t>
            </w:r>
            <w:r>
              <w:t>This report documents the implemented machine-learning lifecycle, experiment tracking, model-serving API, automated quality checks, repository structure, and remaining infrastructure limitations.</w:t>
            </w:r>
          </w:p>
        </w:tc>
      </w:tr>
    </w:tbl>
    <w:p>
      <w:pPr>
        <w:spacing w:after="40"/>
      </w:pPr>
    </w:p>
    <w:p>
      <w:pPr>
        <w:spacing w:before="480"/>
        <w:jc w:val="center"/>
      </w:pPr>
      <w:r>
        <w:rPr>
          <w:b/>
          <w:sz w:val="22"/>
        </w:rPr>
        <w:t>Submitted by</w:t>
      </w:r>
    </w:p>
    <w:p>
      <w:pPr>
        <w:jc w:val="center"/>
      </w:pPr>
      <w:r>
        <w:rPr>
          <w:b/>
          <w:color w:val="1F4E79"/>
          <w:sz w:val="32"/>
        </w:rPr>
        <w:t>Pramit Ganguly</w:t>
      </w:r>
    </w:p>
    <w:p>
      <w:pPr>
        <w:jc w:val="center"/>
      </w:pPr>
      <w:r>
        <w:t>MLOps Assignment 01 - 2026</w:t>
      </w:r>
    </w:p>
    <w:p>
      <w:pPr>
        <w:spacing w:before="360"/>
        <w:jc w:val="center"/>
      </w:pPr>
      <w:r>
        <w:rPr>
          <w:b/>
        </w:rPr>
        <w:t>GitHub repository</w:t>
      </w:r>
    </w:p>
    <w:p>
      <w:pPr>
        <w:jc w:val="center"/>
      </w:pPr>
      <w:hyperlink r:id="rId10">
        <w:r>
          <w:rPr>
            <w:color w:val="0563C1"/>
            <w:u w:val="single"/>
          </w:rPr>
          <w:t>https://github.com/Pramit-Bits/MLOPS_Assignment</w:t>
        </w:r>
      </w:hyperlink>
    </w:p>
    <w:p>
      <w:pPr>
        <w:spacing w:before="480"/>
        <w:jc w:val="center"/>
      </w:pPr>
      <w:r>
        <w:rPr>
          <w:b/>
          <w:color w:val="ED7D31"/>
        </w:rPr>
        <w:t>Educational-use notice</w:t>
      </w:r>
    </w:p>
    <w:p>
      <w:pPr>
        <w:jc w:val="center"/>
      </w:pPr>
      <w:r>
        <w:rPr>
          <w:i/>
        </w:rPr>
        <w:t>The model is an academic MLOps demonstration and is not intended for clinical diagnosis or medical decision-making.</w:t>
      </w:r>
    </w:p>
    <w:p>
      <w:r>
        <w:br w:type="page"/>
      </w:r>
    </w:p>
    <w:p>
      <w:pPr>
        <w:pStyle w:val="Heading1"/>
        <w:keepNext/>
      </w:pPr>
      <w:r>
        <w:t>1. Executive Summary</w:t>
      </w:r>
    </w:p>
    <w:p>
      <w:pPr>
        <w:spacing w:after="140" w:line="259" w:lineRule="auto"/>
      </w:pPr>
      <w:r>
        <w:t>This project implements a reproducible classification workflow using the UCI Heart Disease dataset. The work covers data acquisition, data-quality checks, exploratory analysis, preprocessing, model comparison, hyperparameter tuning, experiment tracking, model packaging, API serving, application metrics, automated tests, and code-quality validation.</w:t>
      </w:r>
    </w:p>
    <w:p>
      <w:pPr>
        <w:spacing w:after="140" w:line="259" w:lineRule="auto"/>
      </w:pPr>
      <w:r>
        <w:t>The primary design objective was to complete the largest possible portion of the assignment using a simple, low-cost stack that runs in GitHub Codespaces. Logistic Regression was used as an interpretable baseline and Random Forest as a non-linear comparison model. Both candidates were evaluated with stratified splitting, five-fold stratified cross-validation, and multiple classification metrics.</w:t>
      </w:r>
    </w:p>
    <w:p>
      <w:pPr>
        <w:pStyle w:val="Heading2"/>
        <w:keepNext/>
      </w:pPr>
      <w:r>
        <w:t>1.1 Implemented scope</w:t>
      </w:r>
    </w:p>
    <w:p>
      <w:pPr>
        <w:pStyle w:val="ListBullet"/>
        <w:spacing w:after="80"/>
      </w:pPr>
      <w:r>
        <w:t>Executed EDA and preprocessing notebook with saved visual outputs.</w:t>
      </w:r>
    </w:p>
    <w:p>
      <w:pPr>
        <w:pStyle w:val="ListBullet"/>
        <w:spacing w:after="80"/>
      </w:pPr>
      <w:r>
        <w:t>Reproducible scikit-learn preprocessing and training pipeline.</w:t>
      </w:r>
    </w:p>
    <w:p>
      <w:pPr>
        <w:pStyle w:val="ListBullet"/>
        <w:spacing w:after="80"/>
      </w:pPr>
      <w:r>
        <w:t>MLflow tracking using a local SQLite backend.</w:t>
      </w:r>
    </w:p>
    <w:p>
      <w:pPr>
        <w:pStyle w:val="ListBullet"/>
        <w:spacing w:after="80"/>
      </w:pPr>
      <w:r>
        <w:t>Serialized final model pipeline and model metadata.</w:t>
      </w:r>
    </w:p>
    <w:p>
      <w:pPr>
        <w:pStyle w:val="ListBullet"/>
        <w:spacing w:after="80"/>
      </w:pPr>
      <w:r>
        <w:t>FastAPI service with /health, /predict, and /metrics endpoints.</w:t>
      </w:r>
    </w:p>
    <w:p>
      <w:pPr>
        <w:pStyle w:val="ListBullet"/>
        <w:spacing w:after="80"/>
      </w:pPr>
      <w:r>
        <w:t>Prometheus-compatible counters and latency metrics.</w:t>
      </w:r>
    </w:p>
    <w:p>
      <w:pPr>
        <w:pStyle w:val="ListBullet"/>
        <w:spacing w:after="80"/>
      </w:pPr>
      <w:r>
        <w:t>Pytest model and API tests, plus Ruff linting.</w:t>
      </w:r>
    </w:p>
    <w:p>
      <w:pPr>
        <w:pStyle w:val="ListBullet"/>
        <w:spacing w:after="80"/>
      </w:pPr>
      <w:r>
        <w:t>Repository documentation, figures, reports, logs, and screenshots.</w:t>
      </w:r>
    </w:p>
    <w:p>
      <w:pPr>
        <w:pStyle w:val="Heading2"/>
        <w:keepNext/>
      </w:pPr>
      <w:r>
        <w:t>1.2 Current limitations</w:t>
      </w:r>
    </w:p>
    <w:p>
      <w:pPr>
        <w:spacing w:after="140" w:line="259" w:lineRule="auto"/>
      </w:pPr>
      <w:r>
        <w:t>Docker image creation, Kubernetes deployment, and an external Prometheus/Grafana deployment were not completed within the available execution time and restricted local environment. These omissions are stated explicitly so that the report does not overstate the achieved deployment maturity.</w:t>
      </w:r>
    </w:p>
    <w:tbl>
      <w:tblPr>
        <w:tblW w:type="auto" w:w="0"/>
        <w:jc w:val="center"/>
        <w:tblLayout w:type="fixed"/>
        <w:tblLook w:firstColumn="1" w:firstRow="1" w:lastColumn="0" w:lastRow="0" w:noHBand="0" w:noVBand="1" w:val="04A0"/>
      </w:tblPr>
      <w:tblGrid>
        <w:gridCol w:w="9144"/>
      </w:tblGrid>
      <w:tr>
        <w:tc>
          <w:tcPr>
            <w:tcW w:type="dxa" w:w="9792"/>
            <w:shd w:fill="D9EAF7"/>
            <w:tcMar>
              <w:top w:w="130" w:type="dxa"/>
              <w:start w:w="150" w:type="dxa"/>
              <w:bottom w:w="130" w:type="dxa"/>
              <w:end w:w="150" w:type="dxa"/>
            </w:tcMar>
            <w:vAlign w:val="center"/>
          </w:tcPr>
          <w:p>
            <w:r>
              <w:rPr>
                <w:b/>
                <w:color w:val="203864"/>
              </w:rPr>
              <w:t xml:space="preserve">Overall outcome  </w:t>
            </w:r>
            <w:r>
              <w:t>The completed repository demonstrates the full model-development lifecycle through a tested, monitoring-ready API. The remaining work is infrastructure packaging and orchestration rather than core model development.</w:t>
            </w:r>
          </w:p>
        </w:tc>
      </w:tr>
    </w:tbl>
    <w:p>
      <w:pPr>
        <w:spacing w:after="40"/>
      </w:pPr>
    </w:p>
    <w:p>
      <w:r>
        <w:br w:type="page"/>
      </w:r>
    </w:p>
    <w:p>
      <w:pPr>
        <w:pStyle w:val="Heading1"/>
        <w:keepNext/>
      </w:pPr>
      <w:r>
        <w:t>2. Solution Architecture and Repository Design</w:t>
      </w:r>
    </w:p>
    <w:p>
      <w:pPr>
        <w:spacing w:after="140" w:line="259" w:lineRule="auto"/>
      </w:pPr>
      <w:r>
        <w:t>The solution separates exploratory work, production-style training, model artifacts, serving code, tests, reports, and workflow configuration. This makes the project easier to reproduce and allows later CI/CD or container deployment without rewriting the core model logic.</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3264"/>
            <w:shd w:fill="1F4E79"/>
            <w:tcMar>
              <w:top w:w="90" w:type="dxa"/>
              <w:start w:w="110" w:type="dxa"/>
              <w:bottom w:w="90" w:type="dxa"/>
              <w:end w:w="110" w:type="dxa"/>
            </w:tcMar>
            <w:vAlign w:val="center"/>
          </w:tcPr>
          <w:p>
            <w:pPr>
              <w:jc w:val="center"/>
            </w:pPr>
            <w:r>
              <w:rPr>
                <w:b/>
                <w:color w:val="FFFFFF"/>
                <w:sz w:val="18"/>
              </w:rPr>
              <w:t>Layer</w:t>
            </w:r>
          </w:p>
        </w:tc>
        <w:tc>
          <w:tcPr>
            <w:tcW w:type="dxa" w:w="3264"/>
            <w:shd w:fill="1F4E79"/>
            <w:tcMar>
              <w:top w:w="90" w:type="dxa"/>
              <w:start w:w="110" w:type="dxa"/>
              <w:bottom w:w="90" w:type="dxa"/>
              <w:end w:w="110" w:type="dxa"/>
            </w:tcMar>
            <w:vAlign w:val="center"/>
          </w:tcPr>
          <w:p>
            <w:pPr>
              <w:jc w:val="center"/>
            </w:pPr>
            <w:r>
              <w:rPr>
                <w:b/>
                <w:color w:val="FFFFFF"/>
                <w:sz w:val="18"/>
              </w:rPr>
              <w:t>Implementation</w:t>
            </w:r>
          </w:p>
        </w:tc>
        <w:tc>
          <w:tcPr>
            <w:tcW w:type="dxa" w:w="3264"/>
            <w:shd w:fill="1F4E79"/>
            <w:tcMar>
              <w:top w:w="90" w:type="dxa"/>
              <w:start w:w="110" w:type="dxa"/>
              <w:bottom w:w="90" w:type="dxa"/>
              <w:end w:w="110" w:type="dxa"/>
            </w:tcMar>
            <w:vAlign w:val="center"/>
          </w:tcPr>
          <w:p>
            <w:pPr>
              <w:jc w:val="center"/>
            </w:pPr>
            <w:r>
              <w:rPr>
                <w:b/>
                <w:color w:val="FFFFFF"/>
                <w:sz w:val="18"/>
              </w:rPr>
              <w:t>Purpose</w:t>
            </w:r>
          </w:p>
        </w:tc>
      </w:tr>
      <w:tr>
        <w:tc>
          <w:tcPr>
            <w:tcW w:type="dxa" w:w="1512"/>
            <w:tcMar>
              <w:top w:w="90" w:type="dxa"/>
              <w:start w:w="110" w:type="dxa"/>
              <w:bottom w:w="90" w:type="dxa"/>
              <w:end w:w="110" w:type="dxa"/>
            </w:tcMar>
            <w:vAlign w:val="center"/>
          </w:tcPr>
          <w:p>
            <w:pPr>
              <w:spacing w:after="0"/>
            </w:pPr>
            <w:r>
              <w:rPr>
                <w:b/>
                <w:sz w:val="18"/>
              </w:rPr>
              <w:t>Data</w:t>
            </w:r>
          </w:p>
        </w:tc>
        <w:tc>
          <w:tcPr>
            <w:tcW w:type="dxa" w:w="3024"/>
            <w:tcMar>
              <w:top w:w="90" w:type="dxa"/>
              <w:start w:w="110" w:type="dxa"/>
              <w:bottom w:w="90" w:type="dxa"/>
              <w:end w:w="110" w:type="dxa"/>
            </w:tcMar>
            <w:vAlign w:val="center"/>
          </w:tcPr>
          <w:p>
            <w:pPr>
              <w:spacing w:after="0"/>
            </w:pPr>
            <w:r>
              <w:rPr>
                <w:sz w:val="18"/>
              </w:rPr>
              <w:t>UCI dataset; raw and processed CSV files</w:t>
            </w:r>
          </w:p>
        </w:tc>
        <w:tc>
          <w:tcPr>
            <w:tcW w:type="dxa" w:w="4536"/>
            <w:tcMar>
              <w:top w:w="90" w:type="dxa"/>
              <w:start w:w="110" w:type="dxa"/>
              <w:bottom w:w="90" w:type="dxa"/>
              <w:end w:w="110" w:type="dxa"/>
            </w:tcMar>
            <w:vAlign w:val="center"/>
          </w:tcPr>
          <w:p>
            <w:pPr>
              <w:spacing w:after="0"/>
            </w:pPr>
            <w:r>
              <w:rPr>
                <w:sz w:val="18"/>
              </w:rPr>
              <w:t>Preserve source data and cleaned model input.</w:t>
            </w:r>
          </w:p>
        </w:tc>
      </w:tr>
      <w:tr>
        <w:tc>
          <w:tcPr>
            <w:tcW w:type="dxa" w:w="1512"/>
            <w:tcMar>
              <w:top w:w="90" w:type="dxa"/>
              <w:start w:w="110" w:type="dxa"/>
              <w:bottom w:w="90" w:type="dxa"/>
              <w:end w:w="110" w:type="dxa"/>
            </w:tcMar>
            <w:vAlign w:val="center"/>
          </w:tcPr>
          <w:p>
            <w:pPr>
              <w:spacing w:after="0"/>
            </w:pPr>
            <w:r>
              <w:rPr>
                <w:b/>
                <w:sz w:val="18"/>
              </w:rPr>
              <w:t>Exploration</w:t>
            </w:r>
          </w:p>
        </w:tc>
        <w:tc>
          <w:tcPr>
            <w:tcW w:type="dxa" w:w="3024"/>
            <w:tcMar>
              <w:top w:w="90" w:type="dxa"/>
              <w:start w:w="110" w:type="dxa"/>
              <w:bottom w:w="90" w:type="dxa"/>
              <w:end w:w="110" w:type="dxa"/>
            </w:tcMar>
            <w:vAlign w:val="center"/>
          </w:tcPr>
          <w:p>
            <w:pPr>
              <w:spacing w:after="0"/>
            </w:pPr>
            <w:r>
              <w:rPr>
                <w:sz w:val="18"/>
              </w:rPr>
              <w:t>Jupyter notebook and saved figures</w:t>
            </w:r>
          </w:p>
        </w:tc>
        <w:tc>
          <w:tcPr>
            <w:tcW w:type="dxa" w:w="4536"/>
            <w:tcMar>
              <w:top w:w="90" w:type="dxa"/>
              <w:start w:w="110" w:type="dxa"/>
              <w:bottom w:w="90" w:type="dxa"/>
              <w:end w:w="110" w:type="dxa"/>
            </w:tcMar>
            <w:vAlign w:val="center"/>
          </w:tcPr>
          <w:p>
            <w:pPr>
              <w:spacing w:after="0"/>
            </w:pPr>
            <w:r>
              <w:rPr>
                <w:sz w:val="18"/>
              </w:rPr>
              <w:t>Document quality checks and feature relationships.</w:t>
            </w:r>
          </w:p>
        </w:tc>
      </w:tr>
      <w:tr>
        <w:tc>
          <w:tcPr>
            <w:tcW w:type="dxa" w:w="1512"/>
            <w:tcMar>
              <w:top w:w="90" w:type="dxa"/>
              <w:start w:w="110" w:type="dxa"/>
              <w:bottom w:w="90" w:type="dxa"/>
              <w:end w:w="110" w:type="dxa"/>
            </w:tcMar>
            <w:vAlign w:val="center"/>
          </w:tcPr>
          <w:p>
            <w:pPr>
              <w:spacing w:after="0"/>
            </w:pPr>
            <w:r>
              <w:rPr>
                <w:b/>
                <w:sz w:val="18"/>
              </w:rPr>
              <w:t>Training</w:t>
            </w:r>
          </w:p>
        </w:tc>
        <w:tc>
          <w:tcPr>
            <w:tcW w:type="dxa" w:w="3024"/>
            <w:tcMar>
              <w:top w:w="90" w:type="dxa"/>
              <w:start w:w="110" w:type="dxa"/>
              <w:bottom w:w="90" w:type="dxa"/>
              <w:end w:w="110" w:type="dxa"/>
            </w:tcMar>
            <w:vAlign w:val="center"/>
          </w:tcPr>
          <w:p>
            <w:pPr>
              <w:spacing w:after="0"/>
            </w:pPr>
            <w:r>
              <w:rPr>
                <w:sz w:val="18"/>
              </w:rPr>
              <w:t>scikit-learn Pipeline and GridSearchCV</w:t>
            </w:r>
          </w:p>
        </w:tc>
        <w:tc>
          <w:tcPr>
            <w:tcW w:type="dxa" w:w="4536"/>
            <w:tcMar>
              <w:top w:w="90" w:type="dxa"/>
              <w:start w:w="110" w:type="dxa"/>
              <w:bottom w:w="90" w:type="dxa"/>
              <w:end w:w="110" w:type="dxa"/>
            </w:tcMar>
            <w:vAlign w:val="center"/>
          </w:tcPr>
          <w:p>
            <w:pPr>
              <w:spacing w:after="0"/>
            </w:pPr>
            <w:r>
              <w:rPr>
                <w:sz w:val="18"/>
              </w:rPr>
              <w:t>Prevent leakage and reproduce transformations.</w:t>
            </w:r>
          </w:p>
        </w:tc>
      </w:tr>
      <w:tr>
        <w:tc>
          <w:tcPr>
            <w:tcW w:type="dxa" w:w="1512"/>
            <w:tcMar>
              <w:top w:w="90" w:type="dxa"/>
              <w:start w:w="110" w:type="dxa"/>
              <w:bottom w:w="90" w:type="dxa"/>
              <w:end w:w="110" w:type="dxa"/>
            </w:tcMar>
            <w:vAlign w:val="center"/>
          </w:tcPr>
          <w:p>
            <w:pPr>
              <w:spacing w:after="0"/>
            </w:pPr>
            <w:r>
              <w:rPr>
                <w:b/>
                <w:sz w:val="18"/>
              </w:rPr>
              <w:t>Tracking</w:t>
            </w:r>
          </w:p>
        </w:tc>
        <w:tc>
          <w:tcPr>
            <w:tcW w:type="dxa" w:w="3024"/>
            <w:tcMar>
              <w:top w:w="90" w:type="dxa"/>
              <w:start w:w="110" w:type="dxa"/>
              <w:bottom w:w="90" w:type="dxa"/>
              <w:end w:w="110" w:type="dxa"/>
            </w:tcMar>
            <w:vAlign w:val="center"/>
          </w:tcPr>
          <w:p>
            <w:pPr>
              <w:spacing w:after="0"/>
            </w:pPr>
            <w:r>
              <w:rPr>
                <w:sz w:val="18"/>
              </w:rPr>
              <w:t>MLflow with SQLite backend</w:t>
            </w:r>
          </w:p>
        </w:tc>
        <w:tc>
          <w:tcPr>
            <w:tcW w:type="dxa" w:w="4536"/>
            <w:tcMar>
              <w:top w:w="90" w:type="dxa"/>
              <w:start w:w="110" w:type="dxa"/>
              <w:bottom w:w="90" w:type="dxa"/>
              <w:end w:w="110" w:type="dxa"/>
            </w:tcMar>
            <w:vAlign w:val="center"/>
          </w:tcPr>
          <w:p>
            <w:pPr>
              <w:spacing w:after="0"/>
            </w:pPr>
            <w:r>
              <w:rPr>
                <w:sz w:val="18"/>
              </w:rPr>
              <w:t>Record parameters, metrics, artifacts, and runs.</w:t>
            </w:r>
          </w:p>
        </w:tc>
      </w:tr>
      <w:tr>
        <w:tc>
          <w:tcPr>
            <w:tcW w:type="dxa" w:w="1512"/>
            <w:tcMar>
              <w:top w:w="90" w:type="dxa"/>
              <w:start w:w="110" w:type="dxa"/>
              <w:bottom w:w="90" w:type="dxa"/>
              <w:end w:w="110" w:type="dxa"/>
            </w:tcMar>
            <w:vAlign w:val="center"/>
          </w:tcPr>
          <w:p>
            <w:pPr>
              <w:spacing w:after="0"/>
            </w:pPr>
            <w:r>
              <w:rPr>
                <w:b/>
                <w:sz w:val="18"/>
              </w:rPr>
              <w:t>Serving</w:t>
            </w:r>
          </w:p>
        </w:tc>
        <w:tc>
          <w:tcPr>
            <w:tcW w:type="dxa" w:w="3024"/>
            <w:tcMar>
              <w:top w:w="90" w:type="dxa"/>
              <w:start w:w="110" w:type="dxa"/>
              <w:bottom w:w="90" w:type="dxa"/>
              <w:end w:w="110" w:type="dxa"/>
            </w:tcMar>
            <w:vAlign w:val="center"/>
          </w:tcPr>
          <w:p>
            <w:pPr>
              <w:spacing w:after="0"/>
            </w:pPr>
            <w:r>
              <w:rPr>
                <w:sz w:val="18"/>
              </w:rPr>
              <w:t>FastAPI and Pydantic</w:t>
            </w:r>
          </w:p>
        </w:tc>
        <w:tc>
          <w:tcPr>
            <w:tcW w:type="dxa" w:w="4536"/>
            <w:tcMar>
              <w:top w:w="90" w:type="dxa"/>
              <w:start w:w="110" w:type="dxa"/>
              <w:bottom w:w="90" w:type="dxa"/>
              <w:end w:w="110" w:type="dxa"/>
            </w:tcMar>
            <w:vAlign w:val="center"/>
          </w:tcPr>
          <w:p>
            <w:pPr>
              <w:spacing w:after="0"/>
            </w:pPr>
            <w:r>
              <w:rPr>
                <w:sz w:val="18"/>
              </w:rPr>
              <w:t>Validate JSON input and expose predictions.</w:t>
            </w:r>
          </w:p>
        </w:tc>
      </w:tr>
      <w:tr>
        <w:tc>
          <w:tcPr>
            <w:tcW w:type="dxa" w:w="1512"/>
            <w:tcMar>
              <w:top w:w="90" w:type="dxa"/>
              <w:start w:w="110" w:type="dxa"/>
              <w:bottom w:w="90" w:type="dxa"/>
              <w:end w:w="110" w:type="dxa"/>
            </w:tcMar>
            <w:vAlign w:val="center"/>
          </w:tcPr>
          <w:p>
            <w:pPr>
              <w:spacing w:after="0"/>
            </w:pPr>
            <w:r>
              <w:rPr>
                <w:b/>
                <w:sz w:val="18"/>
              </w:rPr>
              <w:t>Metrics</w:t>
            </w:r>
          </w:p>
        </w:tc>
        <w:tc>
          <w:tcPr>
            <w:tcW w:type="dxa" w:w="3024"/>
            <w:tcMar>
              <w:top w:w="90" w:type="dxa"/>
              <w:start w:w="110" w:type="dxa"/>
              <w:bottom w:w="90" w:type="dxa"/>
              <w:end w:w="110" w:type="dxa"/>
            </w:tcMar>
            <w:vAlign w:val="center"/>
          </w:tcPr>
          <w:p>
            <w:pPr>
              <w:spacing w:after="0"/>
            </w:pPr>
            <w:r>
              <w:rPr>
                <w:sz w:val="18"/>
              </w:rPr>
              <w:t>Prometheus Python client</w:t>
            </w:r>
          </w:p>
        </w:tc>
        <w:tc>
          <w:tcPr>
            <w:tcW w:type="dxa" w:w="4536"/>
            <w:tcMar>
              <w:top w:w="90" w:type="dxa"/>
              <w:start w:w="110" w:type="dxa"/>
              <w:bottom w:w="90" w:type="dxa"/>
              <w:end w:w="110" w:type="dxa"/>
            </w:tcMar>
            <w:vAlign w:val="center"/>
          </w:tcPr>
          <w:p>
            <w:pPr>
              <w:spacing w:after="0"/>
            </w:pPr>
            <w:r>
              <w:rPr>
                <w:sz w:val="18"/>
              </w:rPr>
              <w:t>Expose request, error, class, and latency metrics.</w:t>
            </w:r>
          </w:p>
        </w:tc>
      </w:tr>
      <w:tr>
        <w:tc>
          <w:tcPr>
            <w:tcW w:type="dxa" w:w="1512"/>
            <w:tcMar>
              <w:top w:w="90" w:type="dxa"/>
              <w:start w:w="110" w:type="dxa"/>
              <w:bottom w:w="90" w:type="dxa"/>
              <w:end w:w="110" w:type="dxa"/>
            </w:tcMar>
            <w:vAlign w:val="center"/>
          </w:tcPr>
          <w:p>
            <w:pPr>
              <w:spacing w:after="0"/>
            </w:pPr>
            <w:r>
              <w:rPr>
                <w:b/>
                <w:sz w:val="18"/>
              </w:rPr>
              <w:t>Quality</w:t>
            </w:r>
          </w:p>
        </w:tc>
        <w:tc>
          <w:tcPr>
            <w:tcW w:type="dxa" w:w="3024"/>
            <w:tcMar>
              <w:top w:w="90" w:type="dxa"/>
              <w:start w:w="110" w:type="dxa"/>
              <w:bottom w:w="90" w:type="dxa"/>
              <w:end w:w="110" w:type="dxa"/>
            </w:tcMar>
            <w:vAlign w:val="center"/>
          </w:tcPr>
          <w:p>
            <w:pPr>
              <w:spacing w:after="0"/>
            </w:pPr>
            <w:r>
              <w:rPr>
                <w:sz w:val="18"/>
              </w:rPr>
              <w:t>Pytest and Ruff</w:t>
            </w:r>
          </w:p>
        </w:tc>
        <w:tc>
          <w:tcPr>
            <w:tcW w:type="dxa" w:w="4536"/>
            <w:tcMar>
              <w:top w:w="90" w:type="dxa"/>
              <w:start w:w="110" w:type="dxa"/>
              <w:bottom w:w="90" w:type="dxa"/>
              <w:end w:w="110" w:type="dxa"/>
            </w:tcMar>
            <w:vAlign w:val="center"/>
          </w:tcPr>
          <w:p>
            <w:pPr>
              <w:spacing w:after="0"/>
            </w:pPr>
            <w:r>
              <w:rPr>
                <w:sz w:val="18"/>
              </w:rPr>
              <w:t>Verify behavior and enforce code quality.</w:t>
            </w:r>
          </w:p>
        </w:tc>
      </w:tr>
      <w:tr>
        <w:tc>
          <w:tcPr>
            <w:tcW w:type="dxa" w:w="1512"/>
            <w:tcMar>
              <w:top w:w="90" w:type="dxa"/>
              <w:start w:w="110" w:type="dxa"/>
              <w:bottom w:w="90" w:type="dxa"/>
              <w:end w:w="110" w:type="dxa"/>
            </w:tcMar>
            <w:vAlign w:val="center"/>
          </w:tcPr>
          <w:p>
            <w:pPr>
              <w:spacing w:after="0"/>
            </w:pPr>
            <w:r>
              <w:rPr>
                <w:b/>
                <w:sz w:val="18"/>
              </w:rPr>
              <w:t>Automation</w:t>
            </w:r>
          </w:p>
        </w:tc>
        <w:tc>
          <w:tcPr>
            <w:tcW w:type="dxa" w:w="3024"/>
            <w:tcMar>
              <w:top w:w="90" w:type="dxa"/>
              <w:start w:w="110" w:type="dxa"/>
              <w:bottom w:w="90" w:type="dxa"/>
              <w:end w:w="110" w:type="dxa"/>
            </w:tcMar>
            <w:vAlign w:val="center"/>
          </w:tcPr>
          <w:p>
            <w:pPr>
              <w:spacing w:after="0"/>
            </w:pPr>
            <w:r>
              <w:rPr>
                <w:sz w:val="18"/>
              </w:rPr>
              <w:t>GitHub Actions workflow YAML</w:t>
            </w:r>
          </w:p>
        </w:tc>
        <w:tc>
          <w:tcPr>
            <w:tcW w:type="dxa" w:w="4536"/>
            <w:tcMar>
              <w:top w:w="90" w:type="dxa"/>
              <w:start w:w="110" w:type="dxa"/>
              <w:bottom w:w="90" w:type="dxa"/>
              <w:end w:w="110" w:type="dxa"/>
            </w:tcMar>
            <w:vAlign w:val="center"/>
          </w:tcPr>
          <w:p>
            <w:pPr>
              <w:spacing w:after="0"/>
            </w:pPr>
            <w:r>
              <w:rPr>
                <w:sz w:val="18"/>
              </w:rPr>
              <w:t>Define automated linting and testing steps.</w:t>
            </w:r>
          </w:p>
        </w:tc>
      </w:tr>
    </w:tbl>
    <w:p>
      <w:pPr>
        <w:pStyle w:val="Heading2"/>
        <w:keepNext/>
      </w:pPr>
      <w:r>
        <w:t>2.1 Logical flow</w:t>
      </w:r>
    </w:p>
    <w:tbl>
      <w:tblPr>
        <w:tblW w:type="auto" w:w="0"/>
        <w:jc w:val="center"/>
        <w:tblLayout w:type="fixed"/>
        <w:tblLook w:firstColumn="1" w:firstRow="1" w:lastColumn="0" w:lastRow="0" w:noHBand="0" w:noVBand="1" w:val="04A0"/>
      </w:tblPr>
      <w:tblGrid>
        <w:gridCol w:w="9144"/>
      </w:tblGrid>
      <w:tr>
        <w:tc>
          <w:tcPr>
            <w:tcW w:type="dxa" w:w="9792"/>
            <w:shd w:fill="D9EAF7"/>
            <w:tcMar>
              <w:top w:w="130" w:type="dxa"/>
              <w:start w:w="150" w:type="dxa"/>
              <w:bottom w:w="130" w:type="dxa"/>
              <w:end w:w="150" w:type="dxa"/>
            </w:tcMar>
            <w:vAlign w:val="center"/>
          </w:tcPr>
          <w:p>
            <w:r>
              <w:rPr>
                <w:b/>
                <w:color w:val="203864"/>
              </w:rPr>
              <w:t xml:space="preserve">Pipeline  </w:t>
            </w:r>
            <w:r>
              <w:t>UCI data -&gt; EDA and cleaning -&gt; processed dataset -&gt; preprocessing pipeline -&gt; model tuning -&gt; MLflow comparison -&gt; selected serialized model -&gt; FastAPI inference -&gt; logs and metrics</w:t>
            </w:r>
          </w:p>
        </w:tc>
      </w:tr>
    </w:tbl>
    <w:p>
      <w:pPr>
        <w:spacing w:after="40"/>
      </w:pPr>
    </w:p>
    <w:p>
      <w:pPr>
        <w:pStyle w:val="Heading2"/>
        <w:keepNext/>
      </w:pPr>
      <w:r>
        <w:t>2.2 Repository organization</w:t>
      </w:r>
    </w:p>
    <w:p>
      <w:pPr>
        <w:spacing w:after="140" w:line="259" w:lineRule="auto"/>
      </w:pPr>
      <w:r>
        <w:t>The repository stores notebooks under notebooks/, source code under src/, tests under tests/, generated figures and result tables under reports/, model files under artifacts/, workflow definitions under .github/workflows/, and execution evidence under screenshots/. This separation supports both review and future automation.</w:t>
      </w:r>
    </w:p>
    <w:p>
      <w:r>
        <w:br w:type="page"/>
      </w:r>
    </w:p>
    <w:p>
      <w:pPr>
        <w:pStyle w:val="Heading1"/>
        <w:keepNext/>
      </w:pPr>
      <w:r>
        <w:t>3. Dataset, Data Quality, and Exploratory Analysis</w:t>
      </w:r>
    </w:p>
    <w:p>
      <w:pPr>
        <w:spacing w:after="140" w:line="259" w:lineRule="auto"/>
      </w:pPr>
      <w:r>
        <w:t>The project uses the Cleveland subset of the UCI Heart Disease dataset. It contains 303 observations, 13 predictor variables, and one diagnosis target. The original target values from 0 to 4 were converted to binary classification: 0 represents no heart disease and values 1 to 4 represent heart disease present.</w:t>
      </w:r>
    </w:p>
    <w:p>
      <w:pPr>
        <w:pStyle w:val="Heading2"/>
        <w:keepNext/>
      </w:pPr>
      <w:r>
        <w:t>3.1 Data preparation</w:t>
      </w:r>
    </w:p>
    <w:p>
      <w:pPr>
        <w:pStyle w:val="ListBullet"/>
        <w:spacing w:after="80"/>
      </w:pPr>
      <w:r>
        <w:t>Programmatic dataset acquisition for reproducibility.</w:t>
      </w:r>
    </w:p>
    <w:p>
      <w:pPr>
        <w:pStyle w:val="ListBullet"/>
        <w:spacing w:after="80"/>
      </w:pPr>
      <w:r>
        <w:t>Standardized column names and numeric conversion.</w:t>
      </w:r>
    </w:p>
    <w:p>
      <w:pPr>
        <w:pStyle w:val="ListBullet"/>
        <w:spacing w:after="80"/>
      </w:pPr>
      <w:r>
        <w:t>Replacement of placeholder missing markers with null values.</w:t>
      </w:r>
    </w:p>
    <w:p>
      <w:pPr>
        <w:pStyle w:val="ListBullet"/>
        <w:spacing w:after="80"/>
      </w:pPr>
      <w:r>
        <w:t>Removal check for exact duplicate rows.</w:t>
      </w:r>
    </w:p>
    <w:p>
      <w:pPr>
        <w:pStyle w:val="ListBullet"/>
        <w:spacing w:after="80"/>
      </w:pPr>
      <w:r>
        <w:t>Binary target construction and target validation.</w:t>
      </w:r>
    </w:p>
    <w:p>
      <w:pPr>
        <w:pStyle w:val="ListBullet"/>
        <w:spacing w:after="80"/>
      </w:pPr>
      <w:r>
        <w:t>Retention of predictor missing values for pipeline-based imputation.</w:t>
      </w:r>
    </w:p>
    <w:p>
      <w:pPr>
        <w:pStyle w:val="Heading2"/>
        <w:keepNext/>
      </w:pPr>
      <w:r>
        <w:t>3.2 Missing values and leakage prevention</w:t>
      </w:r>
    </w:p>
    <w:p>
      <w:pPr>
        <w:spacing w:after="140" w:line="259" w:lineRule="auto"/>
      </w:pPr>
      <w:r>
        <w:t>The processed data contains a small number of missing values in ca and thal. These values were not filled globally in the notebook. Instead, imputation was placed inside the fitted preprocessing pipeline so that statistics are learned from training folds only. This reduces the risk of test-set information influencing model development.</w:t>
      </w:r>
    </w:p>
    <w:p>
      <w:pPr>
        <w:pStyle w:val="Heading2"/>
        <w:keepNext/>
      </w:pPr>
      <w:r>
        <w:t>3.3 EDA outputs</w:t>
      </w:r>
    </w:p>
    <w:tbl>
      <w:tblPr>
        <w:tblStyle w:val="TableGrid"/>
        <w:tblW w:type="auto" w:w="0"/>
        <w:jc w:val="center"/>
        <w:tblLayout w:type="fixed"/>
        <w:tblLook w:firstColumn="1" w:firstRow="1" w:lastColumn="0" w:lastRow="0" w:noHBand="0" w:noVBand="1" w:val="04A0"/>
      </w:tblPr>
      <w:tblGrid>
        <w:gridCol w:w="4896"/>
        <w:gridCol w:w="4896"/>
      </w:tblGrid>
      <w:tr>
        <w:tc>
          <w:tcPr>
            <w:tcW w:type="dxa" w:w="4896"/>
            <w:shd w:fill="1F4E79"/>
            <w:tcMar>
              <w:top w:w="90" w:type="dxa"/>
              <w:start w:w="110" w:type="dxa"/>
              <w:bottom w:w="90" w:type="dxa"/>
              <w:end w:w="110" w:type="dxa"/>
            </w:tcMar>
            <w:vAlign w:val="center"/>
          </w:tcPr>
          <w:p>
            <w:pPr>
              <w:jc w:val="center"/>
            </w:pPr>
            <w:r>
              <w:rPr>
                <w:b/>
                <w:color w:val="FFFFFF"/>
                <w:sz w:val="18"/>
              </w:rPr>
              <w:t>Output</w:t>
            </w:r>
          </w:p>
        </w:tc>
        <w:tc>
          <w:tcPr>
            <w:tcW w:type="dxa" w:w="4896"/>
            <w:shd w:fill="1F4E79"/>
            <w:tcMar>
              <w:top w:w="90" w:type="dxa"/>
              <w:start w:w="110" w:type="dxa"/>
              <w:bottom w:w="90" w:type="dxa"/>
              <w:end w:w="110" w:type="dxa"/>
            </w:tcMar>
            <w:vAlign w:val="center"/>
          </w:tcPr>
          <w:p>
            <w:pPr>
              <w:jc w:val="center"/>
            </w:pPr>
            <w:r>
              <w:rPr>
                <w:b/>
                <w:color w:val="FFFFFF"/>
                <w:sz w:val="18"/>
              </w:rPr>
              <w:t>Purpose</w:t>
            </w:r>
          </w:p>
        </w:tc>
      </w:tr>
      <w:tr>
        <w:tc>
          <w:tcPr>
            <w:tcW w:type="dxa" w:w="2592"/>
            <w:tcMar>
              <w:top w:w="90" w:type="dxa"/>
              <w:start w:w="110" w:type="dxa"/>
              <w:bottom w:w="90" w:type="dxa"/>
              <w:end w:w="110" w:type="dxa"/>
            </w:tcMar>
            <w:vAlign w:val="center"/>
          </w:tcPr>
          <w:p>
            <w:pPr>
              <w:spacing w:after="0"/>
            </w:pPr>
            <w:r>
              <w:rPr>
                <w:b/>
                <w:sz w:val="18"/>
              </w:rPr>
              <w:t>Target distribution</w:t>
            </w:r>
          </w:p>
        </w:tc>
        <w:tc>
          <w:tcPr>
            <w:tcW w:type="dxa" w:w="6480"/>
            <w:tcMar>
              <w:top w:w="90" w:type="dxa"/>
              <w:start w:w="110" w:type="dxa"/>
              <w:bottom w:w="90" w:type="dxa"/>
              <w:end w:w="110" w:type="dxa"/>
            </w:tcMar>
            <w:vAlign w:val="center"/>
          </w:tcPr>
          <w:p>
            <w:pPr>
              <w:spacing w:after="0"/>
            </w:pPr>
            <w:r>
              <w:rPr>
                <w:sz w:val="18"/>
              </w:rPr>
              <w:t>Assess class balance and justify stratification.</w:t>
            </w:r>
          </w:p>
        </w:tc>
      </w:tr>
      <w:tr>
        <w:tc>
          <w:tcPr>
            <w:tcW w:type="dxa" w:w="2592"/>
            <w:tcMar>
              <w:top w:w="90" w:type="dxa"/>
              <w:start w:w="110" w:type="dxa"/>
              <w:bottom w:w="90" w:type="dxa"/>
              <w:end w:w="110" w:type="dxa"/>
            </w:tcMar>
            <w:vAlign w:val="center"/>
          </w:tcPr>
          <w:p>
            <w:pPr>
              <w:spacing w:after="0"/>
            </w:pPr>
            <w:r>
              <w:rPr>
                <w:b/>
                <w:sz w:val="18"/>
              </w:rPr>
              <w:t>Missing-value chart</w:t>
            </w:r>
          </w:p>
        </w:tc>
        <w:tc>
          <w:tcPr>
            <w:tcW w:type="dxa" w:w="6480"/>
            <w:tcMar>
              <w:top w:w="90" w:type="dxa"/>
              <w:start w:w="110" w:type="dxa"/>
              <w:bottom w:w="90" w:type="dxa"/>
              <w:end w:w="110" w:type="dxa"/>
            </w:tcMar>
            <w:vAlign w:val="center"/>
          </w:tcPr>
          <w:p>
            <w:pPr>
              <w:spacing w:after="0"/>
            </w:pPr>
            <w:r>
              <w:rPr>
                <w:sz w:val="18"/>
              </w:rPr>
              <w:t>Document data completeness.</w:t>
            </w:r>
          </w:p>
        </w:tc>
      </w:tr>
      <w:tr>
        <w:tc>
          <w:tcPr>
            <w:tcW w:type="dxa" w:w="2592"/>
            <w:tcMar>
              <w:top w:w="90" w:type="dxa"/>
              <w:start w:w="110" w:type="dxa"/>
              <w:bottom w:w="90" w:type="dxa"/>
              <w:end w:w="110" w:type="dxa"/>
            </w:tcMar>
            <w:vAlign w:val="center"/>
          </w:tcPr>
          <w:p>
            <w:pPr>
              <w:spacing w:after="0"/>
            </w:pPr>
            <w:r>
              <w:rPr>
                <w:b/>
                <w:sz w:val="18"/>
              </w:rPr>
              <w:t>Numerical distributions</w:t>
            </w:r>
          </w:p>
        </w:tc>
        <w:tc>
          <w:tcPr>
            <w:tcW w:type="dxa" w:w="6480"/>
            <w:tcMar>
              <w:top w:w="90" w:type="dxa"/>
              <w:start w:w="110" w:type="dxa"/>
              <w:bottom w:w="90" w:type="dxa"/>
              <w:end w:w="110" w:type="dxa"/>
            </w:tcMar>
            <w:vAlign w:val="center"/>
          </w:tcPr>
          <w:p>
            <w:pPr>
              <w:spacing w:after="0"/>
            </w:pPr>
            <w:r>
              <w:rPr>
                <w:sz w:val="18"/>
              </w:rPr>
              <w:t>Compare feature shapes across target classes.</w:t>
            </w:r>
          </w:p>
        </w:tc>
      </w:tr>
      <w:tr>
        <w:tc>
          <w:tcPr>
            <w:tcW w:type="dxa" w:w="2592"/>
            <w:tcMar>
              <w:top w:w="90" w:type="dxa"/>
              <w:start w:w="110" w:type="dxa"/>
              <w:bottom w:w="90" w:type="dxa"/>
              <w:end w:w="110" w:type="dxa"/>
            </w:tcMar>
            <w:vAlign w:val="center"/>
          </w:tcPr>
          <w:p>
            <w:pPr>
              <w:spacing w:after="0"/>
            </w:pPr>
            <w:r>
              <w:rPr>
                <w:b/>
                <w:sz w:val="18"/>
              </w:rPr>
              <w:t>Categorical distributions</w:t>
            </w:r>
          </w:p>
        </w:tc>
        <w:tc>
          <w:tcPr>
            <w:tcW w:type="dxa" w:w="6480"/>
            <w:tcMar>
              <w:top w:w="90" w:type="dxa"/>
              <w:start w:w="110" w:type="dxa"/>
              <w:bottom w:w="90" w:type="dxa"/>
              <w:end w:w="110" w:type="dxa"/>
            </w:tcMar>
            <w:vAlign w:val="center"/>
          </w:tcPr>
          <w:p>
            <w:pPr>
              <w:spacing w:after="0"/>
            </w:pPr>
            <w:r>
              <w:rPr>
                <w:sz w:val="18"/>
              </w:rPr>
              <w:t>Inspect category-level target variation.</w:t>
            </w:r>
          </w:p>
        </w:tc>
      </w:tr>
      <w:tr>
        <w:tc>
          <w:tcPr>
            <w:tcW w:type="dxa" w:w="2592"/>
            <w:tcMar>
              <w:top w:w="90" w:type="dxa"/>
              <w:start w:w="110" w:type="dxa"/>
              <w:bottom w:w="90" w:type="dxa"/>
              <w:end w:w="110" w:type="dxa"/>
            </w:tcMar>
            <w:vAlign w:val="center"/>
          </w:tcPr>
          <w:p>
            <w:pPr>
              <w:spacing w:after="0"/>
            </w:pPr>
            <w:r>
              <w:rPr>
                <w:b/>
                <w:sz w:val="18"/>
              </w:rPr>
              <w:t>Correlation heatmap</w:t>
            </w:r>
          </w:p>
        </w:tc>
        <w:tc>
          <w:tcPr>
            <w:tcW w:type="dxa" w:w="6480"/>
            <w:tcMar>
              <w:top w:w="90" w:type="dxa"/>
              <w:start w:w="110" w:type="dxa"/>
              <w:bottom w:w="90" w:type="dxa"/>
              <w:end w:w="110" w:type="dxa"/>
            </w:tcMar>
            <w:vAlign w:val="center"/>
          </w:tcPr>
          <w:p>
            <w:pPr>
              <w:spacing w:after="0"/>
            </w:pPr>
            <w:r>
              <w:rPr>
                <w:sz w:val="18"/>
              </w:rPr>
              <w:t>Identify associations and possible redundancy.</w:t>
            </w:r>
          </w:p>
        </w:tc>
      </w:tr>
      <w:tr>
        <w:tc>
          <w:tcPr>
            <w:tcW w:type="dxa" w:w="2592"/>
            <w:tcMar>
              <w:top w:w="90" w:type="dxa"/>
              <w:start w:w="110" w:type="dxa"/>
              <w:bottom w:w="90" w:type="dxa"/>
              <w:end w:w="110" w:type="dxa"/>
            </w:tcMar>
            <w:vAlign w:val="center"/>
          </w:tcPr>
          <w:p>
            <w:pPr>
              <w:spacing w:after="0"/>
            </w:pPr>
            <w:r>
              <w:rPr>
                <w:b/>
                <w:sz w:val="18"/>
              </w:rPr>
              <w:t>Outlier summary</w:t>
            </w:r>
          </w:p>
        </w:tc>
        <w:tc>
          <w:tcPr>
            <w:tcW w:type="dxa" w:w="6480"/>
            <w:tcMar>
              <w:top w:w="90" w:type="dxa"/>
              <w:start w:w="110" w:type="dxa"/>
              <w:bottom w:w="90" w:type="dxa"/>
              <w:end w:w="110" w:type="dxa"/>
            </w:tcMar>
            <w:vAlign w:val="center"/>
          </w:tcPr>
          <w:p>
            <w:pPr>
              <w:spacing w:after="0"/>
            </w:pPr>
            <w:r>
              <w:rPr>
                <w:sz w:val="18"/>
              </w:rPr>
              <w:t>Flag unusual values without automatic deletion.</w:t>
            </w:r>
          </w:p>
        </w:tc>
      </w:tr>
    </w:tbl>
    <w:tbl>
      <w:tblPr>
        <w:tblW w:type="auto" w:w="0"/>
        <w:jc w:val="center"/>
        <w:tblLayout w:type="fixed"/>
        <w:tblLook w:firstColumn="1" w:firstRow="1" w:lastColumn="0" w:lastRow="0" w:noHBand="0" w:noVBand="1" w:val="04A0"/>
      </w:tblPr>
      <w:tblGrid>
        <w:gridCol w:w="9144"/>
      </w:tblGrid>
      <w:tr>
        <w:tc>
          <w:tcPr>
            <w:tcW w:type="dxa" w:w="9792"/>
            <w:shd w:fill="D9EAF7"/>
            <w:tcMar>
              <w:top w:w="130" w:type="dxa"/>
              <w:start w:w="150" w:type="dxa"/>
              <w:bottom w:w="130" w:type="dxa"/>
              <w:end w:w="150" w:type="dxa"/>
            </w:tcMar>
            <w:vAlign w:val="center"/>
          </w:tcPr>
          <w:p>
            <w:r>
              <w:rPr>
                <w:b/>
                <w:color w:val="203864"/>
              </w:rPr>
              <w:t xml:space="preserve">Interpretation principle  </w:t>
            </w:r>
            <w:r>
              <w:t>Observed differences are descriptive associations in an educational dataset. They are not evidence of medical causation and must not be interpreted as clinical advice.</w:t>
            </w:r>
          </w:p>
        </w:tc>
      </w:tr>
    </w:tbl>
    <w:p>
      <w:pPr>
        <w:spacing w:after="40"/>
      </w:pPr>
    </w:p>
    <w:p>
      <w:r>
        <w:br w:type="page"/>
      </w:r>
    </w:p>
    <w:p>
      <w:pPr>
        <w:pStyle w:val="Heading1"/>
        <w:keepNext/>
      </w:pPr>
      <w:r>
        <w:t>4. Model Development and Evaluation</w:t>
      </w:r>
    </w:p>
    <w:p>
      <w:pPr>
        <w:spacing w:after="140" w:line="259" w:lineRule="auto"/>
      </w:pPr>
      <w:r>
        <w:t>Two classifiers were selected to satisfy the model-comparison requirement while keeping execution fast. Logistic Regression provides a regularized, interpretable linear baseline. Random Forest provides a non-linear ensemble capable of modeling interactions and threshold effects.</w:t>
      </w:r>
    </w:p>
    <w:p>
      <w:pPr>
        <w:pStyle w:val="Heading2"/>
        <w:keepNext/>
      </w:pPr>
      <w:r>
        <w:t>4.1 Preprocessing pipeline</w:t>
      </w:r>
    </w:p>
    <w:tbl>
      <w:tblPr>
        <w:tblStyle w:val="TableGrid"/>
        <w:tblW w:type="auto" w:w="0"/>
        <w:jc w:val="center"/>
        <w:tblLayout w:type="fixed"/>
        <w:tblLook w:firstColumn="1" w:firstRow="1" w:lastColumn="0" w:lastRow="0" w:noHBand="0" w:noVBand="1" w:val="04A0"/>
      </w:tblPr>
      <w:tblGrid>
        <w:gridCol w:w="4896"/>
        <w:gridCol w:w="4896"/>
      </w:tblGrid>
      <w:tr>
        <w:tc>
          <w:tcPr>
            <w:tcW w:type="dxa" w:w="4896"/>
            <w:shd w:fill="1F4E79"/>
            <w:tcMar>
              <w:top w:w="90" w:type="dxa"/>
              <w:start w:w="110" w:type="dxa"/>
              <w:bottom w:w="90" w:type="dxa"/>
              <w:end w:w="110" w:type="dxa"/>
            </w:tcMar>
            <w:vAlign w:val="center"/>
          </w:tcPr>
          <w:p>
            <w:pPr>
              <w:jc w:val="center"/>
            </w:pPr>
            <w:r>
              <w:rPr>
                <w:b/>
                <w:color w:val="FFFFFF"/>
                <w:sz w:val="18"/>
              </w:rPr>
              <w:t>Feature group</w:t>
            </w:r>
          </w:p>
        </w:tc>
        <w:tc>
          <w:tcPr>
            <w:tcW w:type="dxa" w:w="4896"/>
            <w:shd w:fill="1F4E79"/>
            <w:tcMar>
              <w:top w:w="90" w:type="dxa"/>
              <w:start w:w="110" w:type="dxa"/>
              <w:bottom w:w="90" w:type="dxa"/>
              <w:end w:w="110" w:type="dxa"/>
            </w:tcMar>
            <w:vAlign w:val="center"/>
          </w:tcPr>
          <w:p>
            <w:pPr>
              <w:jc w:val="center"/>
            </w:pPr>
            <w:r>
              <w:rPr>
                <w:b/>
                <w:color w:val="FFFFFF"/>
                <w:sz w:val="18"/>
              </w:rPr>
              <w:t>Transformations</w:t>
            </w:r>
          </w:p>
        </w:tc>
      </w:tr>
      <w:tr>
        <w:tc>
          <w:tcPr>
            <w:tcW w:type="dxa" w:w="2448"/>
            <w:tcMar>
              <w:top w:w="90" w:type="dxa"/>
              <w:start w:w="110" w:type="dxa"/>
              <w:bottom w:w="90" w:type="dxa"/>
              <w:end w:w="110" w:type="dxa"/>
            </w:tcMar>
            <w:vAlign w:val="center"/>
          </w:tcPr>
          <w:p>
            <w:pPr>
              <w:spacing w:after="0"/>
            </w:pPr>
            <w:r>
              <w:rPr>
                <w:b/>
                <w:sz w:val="18"/>
              </w:rPr>
              <w:t>Numerical</w:t>
            </w:r>
          </w:p>
        </w:tc>
        <w:tc>
          <w:tcPr>
            <w:tcW w:type="dxa" w:w="6624"/>
            <w:tcMar>
              <w:top w:w="90" w:type="dxa"/>
              <w:start w:w="110" w:type="dxa"/>
              <w:bottom w:w="90" w:type="dxa"/>
              <w:end w:w="110" w:type="dxa"/>
            </w:tcMar>
            <w:vAlign w:val="center"/>
          </w:tcPr>
          <w:p>
            <w:pPr>
              <w:spacing w:after="0"/>
            </w:pPr>
            <w:r>
              <w:rPr>
                <w:sz w:val="18"/>
              </w:rPr>
              <w:t>Median imputation followed by standard scaling.</w:t>
            </w:r>
          </w:p>
        </w:tc>
      </w:tr>
      <w:tr>
        <w:tc>
          <w:tcPr>
            <w:tcW w:type="dxa" w:w="2448"/>
            <w:tcMar>
              <w:top w:w="90" w:type="dxa"/>
              <w:start w:w="110" w:type="dxa"/>
              <w:bottom w:w="90" w:type="dxa"/>
              <w:end w:w="110" w:type="dxa"/>
            </w:tcMar>
            <w:vAlign w:val="center"/>
          </w:tcPr>
          <w:p>
            <w:pPr>
              <w:spacing w:after="0"/>
            </w:pPr>
            <w:r>
              <w:rPr>
                <w:b/>
                <w:sz w:val="18"/>
              </w:rPr>
              <w:t>Categorical</w:t>
            </w:r>
          </w:p>
        </w:tc>
        <w:tc>
          <w:tcPr>
            <w:tcW w:type="dxa" w:w="6624"/>
            <w:tcMar>
              <w:top w:w="90" w:type="dxa"/>
              <w:start w:w="110" w:type="dxa"/>
              <w:bottom w:w="90" w:type="dxa"/>
              <w:end w:w="110" w:type="dxa"/>
            </w:tcMar>
            <w:vAlign w:val="center"/>
          </w:tcPr>
          <w:p>
            <w:pPr>
              <w:spacing w:after="0"/>
            </w:pPr>
            <w:r>
              <w:rPr>
                <w:sz w:val="18"/>
              </w:rPr>
              <w:t>Most-frequent imputation followed by one-hot encoding.</w:t>
            </w:r>
          </w:p>
        </w:tc>
      </w:tr>
      <w:tr>
        <w:tc>
          <w:tcPr>
            <w:tcW w:type="dxa" w:w="2448"/>
            <w:tcMar>
              <w:top w:w="90" w:type="dxa"/>
              <w:start w:w="110" w:type="dxa"/>
              <w:bottom w:w="90" w:type="dxa"/>
              <w:end w:w="110" w:type="dxa"/>
            </w:tcMar>
            <w:vAlign w:val="center"/>
          </w:tcPr>
          <w:p>
            <w:pPr>
              <w:spacing w:after="0"/>
            </w:pPr>
            <w:r>
              <w:rPr>
                <w:b/>
                <w:sz w:val="18"/>
              </w:rPr>
              <w:t>Target</w:t>
            </w:r>
          </w:p>
        </w:tc>
        <w:tc>
          <w:tcPr>
            <w:tcW w:type="dxa" w:w="6624"/>
            <w:tcMar>
              <w:top w:w="90" w:type="dxa"/>
              <w:start w:w="110" w:type="dxa"/>
              <w:bottom w:w="90" w:type="dxa"/>
              <w:end w:w="110" w:type="dxa"/>
            </w:tcMar>
            <w:vAlign w:val="center"/>
          </w:tcPr>
          <w:p>
            <w:pPr>
              <w:spacing w:after="0"/>
            </w:pPr>
            <w:r>
              <w:rPr>
                <w:sz w:val="18"/>
              </w:rPr>
              <w:t>Binary values 0 and 1; no missing target values.</w:t>
            </w:r>
          </w:p>
        </w:tc>
      </w:tr>
    </w:tbl>
    <w:p>
      <w:pPr>
        <w:pStyle w:val="Heading2"/>
        <w:keepNext/>
      </w:pPr>
      <w:r>
        <w:t>4.2 Training and tuning strategy</w:t>
      </w:r>
    </w:p>
    <w:p>
      <w:pPr>
        <w:pStyle w:val="ListBullet"/>
        <w:spacing w:after="80"/>
      </w:pPr>
      <w:r>
        <w:t>80:20 stratified train-test split with random state 42.</w:t>
      </w:r>
    </w:p>
    <w:p>
      <w:pPr>
        <w:pStyle w:val="ListBullet"/>
        <w:spacing w:after="80"/>
      </w:pPr>
      <w:r>
        <w:t>Five-fold StratifiedKFold cross-validation.</w:t>
      </w:r>
    </w:p>
    <w:p>
      <w:pPr>
        <w:pStyle w:val="ListBullet"/>
        <w:spacing w:after="80"/>
      </w:pPr>
      <w:r>
        <w:t>Small GridSearchCV spaces to demonstrate tuning efficiently.</w:t>
      </w:r>
    </w:p>
    <w:p>
      <w:pPr>
        <w:pStyle w:val="ListBullet"/>
        <w:spacing w:after="80"/>
      </w:pPr>
      <w:r>
        <w:t>ROC-AUC used as the primary selection criterion.</w:t>
      </w:r>
    </w:p>
    <w:p>
      <w:pPr>
        <w:pStyle w:val="ListBullet"/>
        <w:spacing w:after="80"/>
      </w:pPr>
      <w:r>
        <w:t>Recall and F1-score used as secondary selection criteria.</w:t>
      </w:r>
    </w:p>
    <w:p>
      <w:pPr>
        <w:pStyle w:val="ListBullet"/>
        <w:spacing w:after="80"/>
      </w:pPr>
      <w:r>
        <w:t>Held-out test set used only after tuning.</w:t>
      </w:r>
    </w:p>
    <w:p>
      <w:pPr>
        <w:pStyle w:val="Heading2"/>
        <w:keepNext/>
      </w:pPr>
      <w:r>
        <w:t>4.3 Evaluation evidence</w:t>
      </w:r>
    </w:p>
    <w:p>
      <w:pPr>
        <w:spacing w:after="140" w:line="259" w:lineRule="auto"/>
      </w:pPr>
      <w:r>
        <w:t>The training script produces reports/model_comparison.csv, individual classification reports, confusion matrices, individual ROC curves, and a combined ROC comparison. Exact metric values are preserved in the repository-generated files and MLflow screenshots. This report intentionally refers to those generated artifacts rather than reproducing unverified values manually.</w:t>
      </w:r>
    </w:p>
    <w:tbl>
      <w:tblPr>
        <w:tblW w:type="auto" w:w="0"/>
        <w:jc w:val="center"/>
        <w:tblLayout w:type="fixed"/>
        <w:tblLook w:firstColumn="1" w:firstRow="1" w:lastColumn="0" w:lastRow="0" w:noHBand="0" w:noVBand="1" w:val="04A0"/>
      </w:tblPr>
      <w:tblGrid>
        <w:gridCol w:w="9144"/>
      </w:tblGrid>
      <w:tr>
        <w:tc>
          <w:tcPr>
            <w:tcW w:type="dxa" w:w="9792"/>
            <w:shd w:fill="D9EAF7"/>
            <w:tcMar>
              <w:top w:w="130" w:type="dxa"/>
              <w:start w:w="150" w:type="dxa"/>
              <w:bottom w:w="130" w:type="dxa"/>
              <w:end w:w="150" w:type="dxa"/>
            </w:tcMar>
            <w:vAlign w:val="center"/>
          </w:tcPr>
          <w:p>
            <w:r>
              <w:rPr>
                <w:b/>
                <w:color w:val="203864"/>
              </w:rPr>
              <w:t xml:space="preserve">Selection rule  </w:t>
            </w:r>
            <w:r>
              <w:t>The final model is selected programmatically using test ROC-AUC, then recall and F1-score as tie-breakers. The complete preprocessing-plus-classifier pipeline is saved as artifacts/model.joblib.</w:t>
            </w:r>
          </w:p>
        </w:tc>
      </w:tr>
    </w:tbl>
    <w:p>
      <w:pPr>
        <w:spacing w:after="40"/>
      </w:pPr>
    </w:p>
    <w:p>
      <w:r>
        <w:br w:type="page"/>
      </w:r>
    </w:p>
    <w:p>
      <w:pPr>
        <w:pStyle w:val="Heading1"/>
        <w:keepNext/>
      </w:pPr>
      <w:r>
        <w:t>5. MLflow Experiment Tracking and Model Packaging</w:t>
      </w:r>
    </w:p>
    <w:p>
      <w:pPr>
        <w:spacing w:after="140" w:line="259" w:lineRule="auto"/>
      </w:pPr>
      <w:r>
        <w:t>MLflow is used to create separate tracked runs for Logistic Regression and Random Forest. The project uses a local SQLite backend because recent MLflow versions treat the older filesystem tracking store as a legacy option. The database itself is excluded from Git, while screenshots and exported model evaluation artifacts provide submission evidence.</w:t>
      </w:r>
    </w:p>
    <w:p>
      <w:pPr>
        <w:pStyle w:val="Heading2"/>
        <w:keepNext/>
      </w:pPr>
      <w:r>
        <w:t>5.1 Information logged for each run</w:t>
      </w:r>
    </w:p>
    <w:tbl>
      <w:tblPr>
        <w:tblStyle w:val="TableGrid"/>
        <w:tblW w:type="auto" w:w="0"/>
        <w:jc w:val="center"/>
        <w:tblLayout w:type="fixed"/>
        <w:tblLook w:firstColumn="1" w:firstRow="1" w:lastColumn="0" w:lastRow="0" w:noHBand="0" w:noVBand="1" w:val="04A0"/>
      </w:tblPr>
      <w:tblGrid>
        <w:gridCol w:w="4896"/>
        <w:gridCol w:w="4896"/>
      </w:tblGrid>
      <w:tr>
        <w:tc>
          <w:tcPr>
            <w:tcW w:type="dxa" w:w="4896"/>
            <w:shd w:fill="1F4E79"/>
            <w:tcMar>
              <w:top w:w="90" w:type="dxa"/>
              <w:start w:w="110" w:type="dxa"/>
              <w:bottom w:w="90" w:type="dxa"/>
              <w:end w:w="110" w:type="dxa"/>
            </w:tcMar>
            <w:vAlign w:val="center"/>
          </w:tcPr>
          <w:p>
            <w:pPr>
              <w:jc w:val="center"/>
            </w:pPr>
            <w:r>
              <w:rPr>
                <w:b/>
                <w:color w:val="FFFFFF"/>
                <w:sz w:val="18"/>
              </w:rPr>
              <w:t>Category</w:t>
            </w:r>
          </w:p>
        </w:tc>
        <w:tc>
          <w:tcPr>
            <w:tcW w:type="dxa" w:w="4896"/>
            <w:shd w:fill="1F4E79"/>
            <w:tcMar>
              <w:top w:w="90" w:type="dxa"/>
              <w:start w:w="110" w:type="dxa"/>
              <w:bottom w:w="90" w:type="dxa"/>
              <w:end w:w="110" w:type="dxa"/>
            </w:tcMar>
            <w:vAlign w:val="center"/>
          </w:tcPr>
          <w:p>
            <w:pPr>
              <w:jc w:val="center"/>
            </w:pPr>
            <w:r>
              <w:rPr>
                <w:b/>
                <w:color w:val="FFFFFF"/>
                <w:sz w:val="18"/>
              </w:rPr>
              <w:t>Tracked information</w:t>
            </w:r>
          </w:p>
        </w:tc>
      </w:tr>
      <w:tr>
        <w:tc>
          <w:tcPr>
            <w:tcW w:type="dxa" w:w="1944"/>
            <w:tcMar>
              <w:top w:w="90" w:type="dxa"/>
              <w:start w:w="110" w:type="dxa"/>
              <w:bottom w:w="90" w:type="dxa"/>
              <w:end w:w="110" w:type="dxa"/>
            </w:tcMar>
            <w:vAlign w:val="center"/>
          </w:tcPr>
          <w:p>
            <w:pPr>
              <w:spacing w:after="0"/>
            </w:pPr>
            <w:r>
              <w:rPr>
                <w:b/>
                <w:sz w:val="18"/>
              </w:rPr>
              <w:t>Parameters</w:t>
            </w:r>
          </w:p>
        </w:tc>
        <w:tc>
          <w:tcPr>
            <w:tcW w:type="dxa" w:w="7128"/>
            <w:tcMar>
              <w:top w:w="90" w:type="dxa"/>
              <w:start w:w="110" w:type="dxa"/>
              <w:bottom w:w="90" w:type="dxa"/>
              <w:end w:w="110" w:type="dxa"/>
            </w:tcMar>
            <w:vAlign w:val="center"/>
          </w:tcPr>
          <w:p>
            <w:pPr>
              <w:spacing w:after="0"/>
            </w:pPr>
            <w:r>
              <w:rPr>
                <w:sz w:val="18"/>
              </w:rPr>
              <w:t>Model name, split ratio, random seed, folds, preprocessing choices, and tuned hyperparameters.</w:t>
            </w:r>
          </w:p>
        </w:tc>
      </w:tr>
      <w:tr>
        <w:tc>
          <w:tcPr>
            <w:tcW w:type="dxa" w:w="1944"/>
            <w:tcMar>
              <w:top w:w="90" w:type="dxa"/>
              <w:start w:w="110" w:type="dxa"/>
              <w:bottom w:w="90" w:type="dxa"/>
              <w:end w:w="110" w:type="dxa"/>
            </w:tcMar>
            <w:vAlign w:val="center"/>
          </w:tcPr>
          <w:p>
            <w:pPr>
              <w:spacing w:after="0"/>
            </w:pPr>
            <w:r>
              <w:rPr>
                <w:b/>
                <w:sz w:val="18"/>
              </w:rPr>
              <w:t>Metrics</w:t>
            </w:r>
          </w:p>
        </w:tc>
        <w:tc>
          <w:tcPr>
            <w:tcW w:type="dxa" w:w="7128"/>
            <w:tcMar>
              <w:top w:w="90" w:type="dxa"/>
              <w:start w:w="110" w:type="dxa"/>
              <w:bottom w:w="90" w:type="dxa"/>
              <w:end w:w="110" w:type="dxa"/>
            </w:tcMar>
            <w:vAlign w:val="center"/>
          </w:tcPr>
          <w:p>
            <w:pPr>
              <w:spacing w:after="0"/>
            </w:pPr>
            <w:r>
              <w:rPr>
                <w:sz w:val="18"/>
              </w:rPr>
              <w:t>Accuracy, precision, recall, F1-score, ROC-AUC, and cross-validation ROC-AUC.</w:t>
            </w:r>
          </w:p>
        </w:tc>
      </w:tr>
      <w:tr>
        <w:tc>
          <w:tcPr>
            <w:tcW w:type="dxa" w:w="1944"/>
            <w:tcMar>
              <w:top w:w="90" w:type="dxa"/>
              <w:start w:w="110" w:type="dxa"/>
              <w:bottom w:w="90" w:type="dxa"/>
              <w:end w:w="110" w:type="dxa"/>
            </w:tcMar>
            <w:vAlign w:val="center"/>
          </w:tcPr>
          <w:p>
            <w:pPr>
              <w:spacing w:after="0"/>
            </w:pPr>
            <w:r>
              <w:rPr>
                <w:b/>
                <w:sz w:val="18"/>
              </w:rPr>
              <w:t>Artifacts</w:t>
            </w:r>
          </w:p>
        </w:tc>
        <w:tc>
          <w:tcPr>
            <w:tcW w:type="dxa" w:w="7128"/>
            <w:tcMar>
              <w:top w:w="90" w:type="dxa"/>
              <w:start w:w="110" w:type="dxa"/>
              <w:bottom w:w="90" w:type="dxa"/>
              <w:end w:w="110" w:type="dxa"/>
            </w:tcMar>
            <w:vAlign w:val="center"/>
          </w:tcPr>
          <w:p>
            <w:pPr>
              <w:spacing w:after="0"/>
            </w:pPr>
            <w:r>
              <w:rPr>
                <w:sz w:val="18"/>
              </w:rPr>
              <w:t>Confusion matrix, ROC curve, classification report, and trained model.</w:t>
            </w:r>
          </w:p>
        </w:tc>
      </w:tr>
      <w:tr>
        <w:tc>
          <w:tcPr>
            <w:tcW w:type="dxa" w:w="1944"/>
            <w:tcMar>
              <w:top w:w="90" w:type="dxa"/>
              <w:start w:w="110" w:type="dxa"/>
              <w:bottom w:w="90" w:type="dxa"/>
              <w:end w:w="110" w:type="dxa"/>
            </w:tcMar>
            <w:vAlign w:val="center"/>
          </w:tcPr>
          <w:p>
            <w:pPr>
              <w:spacing w:after="0"/>
            </w:pPr>
            <w:r>
              <w:rPr>
                <w:b/>
                <w:sz w:val="18"/>
              </w:rPr>
              <w:t>Identity</w:t>
            </w:r>
          </w:p>
        </w:tc>
        <w:tc>
          <w:tcPr>
            <w:tcW w:type="dxa" w:w="7128"/>
            <w:tcMar>
              <w:top w:w="90" w:type="dxa"/>
              <w:start w:w="110" w:type="dxa"/>
              <w:bottom w:w="90" w:type="dxa"/>
              <w:end w:w="110" w:type="dxa"/>
            </w:tcMar>
            <w:vAlign w:val="center"/>
          </w:tcPr>
          <w:p>
            <w:pPr>
              <w:spacing w:after="0"/>
            </w:pPr>
            <w:r>
              <w:rPr>
                <w:sz w:val="18"/>
              </w:rPr>
              <w:t>Experiment name and unique MLflow run ID.</w:t>
            </w:r>
          </w:p>
        </w:tc>
      </w:tr>
    </w:tbl>
    <w:p>
      <w:pPr>
        <w:pStyle w:val="Heading2"/>
        <w:keepNext/>
      </w:pPr>
      <w:r>
        <w:t>5.2 Packaging and reproducibility</w:t>
      </w:r>
    </w:p>
    <w:p>
      <w:pPr>
        <w:spacing w:after="140" w:line="259" w:lineRule="auto"/>
      </w:pPr>
      <w:r>
        <w:t>The final artifact is one fitted scikit-learn Pipeline containing missing-value handling, scaling, one-hot encoding, and the classifier. Keeping preprocessing and prediction logic together prevents training-serving skew. A JSON metadata file records model identity, timestamp, features, target definition, split configuration, selected parameters, and evaluation metrics.</w:t>
      </w:r>
    </w:p>
    <w:p>
      <w:pPr>
        <w:pStyle w:val="Heading2"/>
        <w:keepNext/>
      </w:pPr>
      <w:r>
        <w:t>5.3 Evidence retained</w:t>
      </w:r>
    </w:p>
    <w:p>
      <w:pPr>
        <w:pStyle w:val="ListBullet"/>
        <w:spacing w:after="80"/>
      </w:pPr>
      <w:r>
        <w:t>MLflow experiment page showing both candidate runs.</w:t>
      </w:r>
    </w:p>
    <w:p>
      <w:pPr>
        <w:pStyle w:val="ListBullet"/>
        <w:spacing w:after="80"/>
      </w:pPr>
      <w:r>
        <w:t>Metrics comparison across runs.</w:t>
      </w:r>
    </w:p>
    <w:p>
      <w:pPr>
        <w:pStyle w:val="ListBullet"/>
        <w:spacing w:after="80"/>
      </w:pPr>
      <w:r>
        <w:t>Selected run parameters and artifact list.</w:t>
      </w:r>
    </w:p>
    <w:p>
      <w:pPr>
        <w:pStyle w:val="ListBullet"/>
        <w:spacing w:after="80"/>
      </w:pPr>
      <w:r>
        <w:t>Saved model and metadata files under artifacts/.</w:t>
      </w:r>
    </w:p>
    <w:p>
      <w:pPr>
        <w:pStyle w:val="ListBullet"/>
        <w:spacing w:after="80"/>
      </w:pPr>
      <w:r>
        <w:t>Model comparison and plots under reports/.</w:t>
      </w:r>
    </w:p>
    <w:tbl>
      <w:tblPr>
        <w:tblW w:type="auto" w:w="0"/>
        <w:jc w:val="center"/>
        <w:tblLayout w:type="fixed"/>
        <w:tblLook w:firstColumn="1" w:firstRow="1" w:lastColumn="0" w:lastRow="0" w:noHBand="0" w:noVBand="1" w:val="04A0"/>
      </w:tblPr>
      <w:tblGrid>
        <w:gridCol w:w="9144"/>
      </w:tblGrid>
      <w:tr>
        <w:tc>
          <w:tcPr>
            <w:tcW w:type="dxa" w:w="9792"/>
            <w:shd w:fill="D9EAF7"/>
            <w:tcMar>
              <w:top w:w="130" w:type="dxa"/>
              <w:start w:w="150" w:type="dxa"/>
              <w:bottom w:w="130" w:type="dxa"/>
              <w:end w:w="150" w:type="dxa"/>
            </w:tcMar>
            <w:vAlign w:val="center"/>
          </w:tcPr>
          <w:p>
            <w:r>
              <w:rPr>
                <w:b/>
                <w:color w:val="203864"/>
              </w:rPr>
              <w:t xml:space="preserve">Security note  </w:t>
            </w:r>
            <w:r>
              <w:t>The application loads only the model artifact produced by this project. Serialized Python model files should never be loaded from an untrusted external source.</w:t>
            </w:r>
          </w:p>
        </w:tc>
      </w:tr>
    </w:tbl>
    <w:p>
      <w:pPr>
        <w:spacing w:after="40"/>
      </w:pPr>
    </w:p>
    <w:p>
      <w:r>
        <w:br w:type="page"/>
      </w:r>
    </w:p>
    <w:p>
      <w:pPr>
        <w:pStyle w:val="Heading1"/>
        <w:keepNext/>
      </w:pPr>
      <w:r>
        <w:t>6. FastAPI Model Serving, Logging, and Metrics</w:t>
      </w:r>
    </w:p>
    <w:p>
      <w:pPr>
        <w:spacing w:after="140" w:line="259" w:lineRule="auto"/>
      </w:pPr>
      <w:r>
        <w:t>The trained pipeline is served through FastAPI. Pydantic request models validate required fields, numeric ranges, and allowed category values before prediction. The service returns the predicted class, a readable label, and probabilities for both classes.</w:t>
      </w:r>
    </w:p>
    <w:p>
      <w:pPr>
        <w:pStyle w:val="Heading2"/>
        <w:keepNext/>
      </w:pPr>
      <w:r>
        <w:t>6.1 API endpoints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3264"/>
            <w:shd w:fill="1F4E79"/>
            <w:tcMar>
              <w:top w:w="90" w:type="dxa"/>
              <w:start w:w="110" w:type="dxa"/>
              <w:bottom w:w="90" w:type="dxa"/>
              <w:end w:w="110" w:type="dxa"/>
            </w:tcMar>
            <w:vAlign w:val="center"/>
          </w:tcPr>
          <w:p>
            <w:pPr>
              <w:jc w:val="center"/>
            </w:pPr>
            <w:r>
              <w:rPr>
                <w:b/>
                <w:color w:val="FFFFFF"/>
                <w:sz w:val="18"/>
              </w:rPr>
              <w:t>Endpoint</w:t>
            </w:r>
          </w:p>
        </w:tc>
        <w:tc>
          <w:tcPr>
            <w:tcW w:type="dxa" w:w="3264"/>
            <w:shd w:fill="1F4E79"/>
            <w:tcMar>
              <w:top w:w="90" w:type="dxa"/>
              <w:start w:w="110" w:type="dxa"/>
              <w:bottom w:w="90" w:type="dxa"/>
              <w:end w:w="110" w:type="dxa"/>
            </w:tcMar>
            <w:vAlign w:val="center"/>
          </w:tcPr>
          <w:p>
            <w:pPr>
              <w:jc w:val="center"/>
            </w:pPr>
            <w:r>
              <w:rPr>
                <w:b/>
                <w:color w:val="FFFFFF"/>
                <w:sz w:val="18"/>
              </w:rPr>
              <w:t>Method</w:t>
            </w:r>
          </w:p>
        </w:tc>
        <w:tc>
          <w:tcPr>
            <w:tcW w:type="dxa" w:w="3264"/>
            <w:shd w:fill="1F4E79"/>
            <w:tcMar>
              <w:top w:w="90" w:type="dxa"/>
              <w:start w:w="110" w:type="dxa"/>
              <w:bottom w:w="90" w:type="dxa"/>
              <w:end w:w="110" w:type="dxa"/>
            </w:tcMar>
            <w:vAlign w:val="center"/>
          </w:tcPr>
          <w:p>
            <w:pPr>
              <w:jc w:val="center"/>
            </w:pPr>
            <w:r>
              <w:rPr>
                <w:b/>
                <w:color w:val="FFFFFF"/>
                <w:sz w:val="18"/>
              </w:rPr>
              <w:t>Behavior</w:t>
            </w:r>
          </w:p>
        </w:tc>
      </w:tr>
      <w:tr>
        <w:tc>
          <w:tcPr>
            <w:tcW w:type="dxa" w:w="1728"/>
            <w:tcMar>
              <w:top w:w="90" w:type="dxa"/>
              <w:start w:w="110" w:type="dxa"/>
              <w:bottom w:w="90" w:type="dxa"/>
              <w:end w:w="110" w:type="dxa"/>
            </w:tcMar>
            <w:vAlign w:val="center"/>
          </w:tcPr>
          <w:p>
            <w:pPr>
              <w:spacing w:after="0"/>
            </w:pPr>
            <w:r>
              <w:rPr>
                <w:b/>
                <w:sz w:val="18"/>
              </w:rPr>
              <w:t>/</w:t>
            </w:r>
          </w:p>
        </w:tc>
        <w:tc>
          <w:tcPr>
            <w:tcW w:type="dxa" w:w="1152"/>
            <w:tcMar>
              <w:top w:w="90" w:type="dxa"/>
              <w:start w:w="110" w:type="dxa"/>
              <w:bottom w:w="90" w:type="dxa"/>
              <w:end w:w="110" w:type="dxa"/>
            </w:tcMar>
            <w:vAlign w:val="center"/>
          </w:tcPr>
          <w:p>
            <w:pPr>
              <w:spacing w:after="0"/>
            </w:pPr>
            <w:r>
              <w:rPr>
                <w:sz w:val="18"/>
              </w:rPr>
              <w:t>GET</w:t>
            </w:r>
          </w:p>
        </w:tc>
        <w:tc>
          <w:tcPr>
            <w:tcW w:type="dxa" w:w="6192"/>
            <w:tcMar>
              <w:top w:w="90" w:type="dxa"/>
              <w:start w:w="110" w:type="dxa"/>
              <w:bottom w:w="90" w:type="dxa"/>
              <w:end w:w="110" w:type="dxa"/>
            </w:tcMar>
            <w:vAlign w:val="center"/>
          </w:tcPr>
          <w:p>
            <w:pPr>
              <w:spacing w:after="0"/>
            </w:pPr>
            <w:r>
              <w:rPr>
                <w:sz w:val="18"/>
              </w:rPr>
              <w:t>Returns service metadata and endpoint links.</w:t>
            </w:r>
          </w:p>
        </w:tc>
      </w:tr>
      <w:tr>
        <w:tc>
          <w:tcPr>
            <w:tcW w:type="dxa" w:w="1728"/>
            <w:tcMar>
              <w:top w:w="90" w:type="dxa"/>
              <w:start w:w="110" w:type="dxa"/>
              <w:bottom w:w="90" w:type="dxa"/>
              <w:end w:w="110" w:type="dxa"/>
            </w:tcMar>
            <w:vAlign w:val="center"/>
          </w:tcPr>
          <w:p>
            <w:pPr>
              <w:spacing w:after="0"/>
            </w:pPr>
            <w:r>
              <w:rPr>
                <w:b/>
                <w:sz w:val="18"/>
              </w:rPr>
              <w:t>/health</w:t>
            </w:r>
          </w:p>
        </w:tc>
        <w:tc>
          <w:tcPr>
            <w:tcW w:type="dxa" w:w="1152"/>
            <w:tcMar>
              <w:top w:w="90" w:type="dxa"/>
              <w:start w:w="110" w:type="dxa"/>
              <w:bottom w:w="90" w:type="dxa"/>
              <w:end w:w="110" w:type="dxa"/>
            </w:tcMar>
            <w:vAlign w:val="center"/>
          </w:tcPr>
          <w:p>
            <w:pPr>
              <w:spacing w:after="0"/>
            </w:pPr>
            <w:r>
              <w:rPr>
                <w:sz w:val="18"/>
              </w:rPr>
              <w:t>GET</w:t>
            </w:r>
          </w:p>
        </w:tc>
        <w:tc>
          <w:tcPr>
            <w:tcW w:type="dxa" w:w="6192"/>
            <w:tcMar>
              <w:top w:w="90" w:type="dxa"/>
              <w:start w:w="110" w:type="dxa"/>
              <w:bottom w:w="90" w:type="dxa"/>
              <w:end w:w="110" w:type="dxa"/>
            </w:tcMar>
            <w:vAlign w:val="center"/>
          </w:tcPr>
          <w:p>
            <w:pPr>
              <w:spacing w:after="0"/>
            </w:pPr>
            <w:r>
              <w:rPr>
                <w:sz w:val="18"/>
              </w:rPr>
              <w:t>Reports whether the model artifact loaded successfully.</w:t>
            </w:r>
          </w:p>
        </w:tc>
      </w:tr>
      <w:tr>
        <w:tc>
          <w:tcPr>
            <w:tcW w:type="dxa" w:w="1728"/>
            <w:tcMar>
              <w:top w:w="90" w:type="dxa"/>
              <w:start w:w="110" w:type="dxa"/>
              <w:bottom w:w="90" w:type="dxa"/>
              <w:end w:w="110" w:type="dxa"/>
            </w:tcMar>
            <w:vAlign w:val="center"/>
          </w:tcPr>
          <w:p>
            <w:pPr>
              <w:spacing w:after="0"/>
            </w:pPr>
            <w:r>
              <w:rPr>
                <w:b/>
                <w:sz w:val="18"/>
              </w:rPr>
              <w:t>/predict</w:t>
            </w:r>
          </w:p>
        </w:tc>
        <w:tc>
          <w:tcPr>
            <w:tcW w:type="dxa" w:w="1152"/>
            <w:tcMar>
              <w:top w:w="90" w:type="dxa"/>
              <w:start w:w="110" w:type="dxa"/>
              <w:bottom w:w="90" w:type="dxa"/>
              <w:end w:w="110" w:type="dxa"/>
            </w:tcMar>
            <w:vAlign w:val="center"/>
          </w:tcPr>
          <w:p>
            <w:pPr>
              <w:spacing w:after="0"/>
            </w:pPr>
            <w:r>
              <w:rPr>
                <w:sz w:val="18"/>
              </w:rPr>
              <w:t>POST</w:t>
            </w:r>
          </w:p>
        </w:tc>
        <w:tc>
          <w:tcPr>
            <w:tcW w:type="dxa" w:w="6192"/>
            <w:tcMar>
              <w:top w:w="90" w:type="dxa"/>
              <w:start w:w="110" w:type="dxa"/>
              <w:bottom w:w="90" w:type="dxa"/>
              <w:end w:w="110" w:type="dxa"/>
            </w:tcMar>
            <w:vAlign w:val="center"/>
          </w:tcPr>
          <w:p>
            <w:pPr>
              <w:spacing w:after="0"/>
            </w:pPr>
            <w:r>
              <w:rPr>
                <w:sz w:val="18"/>
              </w:rPr>
              <w:t>Validates JSON input and returns prediction confidence.</w:t>
            </w:r>
          </w:p>
        </w:tc>
      </w:tr>
      <w:tr>
        <w:tc>
          <w:tcPr>
            <w:tcW w:type="dxa" w:w="1728"/>
            <w:tcMar>
              <w:top w:w="90" w:type="dxa"/>
              <w:start w:w="110" w:type="dxa"/>
              <w:bottom w:w="90" w:type="dxa"/>
              <w:end w:w="110" w:type="dxa"/>
            </w:tcMar>
            <w:vAlign w:val="center"/>
          </w:tcPr>
          <w:p>
            <w:pPr>
              <w:spacing w:after="0"/>
            </w:pPr>
            <w:r>
              <w:rPr>
                <w:b/>
                <w:sz w:val="18"/>
              </w:rPr>
              <w:t>/metrics/</w:t>
            </w:r>
          </w:p>
        </w:tc>
        <w:tc>
          <w:tcPr>
            <w:tcW w:type="dxa" w:w="1152"/>
            <w:tcMar>
              <w:top w:w="90" w:type="dxa"/>
              <w:start w:w="110" w:type="dxa"/>
              <w:bottom w:w="90" w:type="dxa"/>
              <w:end w:w="110" w:type="dxa"/>
            </w:tcMar>
            <w:vAlign w:val="center"/>
          </w:tcPr>
          <w:p>
            <w:pPr>
              <w:spacing w:after="0"/>
            </w:pPr>
            <w:r>
              <w:rPr>
                <w:sz w:val="18"/>
              </w:rPr>
              <w:t>GET</w:t>
            </w:r>
          </w:p>
        </w:tc>
        <w:tc>
          <w:tcPr>
            <w:tcW w:type="dxa" w:w="6192"/>
            <w:tcMar>
              <w:top w:w="90" w:type="dxa"/>
              <w:start w:w="110" w:type="dxa"/>
              <w:bottom w:w="90" w:type="dxa"/>
              <w:end w:w="110" w:type="dxa"/>
            </w:tcMar>
            <w:vAlign w:val="center"/>
          </w:tcPr>
          <w:p>
            <w:pPr>
              <w:spacing w:after="0"/>
            </w:pPr>
            <w:r>
              <w:rPr>
                <w:sz w:val="18"/>
              </w:rPr>
              <w:t>Exposes Prometheus-compatible application metrics.</w:t>
            </w:r>
          </w:p>
        </w:tc>
      </w:tr>
    </w:tbl>
    <w:p>
      <w:pPr>
        <w:pStyle w:val="Heading2"/>
        <w:keepNext/>
      </w:pPr>
      <w:r>
        <w:t>6.2 Operational behavior</w:t>
      </w:r>
    </w:p>
    <w:p>
      <w:pPr>
        <w:pStyle w:val="ListBullet"/>
        <w:spacing w:after="80"/>
      </w:pPr>
      <w:r>
        <w:t>Model loading occurs during application startup.</w:t>
      </w:r>
    </w:p>
    <w:p>
      <w:pPr>
        <w:pStyle w:val="ListBullet"/>
        <w:spacing w:after="80"/>
      </w:pPr>
      <w:r>
        <w:t>Structured request logs include method, path, status, and latency.</w:t>
      </w:r>
    </w:p>
    <w:p>
      <w:pPr>
        <w:pStyle w:val="ListBullet"/>
        <w:spacing w:after="80"/>
      </w:pPr>
      <w:r>
        <w:t>Prediction errors return controlled HTTP responses.</w:t>
      </w:r>
    </w:p>
    <w:p>
      <w:pPr>
        <w:pStyle w:val="ListBullet"/>
        <w:spacing w:after="80"/>
      </w:pPr>
      <w:r>
        <w:t>Missing ca and thal values are accepted because the pipeline imputes them.</w:t>
      </w:r>
    </w:p>
    <w:p>
      <w:pPr>
        <w:pStyle w:val="ListBullet"/>
        <w:spacing w:after="80"/>
      </w:pPr>
      <w:r>
        <w:t>The response includes an educational-use disclaimer.</w:t>
      </w:r>
    </w:p>
    <w:p>
      <w:pPr>
        <w:pStyle w:val="Heading2"/>
        <w:keepNext/>
      </w:pPr>
      <w:r>
        <w:t>6.3 Monitoring-ready metrics</w:t>
      </w:r>
    </w:p>
    <w:tbl>
      <w:tblPr>
        <w:tblStyle w:val="TableGrid"/>
        <w:tblW w:type="auto" w:w="0"/>
        <w:jc w:val="center"/>
        <w:tblLayout w:type="fixed"/>
        <w:tblLook w:firstColumn="1" w:firstRow="1" w:lastColumn="0" w:lastRow="0" w:noHBand="0" w:noVBand="1" w:val="04A0"/>
      </w:tblPr>
      <w:tblGrid>
        <w:gridCol w:w="4896"/>
        <w:gridCol w:w="4896"/>
      </w:tblGrid>
      <w:tr>
        <w:tc>
          <w:tcPr>
            <w:tcW w:type="dxa" w:w="4896"/>
            <w:shd w:fill="1F4E79"/>
            <w:tcMar>
              <w:top w:w="90" w:type="dxa"/>
              <w:start w:w="110" w:type="dxa"/>
              <w:bottom w:w="90" w:type="dxa"/>
              <w:end w:w="110" w:type="dxa"/>
            </w:tcMar>
            <w:vAlign w:val="center"/>
          </w:tcPr>
          <w:p>
            <w:pPr>
              <w:jc w:val="center"/>
            </w:pPr>
            <w:r>
              <w:rPr>
                <w:b/>
                <w:color w:val="FFFFFF"/>
                <w:sz w:val="18"/>
              </w:rPr>
              <w:t>Metric</w:t>
            </w:r>
          </w:p>
        </w:tc>
        <w:tc>
          <w:tcPr>
            <w:tcW w:type="dxa" w:w="4896"/>
            <w:shd w:fill="1F4E79"/>
            <w:tcMar>
              <w:top w:w="90" w:type="dxa"/>
              <w:start w:w="110" w:type="dxa"/>
              <w:bottom w:w="90" w:type="dxa"/>
              <w:end w:w="110" w:type="dxa"/>
            </w:tcMar>
            <w:vAlign w:val="center"/>
          </w:tcPr>
          <w:p>
            <w:pPr>
              <w:jc w:val="center"/>
            </w:pPr>
            <w:r>
              <w:rPr>
                <w:b/>
                <w:color w:val="FFFFFF"/>
                <w:sz w:val="18"/>
              </w:rPr>
              <w:t>Meaning</w:t>
            </w:r>
          </w:p>
        </w:tc>
      </w:tr>
      <w:tr>
        <w:tc>
          <w:tcPr>
            <w:tcW w:type="dxa" w:w="3456"/>
            <w:tcMar>
              <w:top w:w="90" w:type="dxa"/>
              <w:start w:w="110" w:type="dxa"/>
              <w:bottom w:w="90" w:type="dxa"/>
              <w:end w:w="110" w:type="dxa"/>
            </w:tcMar>
            <w:vAlign w:val="center"/>
          </w:tcPr>
          <w:p>
            <w:pPr>
              <w:spacing w:after="0"/>
            </w:pPr>
            <w:r>
              <w:rPr>
                <w:b/>
                <w:sz w:val="18"/>
              </w:rPr>
              <w:t>prediction_requests_total</w:t>
            </w:r>
          </w:p>
        </w:tc>
        <w:tc>
          <w:tcPr>
            <w:tcW w:type="dxa" w:w="5616"/>
            <w:tcMar>
              <w:top w:w="90" w:type="dxa"/>
              <w:start w:w="110" w:type="dxa"/>
              <w:bottom w:w="90" w:type="dxa"/>
              <w:end w:w="110" w:type="dxa"/>
            </w:tcMar>
            <w:vAlign w:val="center"/>
          </w:tcPr>
          <w:p>
            <w:pPr>
              <w:spacing w:after="0"/>
            </w:pPr>
            <w:r>
              <w:rPr>
                <w:sz w:val="18"/>
              </w:rPr>
              <w:t>Number of prediction requests received.</w:t>
            </w:r>
          </w:p>
        </w:tc>
      </w:tr>
      <w:tr>
        <w:tc>
          <w:tcPr>
            <w:tcW w:type="dxa" w:w="3456"/>
            <w:tcMar>
              <w:top w:w="90" w:type="dxa"/>
              <w:start w:w="110" w:type="dxa"/>
              <w:bottom w:w="90" w:type="dxa"/>
              <w:end w:w="110" w:type="dxa"/>
            </w:tcMar>
            <w:vAlign w:val="center"/>
          </w:tcPr>
          <w:p>
            <w:pPr>
              <w:spacing w:after="0"/>
            </w:pPr>
            <w:r>
              <w:rPr>
                <w:b/>
                <w:sz w:val="18"/>
              </w:rPr>
              <w:t>prediction_errors_total</w:t>
            </w:r>
          </w:p>
        </w:tc>
        <w:tc>
          <w:tcPr>
            <w:tcW w:type="dxa" w:w="5616"/>
            <w:tcMar>
              <w:top w:w="90" w:type="dxa"/>
              <w:start w:w="110" w:type="dxa"/>
              <w:bottom w:w="90" w:type="dxa"/>
              <w:end w:w="110" w:type="dxa"/>
            </w:tcMar>
            <w:vAlign w:val="center"/>
          </w:tcPr>
          <w:p>
            <w:pPr>
              <w:spacing w:after="0"/>
            </w:pPr>
            <w:r>
              <w:rPr>
                <w:sz w:val="18"/>
              </w:rPr>
              <w:t>Number of failed prediction requests.</w:t>
            </w:r>
          </w:p>
        </w:tc>
      </w:tr>
      <w:tr>
        <w:tc>
          <w:tcPr>
            <w:tcW w:type="dxa" w:w="3456"/>
            <w:tcMar>
              <w:top w:w="90" w:type="dxa"/>
              <w:start w:w="110" w:type="dxa"/>
              <w:bottom w:w="90" w:type="dxa"/>
              <w:end w:w="110" w:type="dxa"/>
            </w:tcMar>
            <w:vAlign w:val="center"/>
          </w:tcPr>
          <w:p>
            <w:pPr>
              <w:spacing w:after="0"/>
            </w:pPr>
            <w:r>
              <w:rPr>
                <w:b/>
                <w:sz w:val="18"/>
              </w:rPr>
              <w:t>prediction_duration_seconds</w:t>
            </w:r>
          </w:p>
        </w:tc>
        <w:tc>
          <w:tcPr>
            <w:tcW w:type="dxa" w:w="5616"/>
            <w:tcMar>
              <w:top w:w="90" w:type="dxa"/>
              <w:start w:w="110" w:type="dxa"/>
              <w:bottom w:w="90" w:type="dxa"/>
              <w:end w:w="110" w:type="dxa"/>
            </w:tcMar>
            <w:vAlign w:val="center"/>
          </w:tcPr>
          <w:p>
            <w:pPr>
              <w:spacing w:after="0"/>
            </w:pPr>
            <w:r>
              <w:rPr>
                <w:sz w:val="18"/>
              </w:rPr>
              <w:t>Distribution of prediction latency.</w:t>
            </w:r>
          </w:p>
        </w:tc>
      </w:tr>
      <w:tr>
        <w:tc>
          <w:tcPr>
            <w:tcW w:type="dxa" w:w="3456"/>
            <w:tcMar>
              <w:top w:w="90" w:type="dxa"/>
              <w:start w:w="110" w:type="dxa"/>
              <w:bottom w:w="90" w:type="dxa"/>
              <w:end w:w="110" w:type="dxa"/>
            </w:tcMar>
            <w:vAlign w:val="center"/>
          </w:tcPr>
          <w:p>
            <w:pPr>
              <w:spacing w:after="0"/>
            </w:pPr>
            <w:r>
              <w:rPr>
                <w:b/>
                <w:sz w:val="18"/>
              </w:rPr>
              <w:t>predicted_classes_total</w:t>
            </w:r>
          </w:p>
        </w:tc>
        <w:tc>
          <w:tcPr>
            <w:tcW w:type="dxa" w:w="5616"/>
            <w:tcMar>
              <w:top w:w="90" w:type="dxa"/>
              <w:start w:w="110" w:type="dxa"/>
              <w:bottom w:w="90" w:type="dxa"/>
              <w:end w:w="110" w:type="dxa"/>
            </w:tcMar>
            <w:vAlign w:val="center"/>
          </w:tcPr>
          <w:p>
            <w:pPr>
              <w:spacing w:after="0"/>
            </w:pPr>
            <w:r>
              <w:rPr>
                <w:sz w:val="18"/>
              </w:rPr>
              <w:t>Prediction counts grouped by output class.</w:t>
            </w:r>
          </w:p>
        </w:tc>
      </w:tr>
    </w:tbl>
    <w:tbl>
      <w:tblPr>
        <w:tblW w:type="auto" w:w="0"/>
        <w:jc w:val="center"/>
        <w:tblLayout w:type="fixed"/>
        <w:tblLook w:firstColumn="1" w:firstRow="1" w:lastColumn="0" w:lastRow="0" w:noHBand="0" w:noVBand="1" w:val="04A0"/>
      </w:tblPr>
      <w:tblGrid>
        <w:gridCol w:w="9144"/>
      </w:tblGrid>
      <w:tr>
        <w:tc>
          <w:tcPr>
            <w:tcW w:type="dxa" w:w="9792"/>
            <w:shd w:fill="D9EAF7"/>
            <w:tcMar>
              <w:top w:w="130" w:type="dxa"/>
              <w:start w:w="150" w:type="dxa"/>
              <w:bottom w:w="130" w:type="dxa"/>
              <w:end w:w="150" w:type="dxa"/>
            </w:tcMar>
            <w:vAlign w:val="center"/>
          </w:tcPr>
          <w:p>
            <w:r>
              <w:rPr>
                <w:b/>
                <w:color w:val="203864"/>
              </w:rPr>
              <w:t xml:space="preserve">Current status  </w:t>
            </w:r>
            <w:r>
              <w:t>The API and metrics endpoint are implemented and tested. A separate Prometheus/Grafana stack was not deployed, so the project is monitoring-ready rather than a complete external dashboard deployment.</w:t>
            </w:r>
          </w:p>
        </w:tc>
      </w:tr>
    </w:tbl>
    <w:p>
      <w:pPr>
        <w:spacing w:after="40"/>
      </w:pPr>
    </w:p>
    <w:p>
      <w:r>
        <w:br w:type="page"/>
      </w:r>
    </w:p>
    <w:p>
      <w:pPr>
        <w:pStyle w:val="Heading1"/>
        <w:keepNext/>
      </w:pPr>
      <w:r>
        <w:t>7. Automated Testing, Linting, and CI Configuration</w:t>
      </w:r>
    </w:p>
    <w:p>
      <w:pPr>
        <w:spacing w:after="140" w:line="259" w:lineRule="auto"/>
      </w:pPr>
      <w:r>
        <w:t>Quality checks cover data integrity, serialized model behavior, API responses, validation failures, optional missing values, probability consistency, service health, and metrics availability. Ruff is used for static code-quality checks.</w:t>
      </w:r>
    </w:p>
    <w:p>
      <w:pPr>
        <w:pStyle w:val="Heading2"/>
        <w:keepNext/>
      </w:pPr>
      <w:r>
        <w:t>7.1 Test coverage</w:t>
      </w:r>
    </w:p>
    <w:tbl>
      <w:tblPr>
        <w:tblStyle w:val="TableGrid"/>
        <w:tblW w:type="auto" w:w="0"/>
        <w:jc w:val="center"/>
        <w:tblLayout w:type="fixed"/>
        <w:tblLook w:firstColumn="1" w:firstRow="1" w:lastColumn="0" w:lastRow="0" w:noHBand="0" w:noVBand="1" w:val="04A0"/>
      </w:tblPr>
      <w:tblGrid>
        <w:gridCol w:w="4896"/>
        <w:gridCol w:w="4896"/>
      </w:tblGrid>
      <w:tr>
        <w:tc>
          <w:tcPr>
            <w:tcW w:type="dxa" w:w="4896"/>
            <w:shd w:fill="1F4E79"/>
            <w:tcMar>
              <w:top w:w="90" w:type="dxa"/>
              <w:start w:w="110" w:type="dxa"/>
              <w:bottom w:w="90" w:type="dxa"/>
              <w:end w:w="110" w:type="dxa"/>
            </w:tcMar>
            <w:vAlign w:val="center"/>
          </w:tcPr>
          <w:p>
            <w:pPr>
              <w:jc w:val="center"/>
            </w:pPr>
            <w:r>
              <w:rPr>
                <w:b/>
                <w:color w:val="FFFFFF"/>
                <w:sz w:val="18"/>
              </w:rPr>
              <w:t>Test area</w:t>
            </w:r>
          </w:p>
        </w:tc>
        <w:tc>
          <w:tcPr>
            <w:tcW w:type="dxa" w:w="4896"/>
            <w:shd w:fill="1F4E79"/>
            <w:tcMar>
              <w:top w:w="90" w:type="dxa"/>
              <w:start w:w="110" w:type="dxa"/>
              <w:bottom w:w="90" w:type="dxa"/>
              <w:end w:w="110" w:type="dxa"/>
            </w:tcMar>
            <w:vAlign w:val="center"/>
          </w:tcPr>
          <w:p>
            <w:pPr>
              <w:jc w:val="center"/>
            </w:pPr>
            <w:r>
              <w:rPr>
                <w:b/>
                <w:color w:val="FFFFFF"/>
                <w:sz w:val="18"/>
              </w:rPr>
              <w:t>Examples</w:t>
            </w:r>
          </w:p>
        </w:tc>
      </w:tr>
      <w:tr>
        <w:tc>
          <w:tcPr>
            <w:tcW w:type="dxa" w:w="1800"/>
            <w:tcMar>
              <w:top w:w="90" w:type="dxa"/>
              <w:start w:w="110" w:type="dxa"/>
              <w:bottom w:w="90" w:type="dxa"/>
              <w:end w:w="110" w:type="dxa"/>
            </w:tcMar>
            <w:vAlign w:val="center"/>
          </w:tcPr>
          <w:p>
            <w:pPr>
              <w:spacing w:after="0"/>
            </w:pPr>
            <w:r>
              <w:rPr>
                <w:b/>
                <w:sz w:val="18"/>
              </w:rPr>
              <w:t>Dataset</w:t>
            </w:r>
          </w:p>
        </w:tc>
        <w:tc>
          <w:tcPr>
            <w:tcW w:type="dxa" w:w="7272"/>
            <w:tcMar>
              <w:top w:w="90" w:type="dxa"/>
              <w:start w:w="110" w:type="dxa"/>
              <w:bottom w:w="90" w:type="dxa"/>
              <w:end w:w="110" w:type="dxa"/>
            </w:tcMar>
            <w:vAlign w:val="center"/>
          </w:tcPr>
          <w:p>
            <w:pPr>
              <w:spacing w:after="0"/>
            </w:pPr>
            <w:r>
              <w:rPr>
                <w:sz w:val="18"/>
              </w:rPr>
              <w:t>Required fields, binary target, and non-missing target.</w:t>
            </w:r>
          </w:p>
        </w:tc>
      </w:tr>
      <w:tr>
        <w:tc>
          <w:tcPr>
            <w:tcW w:type="dxa" w:w="1800"/>
            <w:tcMar>
              <w:top w:w="90" w:type="dxa"/>
              <w:start w:w="110" w:type="dxa"/>
              <w:bottom w:w="90" w:type="dxa"/>
              <w:end w:w="110" w:type="dxa"/>
            </w:tcMar>
            <w:vAlign w:val="center"/>
          </w:tcPr>
          <w:p>
            <w:pPr>
              <w:spacing w:after="0"/>
            </w:pPr>
            <w:r>
              <w:rPr>
                <w:b/>
                <w:sz w:val="18"/>
              </w:rPr>
              <w:t>Model</w:t>
            </w:r>
          </w:p>
        </w:tc>
        <w:tc>
          <w:tcPr>
            <w:tcW w:type="dxa" w:w="7272"/>
            <w:tcMar>
              <w:top w:w="90" w:type="dxa"/>
              <w:start w:w="110" w:type="dxa"/>
              <w:bottom w:w="90" w:type="dxa"/>
              <w:end w:w="110" w:type="dxa"/>
            </w:tcMar>
            <w:vAlign w:val="center"/>
          </w:tcPr>
          <w:p>
            <w:pPr>
              <w:spacing w:after="0"/>
            </w:pPr>
            <w:r>
              <w:rPr>
                <w:sz w:val="18"/>
              </w:rPr>
              <w:t>Artifact existence, binary prediction, valid probabilities, missing-value handling.</w:t>
            </w:r>
          </w:p>
        </w:tc>
      </w:tr>
      <w:tr>
        <w:tc>
          <w:tcPr>
            <w:tcW w:type="dxa" w:w="1800"/>
            <w:tcMar>
              <w:top w:w="90" w:type="dxa"/>
              <w:start w:w="110" w:type="dxa"/>
              <w:bottom w:w="90" w:type="dxa"/>
              <w:end w:w="110" w:type="dxa"/>
            </w:tcMar>
            <w:vAlign w:val="center"/>
          </w:tcPr>
          <w:p>
            <w:pPr>
              <w:spacing w:after="0"/>
            </w:pPr>
            <w:r>
              <w:rPr>
                <w:b/>
                <w:sz w:val="18"/>
              </w:rPr>
              <w:t>API</w:t>
            </w:r>
          </w:p>
        </w:tc>
        <w:tc>
          <w:tcPr>
            <w:tcW w:type="dxa" w:w="7272"/>
            <w:tcMar>
              <w:top w:w="90" w:type="dxa"/>
              <w:start w:w="110" w:type="dxa"/>
              <w:bottom w:w="90" w:type="dxa"/>
              <w:end w:w="110" w:type="dxa"/>
            </w:tcMar>
            <w:vAlign w:val="center"/>
          </w:tcPr>
          <w:p>
            <w:pPr>
              <w:spacing w:after="0"/>
            </w:pPr>
            <w:r>
              <w:rPr>
                <w:sz w:val="18"/>
              </w:rPr>
              <w:t>Root and health responses, valid prediction request, invalid age/category rejection.</w:t>
            </w:r>
          </w:p>
        </w:tc>
      </w:tr>
      <w:tr>
        <w:tc>
          <w:tcPr>
            <w:tcW w:type="dxa" w:w="1800"/>
            <w:tcMar>
              <w:top w:w="90" w:type="dxa"/>
              <w:start w:w="110" w:type="dxa"/>
              <w:bottom w:w="90" w:type="dxa"/>
              <w:end w:w="110" w:type="dxa"/>
            </w:tcMar>
            <w:vAlign w:val="center"/>
          </w:tcPr>
          <w:p>
            <w:pPr>
              <w:spacing w:after="0"/>
            </w:pPr>
            <w:r>
              <w:rPr>
                <w:b/>
                <w:sz w:val="18"/>
              </w:rPr>
              <w:t>Metrics</w:t>
            </w:r>
          </w:p>
        </w:tc>
        <w:tc>
          <w:tcPr>
            <w:tcW w:type="dxa" w:w="7272"/>
            <w:tcMar>
              <w:top w:w="90" w:type="dxa"/>
              <w:start w:w="110" w:type="dxa"/>
              <w:bottom w:w="90" w:type="dxa"/>
              <w:end w:w="110" w:type="dxa"/>
            </w:tcMar>
            <w:vAlign w:val="center"/>
          </w:tcPr>
          <w:p>
            <w:pPr>
              <w:spacing w:after="0"/>
            </w:pPr>
            <w:r>
              <w:rPr>
                <w:sz w:val="18"/>
              </w:rPr>
              <w:t>Prometheus endpoint availability and project metric names.</w:t>
            </w:r>
          </w:p>
        </w:tc>
      </w:tr>
    </w:tbl>
    <w:p>
      <w:pPr>
        <w:pStyle w:val="Heading2"/>
        <w:keepNext/>
      </w:pPr>
      <w:r>
        <w:t>7.2 Continuous integration</w:t>
      </w:r>
    </w:p>
    <w:p>
      <w:pPr>
        <w:spacing w:after="140" w:line="259" w:lineRule="auto"/>
      </w:pPr>
      <w:r>
        <w:t>The repository includes a GitHub Actions workflow YAML so that linting and tests can be automated on repository events. The evaluator should inspect .github/workflows/ together with any workflow-run screenshots that were captured. If a successful hosted run is not present, the file should be treated as CI configuration rather than evidence of an executed CI pipeline.</w:t>
      </w:r>
    </w:p>
    <w:p>
      <w:pPr>
        <w:pStyle w:val="Heading2"/>
        <w:keepNext/>
      </w:pPr>
      <w:r>
        <w:t>7.3 Quality commands</w:t>
      </w:r>
    </w:p>
    <w:tbl>
      <w:tblPr>
        <w:tblW w:type="auto" w:w="0"/>
        <w:jc w:val="center"/>
        <w:tblLayout w:type="fixed"/>
        <w:tblLook w:firstColumn="1" w:firstRow="1" w:lastColumn="0" w:lastRow="0" w:noHBand="0" w:noVBand="1" w:val="04A0"/>
      </w:tblPr>
      <w:tblGrid>
        <w:gridCol w:w="9144"/>
      </w:tblGrid>
      <w:tr>
        <w:tc>
          <w:tcPr>
            <w:tcW w:type="dxa" w:w="9792"/>
            <w:shd w:fill="D9EAF7"/>
            <w:tcMar>
              <w:top w:w="130" w:type="dxa"/>
              <w:start w:w="150" w:type="dxa"/>
              <w:bottom w:w="130" w:type="dxa"/>
              <w:end w:w="150" w:type="dxa"/>
            </w:tcMar>
            <w:vAlign w:val="center"/>
          </w:tcPr>
          <w:p>
            <w:r>
              <w:rPr>
                <w:b/>
                <w:color w:val="203864"/>
              </w:rPr>
              <w:t xml:space="preserve">Lint  </w:t>
            </w:r>
            <w:r>
              <w:t>ruff check src tests</w:t>
            </w:r>
          </w:p>
        </w:tc>
      </w:tr>
    </w:tbl>
    <w:p>
      <w:pPr>
        <w:spacing w:after="40"/>
      </w:pPr>
    </w:p>
    <w:tbl>
      <w:tblPr>
        <w:tblW w:type="auto" w:w="0"/>
        <w:jc w:val="center"/>
        <w:tblLayout w:type="fixed"/>
        <w:tblLook w:firstColumn="1" w:firstRow="1" w:lastColumn="0" w:lastRow="0" w:noHBand="0" w:noVBand="1" w:val="04A0"/>
      </w:tblPr>
      <w:tblGrid>
        <w:gridCol w:w="9144"/>
      </w:tblGrid>
      <w:tr>
        <w:tc>
          <w:tcPr>
            <w:tcW w:type="dxa" w:w="9792"/>
            <w:shd w:fill="D9EAF7"/>
            <w:tcMar>
              <w:top w:w="130" w:type="dxa"/>
              <w:start w:w="150" w:type="dxa"/>
              <w:bottom w:w="130" w:type="dxa"/>
              <w:end w:w="150" w:type="dxa"/>
            </w:tcMar>
            <w:vAlign w:val="center"/>
          </w:tcPr>
          <w:p>
            <w:r>
              <w:rPr>
                <w:b/>
                <w:color w:val="203864"/>
              </w:rPr>
              <w:t xml:space="preserve">Tests  </w:t>
            </w:r>
            <w:r>
              <w:t>pytest -v</w:t>
            </w:r>
          </w:p>
        </w:tc>
      </w:tr>
    </w:tbl>
    <w:p>
      <w:pPr>
        <w:spacing w:after="40"/>
      </w:pPr>
    </w:p>
    <w:tbl>
      <w:tblPr>
        <w:tblW w:type="auto" w:w="0"/>
        <w:jc w:val="center"/>
        <w:tblLayout w:type="fixed"/>
        <w:tblLook w:firstColumn="1" w:firstRow="1" w:lastColumn="0" w:lastRow="0" w:noHBand="0" w:noVBand="1" w:val="04A0"/>
      </w:tblPr>
      <w:tblGrid>
        <w:gridCol w:w="9144"/>
      </w:tblGrid>
      <w:tr>
        <w:tc>
          <w:tcPr>
            <w:tcW w:type="dxa" w:w="9792"/>
            <w:shd w:fill="D9EAF7"/>
            <w:tcMar>
              <w:top w:w="130" w:type="dxa"/>
              <w:start w:w="150" w:type="dxa"/>
              <w:bottom w:w="130" w:type="dxa"/>
              <w:end w:w="150" w:type="dxa"/>
            </w:tcMar>
            <w:vAlign w:val="center"/>
          </w:tcPr>
          <w:p>
            <w:r>
              <w:rPr>
                <w:b/>
                <w:color w:val="203864"/>
              </w:rPr>
              <w:t xml:space="preserve">Coverage  </w:t>
            </w:r>
            <w:r>
              <w:t>pytest --cov=src --cov-report=term-missing --cov-report=xml -v</w:t>
            </w:r>
          </w:p>
        </w:tc>
      </w:tr>
    </w:tbl>
    <w:p>
      <w:pPr>
        <w:spacing w:after="40"/>
      </w:pPr>
    </w:p>
    <w:p>
      <w:pPr>
        <w:spacing w:after="140" w:line="259" w:lineRule="auto"/>
      </w:pPr>
      <w:r>
        <w:t>Execution logs and screenshots should be stored under reports/execution_logs/ and screenshots/testing/ when available. These provide auditable evidence beyond source code alone.</w:t>
      </w:r>
    </w:p>
    <w:p>
      <w:r>
        <w:br w:type="page"/>
      </w:r>
    </w:p>
    <w:p>
      <w:pPr>
        <w:pStyle w:val="Heading1"/>
        <w:keepNext/>
      </w:pPr>
      <w:r>
        <w:t>8. Deployment Status, Deliverables, and Gap Analysis</w:t>
      </w:r>
    </w:p>
    <w:p>
      <w:pPr>
        <w:spacing w:after="140" w:line="259" w:lineRule="auto"/>
      </w:pPr>
      <w:r>
        <w:t>The assignment targets an end-to-end MLOps implementation. The repository currently completes model development, tracking, packaging, serving, metrics exposure, tests, linting, and CI configuration. Infrastructure deployment components remain incomplete.</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3264"/>
            <w:shd w:fill="1F4E79"/>
            <w:tcMar>
              <w:top w:w="90" w:type="dxa"/>
              <w:start w:w="110" w:type="dxa"/>
              <w:bottom w:w="90" w:type="dxa"/>
              <w:end w:w="110" w:type="dxa"/>
            </w:tcMar>
            <w:vAlign w:val="center"/>
          </w:tcPr>
          <w:p>
            <w:pPr>
              <w:jc w:val="center"/>
            </w:pPr>
            <w:r>
              <w:rPr>
                <w:b/>
                <w:color w:val="FFFFFF"/>
                <w:sz w:val="18"/>
              </w:rPr>
              <w:t>Deliverable</w:t>
            </w:r>
          </w:p>
        </w:tc>
        <w:tc>
          <w:tcPr>
            <w:tcW w:type="dxa" w:w="3264"/>
            <w:shd w:fill="1F4E79"/>
            <w:tcMar>
              <w:top w:w="90" w:type="dxa"/>
              <w:start w:w="110" w:type="dxa"/>
              <w:bottom w:w="90" w:type="dxa"/>
              <w:end w:w="110" w:type="dxa"/>
            </w:tcMar>
            <w:vAlign w:val="center"/>
          </w:tcPr>
          <w:p>
            <w:pPr>
              <w:jc w:val="center"/>
            </w:pPr>
            <w:r>
              <w:rPr>
                <w:b/>
                <w:color w:val="FFFFFF"/>
                <w:sz w:val="18"/>
              </w:rPr>
              <w:t>Status</w:t>
            </w:r>
          </w:p>
        </w:tc>
        <w:tc>
          <w:tcPr>
            <w:tcW w:type="dxa" w:w="3264"/>
            <w:shd w:fill="1F4E79"/>
            <w:tcMar>
              <w:top w:w="90" w:type="dxa"/>
              <w:start w:w="110" w:type="dxa"/>
              <w:bottom w:w="90" w:type="dxa"/>
              <w:end w:w="110" w:type="dxa"/>
            </w:tcMar>
            <w:vAlign w:val="center"/>
          </w:tcPr>
          <w:p>
            <w:pPr>
              <w:jc w:val="center"/>
            </w:pPr>
            <w:r>
              <w:rPr>
                <w:b/>
                <w:color w:val="FFFFFF"/>
                <w:sz w:val="18"/>
              </w:rPr>
              <w:t>Repository evidence</w:t>
            </w:r>
          </w:p>
        </w:tc>
      </w:tr>
      <w:tr>
        <w:tc>
          <w:tcPr>
            <w:tcW w:type="dxa" w:w="2880"/>
            <w:tcMar>
              <w:top w:w="90" w:type="dxa"/>
              <w:start w:w="110" w:type="dxa"/>
              <w:bottom w:w="90" w:type="dxa"/>
              <w:end w:w="110" w:type="dxa"/>
            </w:tcMar>
            <w:vAlign w:val="center"/>
          </w:tcPr>
          <w:p>
            <w:pPr>
              <w:spacing w:after="0"/>
            </w:pPr>
            <w:r>
              <w:rPr>
                <w:b/>
                <w:sz w:val="18"/>
              </w:rPr>
              <w:t>Source code and notebook</w:t>
            </w:r>
          </w:p>
        </w:tc>
        <w:tc>
          <w:tcPr>
            <w:tcW w:type="dxa" w:w="1656"/>
            <w:tcMar>
              <w:top w:w="90" w:type="dxa"/>
              <w:start w:w="110" w:type="dxa"/>
              <w:bottom w:w="90" w:type="dxa"/>
              <w:end w:w="110" w:type="dxa"/>
            </w:tcMar>
            <w:vAlign w:val="center"/>
          </w:tcPr>
          <w:p>
            <w:pPr>
              <w:spacing w:after="0"/>
            </w:pPr>
            <w:r>
              <w:rPr>
                <w:sz w:val="18"/>
              </w:rPr>
              <w:t>Completed</w:t>
            </w:r>
          </w:p>
        </w:tc>
        <w:tc>
          <w:tcPr>
            <w:tcW w:type="dxa" w:w="4536"/>
            <w:tcMar>
              <w:top w:w="90" w:type="dxa"/>
              <w:start w:w="110" w:type="dxa"/>
              <w:bottom w:w="90" w:type="dxa"/>
              <w:end w:w="110" w:type="dxa"/>
            </w:tcMar>
            <w:vAlign w:val="center"/>
          </w:tcPr>
          <w:p>
            <w:pPr>
              <w:spacing w:after="0"/>
            </w:pPr>
            <w:r>
              <w:rPr>
                <w:sz w:val="18"/>
              </w:rPr>
              <w:t>notebooks/, src/, data/, reports/</w:t>
            </w:r>
          </w:p>
        </w:tc>
      </w:tr>
      <w:tr>
        <w:tc>
          <w:tcPr>
            <w:tcW w:type="dxa" w:w="2880"/>
            <w:tcMar>
              <w:top w:w="90" w:type="dxa"/>
              <w:start w:w="110" w:type="dxa"/>
              <w:bottom w:w="90" w:type="dxa"/>
              <w:end w:w="110" w:type="dxa"/>
            </w:tcMar>
            <w:vAlign w:val="center"/>
          </w:tcPr>
          <w:p>
            <w:pPr>
              <w:spacing w:after="0"/>
            </w:pPr>
            <w:r>
              <w:rPr>
                <w:b/>
                <w:sz w:val="18"/>
              </w:rPr>
              <w:t>Two models and tuning</w:t>
            </w:r>
          </w:p>
        </w:tc>
        <w:tc>
          <w:tcPr>
            <w:tcW w:type="dxa" w:w="1656"/>
            <w:tcMar>
              <w:top w:w="90" w:type="dxa"/>
              <w:start w:w="110" w:type="dxa"/>
              <w:bottom w:w="90" w:type="dxa"/>
              <w:end w:w="110" w:type="dxa"/>
            </w:tcMar>
            <w:vAlign w:val="center"/>
          </w:tcPr>
          <w:p>
            <w:pPr>
              <w:spacing w:after="0"/>
            </w:pPr>
            <w:r>
              <w:rPr>
                <w:sz w:val="18"/>
              </w:rPr>
              <w:t>Completed</w:t>
            </w:r>
          </w:p>
        </w:tc>
        <w:tc>
          <w:tcPr>
            <w:tcW w:type="dxa" w:w="4536"/>
            <w:tcMar>
              <w:top w:w="90" w:type="dxa"/>
              <w:start w:w="110" w:type="dxa"/>
              <w:bottom w:w="90" w:type="dxa"/>
              <w:end w:w="110" w:type="dxa"/>
            </w:tcMar>
            <w:vAlign w:val="center"/>
          </w:tcPr>
          <w:p>
            <w:pPr>
              <w:spacing w:after="0"/>
            </w:pPr>
            <w:r>
              <w:rPr>
                <w:sz w:val="18"/>
              </w:rPr>
              <w:t>src/models/train.py and model comparison</w:t>
            </w:r>
          </w:p>
        </w:tc>
      </w:tr>
      <w:tr>
        <w:tc>
          <w:tcPr>
            <w:tcW w:type="dxa" w:w="2880"/>
            <w:tcMar>
              <w:top w:w="90" w:type="dxa"/>
              <w:start w:w="110" w:type="dxa"/>
              <w:bottom w:w="90" w:type="dxa"/>
              <w:end w:w="110" w:type="dxa"/>
            </w:tcMar>
            <w:vAlign w:val="center"/>
          </w:tcPr>
          <w:p>
            <w:pPr>
              <w:spacing w:after="0"/>
            </w:pPr>
            <w:r>
              <w:rPr>
                <w:b/>
                <w:sz w:val="18"/>
              </w:rPr>
              <w:t>MLflow tracking</w:t>
            </w:r>
          </w:p>
        </w:tc>
        <w:tc>
          <w:tcPr>
            <w:tcW w:type="dxa" w:w="1656"/>
            <w:tcMar>
              <w:top w:w="90" w:type="dxa"/>
              <w:start w:w="110" w:type="dxa"/>
              <w:bottom w:w="90" w:type="dxa"/>
              <w:end w:w="110" w:type="dxa"/>
            </w:tcMar>
            <w:vAlign w:val="center"/>
          </w:tcPr>
          <w:p>
            <w:pPr>
              <w:spacing w:after="0"/>
            </w:pPr>
            <w:r>
              <w:rPr>
                <w:sz w:val="18"/>
              </w:rPr>
              <w:t>Completed</w:t>
            </w:r>
          </w:p>
        </w:tc>
        <w:tc>
          <w:tcPr>
            <w:tcW w:type="dxa" w:w="4536"/>
            <w:tcMar>
              <w:top w:w="90" w:type="dxa"/>
              <w:start w:w="110" w:type="dxa"/>
              <w:bottom w:w="90" w:type="dxa"/>
              <w:end w:w="110" w:type="dxa"/>
            </w:tcMar>
            <w:vAlign w:val="center"/>
          </w:tcPr>
          <w:p>
            <w:pPr>
              <w:spacing w:after="0"/>
            </w:pPr>
            <w:r>
              <w:rPr>
                <w:sz w:val="18"/>
              </w:rPr>
              <w:t>training code, SQLite configuration, screenshots</w:t>
            </w:r>
          </w:p>
        </w:tc>
      </w:tr>
      <w:tr>
        <w:tc>
          <w:tcPr>
            <w:tcW w:type="dxa" w:w="2880"/>
            <w:tcMar>
              <w:top w:w="90" w:type="dxa"/>
              <w:start w:w="110" w:type="dxa"/>
              <w:bottom w:w="90" w:type="dxa"/>
              <w:end w:w="110" w:type="dxa"/>
            </w:tcMar>
            <w:vAlign w:val="center"/>
          </w:tcPr>
          <w:p>
            <w:pPr>
              <w:spacing w:after="0"/>
            </w:pPr>
            <w:r>
              <w:rPr>
                <w:b/>
                <w:sz w:val="18"/>
              </w:rPr>
              <w:t>Serialized model</w:t>
            </w:r>
          </w:p>
        </w:tc>
        <w:tc>
          <w:tcPr>
            <w:tcW w:type="dxa" w:w="1656"/>
            <w:tcMar>
              <w:top w:w="90" w:type="dxa"/>
              <w:start w:w="110" w:type="dxa"/>
              <w:bottom w:w="90" w:type="dxa"/>
              <w:end w:w="110" w:type="dxa"/>
            </w:tcMar>
            <w:vAlign w:val="center"/>
          </w:tcPr>
          <w:p>
            <w:pPr>
              <w:spacing w:after="0"/>
            </w:pPr>
            <w:r>
              <w:rPr>
                <w:sz w:val="18"/>
              </w:rPr>
              <w:t>Completed</w:t>
            </w:r>
          </w:p>
        </w:tc>
        <w:tc>
          <w:tcPr>
            <w:tcW w:type="dxa" w:w="4536"/>
            <w:tcMar>
              <w:top w:w="90" w:type="dxa"/>
              <w:start w:w="110" w:type="dxa"/>
              <w:bottom w:w="90" w:type="dxa"/>
              <w:end w:w="110" w:type="dxa"/>
            </w:tcMar>
            <w:vAlign w:val="center"/>
          </w:tcPr>
          <w:p>
            <w:pPr>
              <w:spacing w:after="0"/>
            </w:pPr>
            <w:r>
              <w:rPr>
                <w:sz w:val="18"/>
              </w:rPr>
              <w:t>artifacts/model.joblib and metadata JSON</w:t>
            </w:r>
          </w:p>
        </w:tc>
      </w:tr>
      <w:tr>
        <w:tc>
          <w:tcPr>
            <w:tcW w:type="dxa" w:w="2880"/>
            <w:tcMar>
              <w:top w:w="90" w:type="dxa"/>
              <w:start w:w="110" w:type="dxa"/>
              <w:bottom w:w="90" w:type="dxa"/>
              <w:end w:w="110" w:type="dxa"/>
            </w:tcMar>
            <w:vAlign w:val="center"/>
          </w:tcPr>
          <w:p>
            <w:pPr>
              <w:spacing w:after="0"/>
            </w:pPr>
            <w:r>
              <w:rPr>
                <w:b/>
                <w:sz w:val="18"/>
              </w:rPr>
              <w:t>Prediction API</w:t>
            </w:r>
          </w:p>
        </w:tc>
        <w:tc>
          <w:tcPr>
            <w:tcW w:type="dxa" w:w="1656"/>
            <w:tcMar>
              <w:top w:w="90" w:type="dxa"/>
              <w:start w:w="110" w:type="dxa"/>
              <w:bottom w:w="90" w:type="dxa"/>
              <w:end w:w="110" w:type="dxa"/>
            </w:tcMar>
            <w:vAlign w:val="center"/>
          </w:tcPr>
          <w:p>
            <w:pPr>
              <w:spacing w:after="0"/>
            </w:pPr>
            <w:r>
              <w:rPr>
                <w:sz w:val="18"/>
              </w:rPr>
              <w:t>Completed</w:t>
            </w:r>
          </w:p>
        </w:tc>
        <w:tc>
          <w:tcPr>
            <w:tcW w:type="dxa" w:w="4536"/>
            <w:tcMar>
              <w:top w:w="90" w:type="dxa"/>
              <w:start w:w="110" w:type="dxa"/>
              <w:bottom w:w="90" w:type="dxa"/>
              <w:end w:w="110" w:type="dxa"/>
            </w:tcMar>
            <w:vAlign w:val="center"/>
          </w:tcPr>
          <w:p>
            <w:pPr>
              <w:spacing w:after="0"/>
            </w:pPr>
            <w:r>
              <w:rPr>
                <w:sz w:val="18"/>
              </w:rPr>
              <w:t>src/api/main.py and API screenshots</w:t>
            </w:r>
          </w:p>
        </w:tc>
      </w:tr>
      <w:tr>
        <w:tc>
          <w:tcPr>
            <w:tcW w:type="dxa" w:w="2880"/>
            <w:tcMar>
              <w:top w:w="90" w:type="dxa"/>
              <w:start w:w="110" w:type="dxa"/>
              <w:bottom w:w="90" w:type="dxa"/>
              <w:end w:w="110" w:type="dxa"/>
            </w:tcMar>
            <w:vAlign w:val="center"/>
          </w:tcPr>
          <w:p>
            <w:pPr>
              <w:spacing w:after="0"/>
            </w:pPr>
            <w:r>
              <w:rPr>
                <w:b/>
                <w:sz w:val="18"/>
              </w:rPr>
              <w:t>Tests and linting</w:t>
            </w:r>
          </w:p>
        </w:tc>
        <w:tc>
          <w:tcPr>
            <w:tcW w:type="dxa" w:w="1656"/>
            <w:tcMar>
              <w:top w:w="90" w:type="dxa"/>
              <w:start w:w="110" w:type="dxa"/>
              <w:bottom w:w="90" w:type="dxa"/>
              <w:end w:w="110" w:type="dxa"/>
            </w:tcMar>
            <w:vAlign w:val="center"/>
          </w:tcPr>
          <w:p>
            <w:pPr>
              <w:spacing w:after="0"/>
            </w:pPr>
            <w:r>
              <w:rPr>
                <w:sz w:val="18"/>
              </w:rPr>
              <w:t>Completed</w:t>
            </w:r>
          </w:p>
        </w:tc>
        <w:tc>
          <w:tcPr>
            <w:tcW w:type="dxa" w:w="4536"/>
            <w:tcMar>
              <w:top w:w="90" w:type="dxa"/>
              <w:start w:w="110" w:type="dxa"/>
              <w:bottom w:w="90" w:type="dxa"/>
              <w:end w:w="110" w:type="dxa"/>
            </w:tcMar>
            <w:vAlign w:val="center"/>
          </w:tcPr>
          <w:p>
            <w:pPr>
              <w:spacing w:after="0"/>
            </w:pPr>
            <w:r>
              <w:rPr>
                <w:sz w:val="18"/>
              </w:rPr>
              <w:t>tests/, pyproject.toml, test evidence</w:t>
            </w:r>
          </w:p>
        </w:tc>
      </w:tr>
      <w:tr>
        <w:tc>
          <w:tcPr>
            <w:tcW w:type="dxa" w:w="2880"/>
            <w:tcMar>
              <w:top w:w="90" w:type="dxa"/>
              <w:start w:w="110" w:type="dxa"/>
              <w:bottom w:w="90" w:type="dxa"/>
              <w:end w:w="110" w:type="dxa"/>
            </w:tcMar>
            <w:vAlign w:val="center"/>
          </w:tcPr>
          <w:p>
            <w:pPr>
              <w:spacing w:after="0"/>
            </w:pPr>
            <w:r>
              <w:rPr>
                <w:b/>
                <w:sz w:val="18"/>
              </w:rPr>
              <w:t>GitHub Actions YAML</w:t>
            </w:r>
          </w:p>
        </w:tc>
        <w:tc>
          <w:tcPr>
            <w:tcW w:type="dxa" w:w="1656"/>
            <w:tcMar>
              <w:top w:w="90" w:type="dxa"/>
              <w:start w:w="110" w:type="dxa"/>
              <w:bottom w:w="90" w:type="dxa"/>
              <w:end w:w="110" w:type="dxa"/>
            </w:tcMar>
            <w:vAlign w:val="center"/>
          </w:tcPr>
          <w:p>
            <w:pPr>
              <w:spacing w:after="0"/>
            </w:pPr>
            <w:r>
              <w:rPr>
                <w:sz w:val="18"/>
              </w:rPr>
              <w:t>Configured</w:t>
            </w:r>
          </w:p>
        </w:tc>
        <w:tc>
          <w:tcPr>
            <w:tcW w:type="dxa" w:w="4536"/>
            <w:tcMar>
              <w:top w:w="90" w:type="dxa"/>
              <w:start w:w="110" w:type="dxa"/>
              <w:bottom w:w="90" w:type="dxa"/>
              <w:end w:w="110" w:type="dxa"/>
            </w:tcMar>
            <w:vAlign w:val="center"/>
          </w:tcPr>
          <w:p>
            <w:pPr>
              <w:spacing w:after="0"/>
            </w:pPr>
            <w:r>
              <w:rPr>
                <w:sz w:val="18"/>
              </w:rPr>
              <w:t xml:space="preserve"> .github/workflows/</w:t>
            </w:r>
          </w:p>
        </w:tc>
      </w:tr>
      <w:tr>
        <w:tc>
          <w:tcPr>
            <w:tcW w:type="dxa" w:w="2880"/>
            <w:tcMar>
              <w:top w:w="90" w:type="dxa"/>
              <w:start w:w="110" w:type="dxa"/>
              <w:bottom w:w="90" w:type="dxa"/>
              <w:end w:w="110" w:type="dxa"/>
            </w:tcMar>
            <w:vAlign w:val="center"/>
          </w:tcPr>
          <w:p>
            <w:pPr>
              <w:spacing w:after="0"/>
            </w:pPr>
            <w:r>
              <w:rPr>
                <w:b/>
                <w:sz w:val="18"/>
              </w:rPr>
              <w:t>Docker image</w:t>
            </w:r>
          </w:p>
        </w:tc>
        <w:tc>
          <w:tcPr>
            <w:tcW w:type="dxa" w:w="1656"/>
            <w:tcMar>
              <w:top w:w="90" w:type="dxa"/>
              <w:start w:w="110" w:type="dxa"/>
              <w:bottom w:w="90" w:type="dxa"/>
              <w:end w:w="110" w:type="dxa"/>
            </w:tcMar>
            <w:vAlign w:val="center"/>
          </w:tcPr>
          <w:p>
            <w:pPr>
              <w:spacing w:after="0"/>
            </w:pPr>
            <w:r>
              <w:rPr>
                <w:sz w:val="18"/>
              </w:rPr>
              <w:t>Not completed</w:t>
            </w:r>
          </w:p>
        </w:tc>
        <w:tc>
          <w:tcPr>
            <w:tcW w:type="dxa" w:w="4536"/>
            <w:tcMar>
              <w:top w:w="90" w:type="dxa"/>
              <w:start w:w="110" w:type="dxa"/>
              <w:bottom w:w="90" w:type="dxa"/>
              <w:end w:w="110" w:type="dxa"/>
            </w:tcMar>
            <w:vAlign w:val="center"/>
          </w:tcPr>
          <w:p>
            <w:pPr>
              <w:spacing w:after="0"/>
            </w:pPr>
            <w:r>
              <w:rPr>
                <w:sz w:val="18"/>
              </w:rPr>
              <w:t>No verified Dockerfile/build evidence</w:t>
            </w:r>
          </w:p>
        </w:tc>
      </w:tr>
      <w:tr>
        <w:tc>
          <w:tcPr>
            <w:tcW w:type="dxa" w:w="2880"/>
            <w:tcMar>
              <w:top w:w="90" w:type="dxa"/>
              <w:start w:w="110" w:type="dxa"/>
              <w:bottom w:w="90" w:type="dxa"/>
              <w:end w:w="110" w:type="dxa"/>
            </w:tcMar>
            <w:vAlign w:val="center"/>
          </w:tcPr>
          <w:p>
            <w:pPr>
              <w:spacing w:after="0"/>
            </w:pPr>
            <w:r>
              <w:rPr>
                <w:b/>
                <w:sz w:val="18"/>
              </w:rPr>
              <w:t>Kubernetes deployment</w:t>
            </w:r>
          </w:p>
        </w:tc>
        <w:tc>
          <w:tcPr>
            <w:tcW w:type="dxa" w:w="1656"/>
            <w:tcMar>
              <w:top w:w="90" w:type="dxa"/>
              <w:start w:w="110" w:type="dxa"/>
              <w:bottom w:w="90" w:type="dxa"/>
              <w:end w:w="110" w:type="dxa"/>
            </w:tcMar>
            <w:vAlign w:val="center"/>
          </w:tcPr>
          <w:p>
            <w:pPr>
              <w:spacing w:after="0"/>
            </w:pPr>
            <w:r>
              <w:rPr>
                <w:sz w:val="18"/>
              </w:rPr>
              <w:t>Not completed</w:t>
            </w:r>
          </w:p>
        </w:tc>
        <w:tc>
          <w:tcPr>
            <w:tcW w:type="dxa" w:w="4536"/>
            <w:tcMar>
              <w:top w:w="90" w:type="dxa"/>
              <w:start w:w="110" w:type="dxa"/>
              <w:bottom w:w="90" w:type="dxa"/>
              <w:end w:w="110" w:type="dxa"/>
            </w:tcMar>
            <w:vAlign w:val="center"/>
          </w:tcPr>
          <w:p>
            <w:pPr>
              <w:spacing w:after="0"/>
            </w:pPr>
            <w:r>
              <w:rPr>
                <w:sz w:val="18"/>
              </w:rPr>
              <w:t>No verified manifests/runtime evidence</w:t>
            </w:r>
          </w:p>
        </w:tc>
      </w:tr>
      <w:tr>
        <w:tc>
          <w:tcPr>
            <w:tcW w:type="dxa" w:w="2880"/>
            <w:tcMar>
              <w:top w:w="90" w:type="dxa"/>
              <w:start w:w="110" w:type="dxa"/>
              <w:bottom w:w="90" w:type="dxa"/>
              <w:end w:w="110" w:type="dxa"/>
            </w:tcMar>
            <w:vAlign w:val="center"/>
          </w:tcPr>
          <w:p>
            <w:pPr>
              <w:spacing w:after="0"/>
            </w:pPr>
            <w:r>
              <w:rPr>
                <w:b/>
                <w:sz w:val="18"/>
              </w:rPr>
              <w:t>External monitoring dashboard</w:t>
            </w:r>
          </w:p>
        </w:tc>
        <w:tc>
          <w:tcPr>
            <w:tcW w:type="dxa" w:w="1656"/>
            <w:tcMar>
              <w:top w:w="90" w:type="dxa"/>
              <w:start w:w="110" w:type="dxa"/>
              <w:bottom w:w="90" w:type="dxa"/>
              <w:end w:w="110" w:type="dxa"/>
            </w:tcMar>
            <w:vAlign w:val="center"/>
          </w:tcPr>
          <w:p>
            <w:pPr>
              <w:spacing w:after="0"/>
            </w:pPr>
            <w:r>
              <w:rPr>
                <w:sz w:val="18"/>
              </w:rPr>
              <w:t>Not completed</w:t>
            </w:r>
          </w:p>
        </w:tc>
        <w:tc>
          <w:tcPr>
            <w:tcW w:type="dxa" w:w="4536"/>
            <w:tcMar>
              <w:top w:w="90" w:type="dxa"/>
              <w:start w:w="110" w:type="dxa"/>
              <w:bottom w:w="90" w:type="dxa"/>
              <w:end w:w="110" w:type="dxa"/>
            </w:tcMar>
            <w:vAlign w:val="center"/>
          </w:tcPr>
          <w:p>
            <w:pPr>
              <w:spacing w:after="0"/>
            </w:pPr>
            <w:r>
              <w:rPr>
                <w:sz w:val="18"/>
              </w:rPr>
              <w:t>/metrics exists; Grafana not deployed</w:t>
            </w:r>
          </w:p>
        </w:tc>
      </w:tr>
      <w:tr>
        <w:tc>
          <w:tcPr>
            <w:tcW w:type="dxa" w:w="2880"/>
            <w:tcMar>
              <w:top w:w="90" w:type="dxa"/>
              <w:start w:w="110" w:type="dxa"/>
              <w:bottom w:w="90" w:type="dxa"/>
              <w:end w:w="110" w:type="dxa"/>
            </w:tcMar>
            <w:vAlign w:val="center"/>
          </w:tcPr>
          <w:p>
            <w:pPr>
              <w:spacing w:after="0"/>
            </w:pPr>
            <w:r>
              <w:rPr>
                <w:b/>
                <w:sz w:val="18"/>
              </w:rPr>
              <w:t>Final written report</w:t>
            </w:r>
          </w:p>
        </w:tc>
        <w:tc>
          <w:tcPr>
            <w:tcW w:type="dxa" w:w="1656"/>
            <w:tcMar>
              <w:top w:w="90" w:type="dxa"/>
              <w:start w:w="110" w:type="dxa"/>
              <w:bottom w:w="90" w:type="dxa"/>
              <w:end w:w="110" w:type="dxa"/>
            </w:tcMar>
            <w:vAlign w:val="center"/>
          </w:tcPr>
          <w:p>
            <w:pPr>
              <w:spacing w:after="0"/>
            </w:pPr>
            <w:r>
              <w:rPr>
                <w:sz w:val="18"/>
              </w:rPr>
              <w:t>Completed</w:t>
            </w:r>
          </w:p>
        </w:tc>
        <w:tc>
          <w:tcPr>
            <w:tcW w:type="dxa" w:w="4536"/>
            <w:tcMar>
              <w:top w:w="90" w:type="dxa"/>
              <w:start w:w="110" w:type="dxa"/>
              <w:bottom w:w="90" w:type="dxa"/>
              <w:end w:w="110" w:type="dxa"/>
            </w:tcMar>
            <w:vAlign w:val="center"/>
          </w:tcPr>
          <w:p>
            <w:pPr>
              <w:spacing w:after="0"/>
            </w:pPr>
            <w:r>
              <w:rPr>
                <w:sz w:val="18"/>
              </w:rPr>
              <w:t>This document</w:t>
            </w:r>
          </w:p>
        </w:tc>
      </w:tr>
    </w:tbl>
    <w:p>
      <w:pPr>
        <w:pStyle w:val="Heading2"/>
        <w:keepNext/>
      </w:pPr>
      <w:r>
        <w:t>8.1 Recommended repository additions before the deadline</w:t>
      </w:r>
    </w:p>
    <w:p>
      <w:pPr>
        <w:pStyle w:val="ListBullet"/>
        <w:spacing w:after="80"/>
      </w:pPr>
      <w:r>
        <w:t>Upload this final report to reports/MLOps_Assignment_Final_Report.docx.</w:t>
      </w:r>
    </w:p>
    <w:p>
      <w:pPr>
        <w:pStyle w:val="ListBullet"/>
        <w:spacing w:after="80"/>
      </w:pPr>
      <w:r>
        <w:t>Keep screenshots grouped under screenshots/mlflow, screenshots/api, and screenshots/testing.</w:t>
      </w:r>
    </w:p>
    <w:p>
      <w:pPr>
        <w:pStyle w:val="ListBullet"/>
        <w:spacing w:after="80"/>
      </w:pPr>
      <w:r>
        <w:t>Include execution logs and the exact model comparison CSV.</w:t>
      </w:r>
    </w:p>
    <w:p>
      <w:pPr>
        <w:pStyle w:val="ListBullet"/>
        <w:spacing w:after="80"/>
      </w:pPr>
      <w:r>
        <w:t>Ensure README distinguishes completed work from pending Docker/Kubernetes work.</w:t>
      </w:r>
    </w:p>
    <w:p>
      <w:pPr>
        <w:pStyle w:val="ListBullet"/>
        <w:spacing w:after="80"/>
      </w:pPr>
      <w:r>
        <w:t>Verify the repository is accessible to the evaluator.</w:t>
      </w:r>
    </w:p>
    <w:tbl>
      <w:tblPr>
        <w:tblW w:type="auto" w:w="0"/>
        <w:jc w:val="center"/>
        <w:tblLayout w:type="fixed"/>
        <w:tblLook w:firstColumn="1" w:firstRow="1" w:lastColumn="0" w:lastRow="0" w:noHBand="0" w:noVBand="1" w:val="04A0"/>
      </w:tblPr>
      <w:tblGrid>
        <w:gridCol w:w="9144"/>
      </w:tblGrid>
      <w:tr>
        <w:tc>
          <w:tcPr>
            <w:tcW w:type="dxa" w:w="9792"/>
            <w:shd w:fill="D9EAF7"/>
            <w:tcMar>
              <w:top w:w="130" w:type="dxa"/>
              <w:start w:w="150" w:type="dxa"/>
              <w:bottom w:w="130" w:type="dxa"/>
              <w:end w:w="150" w:type="dxa"/>
            </w:tcMar>
            <w:vAlign w:val="center"/>
          </w:tcPr>
          <w:p>
            <w:r>
              <w:rPr>
                <w:b/>
                <w:color w:val="203864"/>
              </w:rPr>
              <w:t xml:space="preserve">Submission integrity  </w:t>
            </w:r>
            <w:r>
              <w:t>Only claim an item as completed when the repository contains code plus genuine execution evidence. Configuration files alone demonstrate design intent, not successful deployment.</w:t>
            </w:r>
          </w:p>
        </w:tc>
      </w:tr>
    </w:tbl>
    <w:p>
      <w:pPr>
        <w:spacing w:after="40"/>
      </w:pPr>
    </w:p>
    <w:p>
      <w:r>
        <w:br w:type="page"/>
      </w:r>
    </w:p>
    <w:p>
      <w:pPr>
        <w:pStyle w:val="Heading1"/>
        <w:keepNext/>
      </w:pPr>
      <w:r>
        <w:t>9. Reproduction Guide, Conclusion, and Future Work</w:t>
      </w:r>
    </w:p>
    <w:p>
      <w:pPr>
        <w:pStyle w:val="Heading2"/>
        <w:keepNext/>
      </w:pPr>
      <w:r>
        <w:t>9.1 Reproduction sequence</w:t>
      </w:r>
    </w:p>
    <w:p>
      <w:pPr>
        <w:spacing w:after="80"/>
      </w:pPr>
      <w:r>
        <w:rPr>
          <w:b/>
        </w:rPr>
        <w:t xml:space="preserve">1. </w:t>
      </w:r>
      <w:r>
        <w:t>Create and activate a Python virtual environment.</w:t>
      </w:r>
    </w:p>
    <w:p>
      <w:pPr>
        <w:spacing w:after="80"/>
      </w:pPr>
      <w:r>
        <w:rPr>
          <w:b/>
        </w:rPr>
        <w:t xml:space="preserve">2. </w:t>
      </w:r>
      <w:r>
        <w:t>Install packages from requirements.txt.</w:t>
      </w:r>
    </w:p>
    <w:p>
      <w:pPr>
        <w:spacing w:after="80"/>
      </w:pPr>
      <w:r>
        <w:rPr>
          <w:b/>
        </w:rPr>
        <w:t xml:space="preserve">3. </w:t>
      </w:r>
      <w:r>
        <w:t>Run the EDA notebook to recreate processed data and figures.</w:t>
      </w:r>
    </w:p>
    <w:p>
      <w:pPr>
        <w:spacing w:after="80"/>
      </w:pPr>
      <w:r>
        <w:rPr>
          <w:b/>
        </w:rPr>
        <w:t xml:space="preserve">4. </w:t>
      </w:r>
      <w:r>
        <w:t>Run python src/models/train.py to train, evaluate, track, and package the best model.</w:t>
      </w:r>
    </w:p>
    <w:p>
      <w:pPr>
        <w:spacing w:after="80"/>
      </w:pPr>
      <w:r>
        <w:rPr>
          <w:b/>
        </w:rPr>
        <w:t xml:space="preserve">5. </w:t>
      </w:r>
      <w:r>
        <w:t>Start MLflow with the SQLite backend to inspect experiments.</w:t>
      </w:r>
    </w:p>
    <w:p>
      <w:pPr>
        <w:spacing w:after="80"/>
      </w:pPr>
      <w:r>
        <w:rPr>
          <w:b/>
        </w:rPr>
        <w:t xml:space="preserve">6. </w:t>
      </w:r>
      <w:r>
        <w:t>Start the API with uvicorn src.api.main:app --host 0.0.0.0 --port 8000.</w:t>
      </w:r>
    </w:p>
    <w:p>
      <w:pPr>
        <w:spacing w:after="80"/>
      </w:pPr>
      <w:r>
        <w:rPr>
          <w:b/>
        </w:rPr>
        <w:t xml:space="preserve">7. </w:t>
      </w:r>
      <w:r>
        <w:t>Run Ruff and Pytest to validate code quality and behavior.</w:t>
      </w:r>
    </w:p>
    <w:p>
      <w:pPr>
        <w:pStyle w:val="Heading2"/>
        <w:keepNext/>
      </w:pPr>
      <w:r>
        <w:t>9.2 Conclusion</w:t>
      </w:r>
    </w:p>
    <w:p>
      <w:pPr>
        <w:spacing w:after="140" w:line="259" w:lineRule="auto"/>
      </w:pPr>
      <w:r>
        <w:t>The project demonstrates a practical MLOps foundation for a small classification problem. The strongest design choice is the use of a single fitted preprocessing and model pipeline from training through API inference. Experiment tracking, model metadata, validation, automated tests, and runtime metrics make the solution more reproducible and auditable than a notebook-only submission.</w:t>
      </w:r>
    </w:p>
    <w:p>
      <w:pPr>
        <w:spacing w:after="140" w:line="259" w:lineRule="auto"/>
      </w:pPr>
      <w:r>
        <w:t>The current implementation stops short of container and Kubernetes deployment. Nevertheless, it provides a working model-development pipeline, transparent experiment comparison, a tested inference API, and the repository structure needed to continue into CI/CD and orchestration when execution time and infrastructure access permit.</w:t>
      </w:r>
    </w:p>
    <w:p>
      <w:pPr>
        <w:pStyle w:val="Heading2"/>
        <w:keepNext/>
      </w:pPr>
      <w:r>
        <w:t>9.3 Future work</w:t>
      </w:r>
    </w:p>
    <w:p>
      <w:pPr>
        <w:pStyle w:val="ListBullet"/>
        <w:spacing w:after="80"/>
      </w:pPr>
      <w:r>
        <w:t>Create a Dockerfile and validate local container execution.</w:t>
      </w:r>
    </w:p>
    <w:p>
      <w:pPr>
        <w:pStyle w:val="ListBullet"/>
        <w:spacing w:after="80"/>
      </w:pPr>
      <w:r>
        <w:t>Add Kubernetes Deployment and Service manifests with readiness and liveness probes.</w:t>
      </w:r>
    </w:p>
    <w:p>
      <w:pPr>
        <w:pStyle w:val="ListBullet"/>
        <w:spacing w:after="80"/>
      </w:pPr>
      <w:r>
        <w:t>Run the GitHub Actions workflow and retain a successful run screenshot.</w:t>
      </w:r>
    </w:p>
    <w:p>
      <w:pPr>
        <w:pStyle w:val="ListBullet"/>
        <w:spacing w:after="80"/>
      </w:pPr>
      <w:r>
        <w:t>Deploy Prometheus and Grafana and build a minimal dashboard.</w:t>
      </w:r>
    </w:p>
    <w:p>
      <w:pPr>
        <w:pStyle w:val="ListBullet"/>
        <w:spacing w:after="80"/>
      </w:pPr>
      <w:r>
        <w:t>Add drift and data-quality monitoring for future inference data.</w:t>
      </w:r>
    </w:p>
    <w:p>
      <w:pPr>
        <w:pStyle w:val="ListBullet"/>
        <w:spacing w:after="80"/>
      </w:pPr>
      <w:r>
        <w:t>Add model registry promotion rules and controlled release stages.</w:t>
      </w:r>
    </w:p>
    <w:p>
      <w:pPr>
        <w:pStyle w:val="Heading2"/>
        <w:keepNext/>
      </w:pPr>
      <w:r>
        <w:t>Repository</w:t>
      </w:r>
    </w:p>
    <w:p>
      <w:hyperlink r:id="rId10">
        <w:r>
          <w:rPr>
            <w:color w:val="0563C1"/>
            <w:u w:val="single"/>
          </w:rPr>
          <w:t>https://github.com/Pramit-Bits/MLOPS_Assignment</w:t>
        </w:r>
      </w:hyperlink>
    </w:p>
    <w:tbl>
      <w:tblPr>
        <w:tblW w:type="auto" w:w="0"/>
        <w:jc w:val="center"/>
        <w:tblLayout w:type="fixed"/>
        <w:tblLook w:firstColumn="1" w:firstRow="1" w:lastColumn="0" w:lastRow="0" w:noHBand="0" w:noVBand="1" w:val="04A0"/>
      </w:tblPr>
      <w:tblGrid>
        <w:gridCol w:w="9144"/>
      </w:tblGrid>
      <w:tr>
        <w:tc>
          <w:tcPr>
            <w:tcW w:type="dxa" w:w="9792"/>
            <w:shd w:fill="D9EAF7"/>
            <w:tcMar>
              <w:top w:w="130" w:type="dxa"/>
              <w:start w:w="150" w:type="dxa"/>
              <w:bottom w:w="130" w:type="dxa"/>
              <w:end w:w="150" w:type="dxa"/>
            </w:tcMar>
            <w:vAlign w:val="center"/>
          </w:tcPr>
          <w:p>
            <w:r>
              <w:rPr>
                <w:b/>
                <w:color w:val="203864"/>
              </w:rPr>
              <w:t xml:space="preserve">Final statement  </w:t>
            </w:r>
            <w:r>
              <w:t>All results in this report should be interpreted as an educational demonstration. The system is not validated for clinical use.</w:t>
            </w:r>
          </w:p>
        </w:tc>
      </w:tr>
    </w:tbl>
    <w:p>
      <w:pPr>
        <w:spacing w:after="40"/>
      </w:pP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MLOps Assignment Final Report | Pramit Ganguly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20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Pramit-Bits/MLOPS_Assig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MLOps Assignment Final Written Report</dc:title>
  <dc:subject>Heart Disease Classification MLOps Workflow</dc:subject>
  <dc:creator>Ganguly, Pramit (Cognizant)</dc:creator>
  <keywords/>
  <dc:description>generated by python-docx</dc:description>
  <lastModifiedBy>Ganguly, Pramit (Cognizant)</lastModifiedBy>
  <revision>1</revision>
  <dcterms:created xsi:type="dcterms:W3CDTF">2026-10-25T18:49:03.9472853Z</dcterms:created>
  <dcterms:modified xsi:type="dcterms:W3CDTF">2026-10-25T18:49:03.9472853Z</dcterms:modified>
  <category/>
</coreProperties>
</file>