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sidR="00D1046D" w:rsidRDefault="00000000" w14:paraId="07AA35CF" w14:textId="77777777">
      <w:pPr>
        <w:pStyle w:val="Heading1"/>
      </w:pPr>
      <w:r>
        <w:t>Case Study: Active Directory Services Excellence</w:t>
      </w:r>
    </w:p>
    <w:p w:rsidR="00D1046D" w:rsidRDefault="00000000" w14:paraId="27DEF99A" w14:textId="77777777">
      <w:pPr>
        <w:pStyle w:val="Heading2"/>
      </w:pPr>
      <w:r>
        <w:t>1. Title</w:t>
      </w:r>
    </w:p>
    <w:p w:rsidR="00D1046D" w:rsidRDefault="00000000" w14:paraId="301A53A6" w14:textId="0F08D019">
      <w:r w:rsidR="00000000">
        <w:rPr/>
        <w:t xml:space="preserve">UMG </w:t>
      </w:r>
      <w:r w:rsidR="00507B63">
        <w:rPr/>
        <w:t>AD</w:t>
      </w:r>
      <w:r w:rsidR="00000000">
        <w:rPr/>
        <w:t xml:space="preserve"> Services: Enhancing Operational Efficiency through Robust Active Directory</w:t>
      </w:r>
      <w:r w:rsidR="2FF42EAD">
        <w:rPr/>
        <w:t xml:space="preserve">, Exchange online and </w:t>
      </w:r>
      <w:r w:rsidR="1A19893C">
        <w:rPr/>
        <w:t>Patching management.</w:t>
      </w:r>
    </w:p>
    <w:p w:rsidR="00D1046D" w:rsidRDefault="00000000" w14:paraId="7D07E4D0" w14:textId="77777777">
      <w:pPr>
        <w:pStyle w:val="Heading2"/>
      </w:pPr>
      <w:r>
        <w:t>2. Client Overview</w:t>
      </w:r>
    </w:p>
    <w:p w:rsidR="00D1046D" w:rsidRDefault="00000000" w14:paraId="32E1F3C7" w14:textId="1B950A67">
      <w:r>
        <w:t>Client: Universal Music Group (UMG)</w:t>
      </w:r>
      <w:r>
        <w:br/>
      </w:r>
      <w:r>
        <w:t>Industry: Media &amp; Entertainment</w:t>
      </w:r>
      <w:r>
        <w:br/>
      </w:r>
      <w:r>
        <w:br/>
      </w:r>
      <w:r>
        <w:t xml:space="preserve">UMG, a global leader in music-based entertainment, operates a vast and complex IT environment supporting thousands of users across multiple regions. To maintain operational excellence and </w:t>
      </w:r>
      <w:r w:rsidR="00507B63">
        <w:t>AD</w:t>
      </w:r>
      <w:r>
        <w:t xml:space="preserve"> service continuity, UMG implemented a dedicated Active Directory Services project focusing on directory hygiene, service reliability, and security compliance.</w:t>
      </w:r>
    </w:p>
    <w:p w:rsidR="00D1046D" w:rsidRDefault="00000000" w14:paraId="2151E8A5" w14:textId="77777777">
      <w:pPr>
        <w:pStyle w:val="Heading2"/>
      </w:pPr>
      <w:r>
        <w:t>3. Key Challenges</w:t>
      </w:r>
    </w:p>
    <w:p w:rsidR="00D1046D" w:rsidP="005C438E" w:rsidRDefault="00000000" w14:paraId="5E56C321" w14:textId="37597CF0">
      <w:pPr>
        <w:ind w:left="360"/>
      </w:pPr>
      <w:r>
        <w:t>Ticket Volume &amp; User Dependency: High volume of AD-related support tickets caused delays in account provisioning, access issues, and group management.</w:t>
      </w:r>
      <w:r>
        <w:br/>
      </w:r>
      <w:r>
        <w:t>- Legacy Practices: Manual patching and inconsistent health checks increased vulnerability to downtime and security threats.</w:t>
      </w:r>
      <w:r>
        <w:br/>
      </w:r>
      <w:r>
        <w:t>- Resource Constraints: Routine maintenance diverted IT staff from strategic projects, slowing innovation.</w:t>
      </w:r>
      <w:r>
        <w:br/>
      </w:r>
      <w:r>
        <w:t>- Exchange Dependencies: Integration between AD and Exchange systems required precise coordination to avoid service disruptions.</w:t>
      </w:r>
      <w:r>
        <w:br/>
      </w:r>
      <w:r>
        <w:t>- Delays in resolving issues for special users such as VIPs, executives, and higher management, including CEOs.</w:t>
      </w:r>
      <w:r>
        <w:br/>
      </w:r>
      <w:r>
        <w:t>- Absence of daily monitoring or structured health check processes.</w:t>
      </w:r>
      <w:r>
        <w:br/>
      </w:r>
      <w:r>
        <w:t>- Increased exposure due to unpatched or misconfigured servers, leading to server vulnerabilities.</w:t>
      </w:r>
      <w:r>
        <w:br/>
      </w:r>
      <w:r>
        <w:t>- Lack of 24x7 support coverage, especially during weekends, resulting in prolonged issue resolution windows.</w:t>
      </w:r>
    </w:p>
    <w:p w:rsidR="00D1046D" w:rsidRDefault="00000000" w14:paraId="4188A3E0" w14:textId="77777777">
      <w:pPr>
        <w:pStyle w:val="Heading2"/>
      </w:pPr>
      <w:r>
        <w:t>4. Objectives</w:t>
      </w:r>
    </w:p>
    <w:p w:rsidR="00D1046D" w:rsidRDefault="00000000" w14:paraId="3203AEE1" w14:textId="77777777">
      <w:r>
        <w:t>- Streamline and standardize Active Directory operations including user lifecycle management and group policy administration.</w:t>
      </w:r>
      <w:r>
        <w:br/>
      </w:r>
      <w:r>
        <w:t>- Automate and enforce monthly patching cycles to mitigate vulnerabilities.</w:t>
      </w:r>
      <w:r>
        <w:br/>
      </w:r>
      <w:r>
        <w:t>- Provide daily health checks to ensure proactive detection of anomalies.</w:t>
      </w:r>
      <w:r>
        <w:br/>
      </w:r>
      <w:r>
        <w:t>- Improve customer experience by accelerating resolution time for AD-related incidents.</w:t>
      </w:r>
      <w:r>
        <w:br/>
      </w:r>
      <w:r>
        <w:t>- Support Exchange operations such as mailbox provisioning, address book sync, and service integration.</w:t>
      </w:r>
    </w:p>
    <w:p w:rsidR="00D1046D" w:rsidRDefault="00000000" w14:paraId="5258B3CC" w14:textId="77777777">
      <w:pPr>
        <w:pStyle w:val="Heading2"/>
      </w:pPr>
      <w:r>
        <w:t>5. Solutions Implemented</w:t>
      </w:r>
    </w:p>
    <w:p w:rsidR="00D1046D" w:rsidRDefault="00000000" w14:paraId="2FF66C95" w14:textId="77777777">
      <w:pPr>
        <w:pStyle w:val="ListBullet"/>
      </w:pPr>
      <w:r>
        <w:t>Active Directory Management</w:t>
      </w:r>
    </w:p>
    <w:p w:rsidR="00D1046D" w:rsidRDefault="00000000" w14:paraId="1BB050F2" w14:textId="56569448">
      <w:pPr>
        <w:pStyle w:val="ListBullet2"/>
      </w:pPr>
      <w:r>
        <w:t>Implemented standardized user onboarding/offboarding workflows.</w:t>
      </w:r>
    </w:p>
    <w:p w:rsidR="00D1046D" w:rsidRDefault="00000000" w14:paraId="561E0BF6" w14:textId="3D66AD55">
      <w:pPr>
        <w:pStyle w:val="ListBullet2"/>
      </w:pPr>
      <w:r>
        <w:t>Enabled group-based access control and automated group membership management.</w:t>
      </w:r>
    </w:p>
    <w:p w:rsidR="00D1046D" w:rsidRDefault="00000000" w14:paraId="59BDB11C" w14:textId="6BB4B980">
      <w:pPr>
        <w:pStyle w:val="ListBullet2"/>
      </w:pPr>
      <w:r>
        <w:t>Delegated role-based access to improve admin efficiency and reduce dependency bottlenecks.</w:t>
      </w:r>
    </w:p>
    <w:p w:rsidR="00D1046D" w:rsidRDefault="00000000" w14:paraId="5D4069B8" w14:textId="66F09752">
      <w:pPr>
        <w:pStyle w:val="ListBullet"/>
        <w:rPr/>
      </w:pPr>
      <w:r w:rsidR="00000000">
        <w:rPr/>
        <w:t>Monthly</w:t>
      </w:r>
      <w:r w:rsidR="023B2ABF">
        <w:rPr/>
        <w:t xml:space="preserve"> Server</w:t>
      </w:r>
      <w:r w:rsidR="00000000">
        <w:rPr/>
        <w:t xml:space="preserve"> Patching</w:t>
      </w:r>
    </w:p>
    <w:p w:rsidR="00D1046D" w:rsidRDefault="00000000" w14:paraId="0B249CED" w14:textId="534127B6">
      <w:pPr>
        <w:pStyle w:val="ListBullet2"/>
      </w:pPr>
      <w:r>
        <w:t>Developed and executed a structured AD patch management schedule.</w:t>
      </w:r>
    </w:p>
    <w:p w:rsidR="00D1046D" w:rsidRDefault="00000000" w14:paraId="16A4E4DA" w14:textId="0017963F">
      <w:pPr>
        <w:pStyle w:val="ListBullet2"/>
      </w:pPr>
      <w:r>
        <w:t>Used WSUS and PowerShell automation for scheduled and verified patch rollouts.</w:t>
      </w:r>
    </w:p>
    <w:p w:rsidR="00D1046D" w:rsidRDefault="00000000" w14:paraId="4EEC2DE0" w14:textId="21D79A6D">
      <w:pPr>
        <w:pStyle w:val="ListBullet2"/>
      </w:pPr>
      <w:r>
        <w:t>Conducted regression testing in isolated environments before deployment.</w:t>
      </w:r>
    </w:p>
    <w:p w:rsidR="00D1046D" w:rsidRDefault="00000000" w14:paraId="55A8CA6F" w14:textId="77777777">
      <w:pPr>
        <w:pStyle w:val="ListBullet"/>
      </w:pPr>
      <w:r>
        <w:t>Daily Health Checks</w:t>
      </w:r>
    </w:p>
    <w:p w:rsidR="00D1046D" w:rsidRDefault="00000000" w14:paraId="476AD8EB" w14:textId="4C866CB6">
      <w:pPr>
        <w:pStyle w:val="ListBullet2"/>
      </w:pPr>
      <w:r>
        <w:t>Scripted automated health monitoring (DC replication, DNS status, sysvol, etc.).</w:t>
      </w:r>
    </w:p>
    <w:p w:rsidR="00D1046D" w:rsidRDefault="00000000" w14:paraId="69108BFB" w14:textId="1E363578">
      <w:pPr>
        <w:pStyle w:val="ListBullet2"/>
      </w:pPr>
      <w:r>
        <w:t>Generated real-time reports and alerts for AD anomalies and service disruptions.</w:t>
      </w:r>
    </w:p>
    <w:p w:rsidR="00D1046D" w:rsidRDefault="00000000" w14:paraId="3AD70981" w14:textId="08BE96C0">
      <w:pPr>
        <w:pStyle w:val="ListBullet2"/>
      </w:pPr>
      <w:r>
        <w:t>Integrated logs into centralized SIEM tools for visibility and auditability.</w:t>
      </w:r>
    </w:p>
    <w:p w:rsidR="00D1046D" w:rsidRDefault="00000000" w14:paraId="6694743A" w14:textId="77777777">
      <w:pPr>
        <w:pStyle w:val="ListBullet"/>
      </w:pPr>
      <w:r>
        <w:t>Exchange Management</w:t>
      </w:r>
    </w:p>
    <w:p w:rsidR="00D1046D" w:rsidRDefault="00000000" w14:paraId="683BB128" w14:textId="0888428D">
      <w:pPr>
        <w:pStyle w:val="ListBullet2"/>
      </w:pPr>
      <w:r>
        <w:t>Handled mailbox provisioning/de-provisioning, shared mailbox delegation, and DL sync.</w:t>
      </w:r>
    </w:p>
    <w:p w:rsidR="00D1046D" w:rsidRDefault="00000000" w14:paraId="55082E70" w14:textId="0A45B349">
      <w:pPr>
        <w:pStyle w:val="ListBullet2"/>
      </w:pPr>
      <w:r>
        <w:t>Coordinated with the Messaging team for transport rule changes and Exchange Online hygiene.</w:t>
      </w:r>
    </w:p>
    <w:p w:rsidR="00D1046D" w:rsidRDefault="00000000" w14:paraId="35EA4F89" w14:textId="530ED574">
      <w:pPr>
        <w:pStyle w:val="ListBullet2"/>
      </w:pPr>
      <w:r>
        <w:t>Assisted with license mapping and AD-Exchange sync validations.</w:t>
      </w:r>
    </w:p>
    <w:p w:rsidR="00D1046D" w:rsidRDefault="00000000" w14:paraId="78FA143B" w14:textId="77777777">
      <w:pPr>
        <w:pStyle w:val="ListBullet"/>
      </w:pPr>
      <w:r>
        <w:t>Ticket &amp; User Support</w:t>
      </w:r>
    </w:p>
    <w:p w:rsidR="00D1046D" w:rsidRDefault="00000000" w14:paraId="2CE716FE" w14:textId="025FD715">
      <w:pPr>
        <w:pStyle w:val="ListBullet2"/>
      </w:pPr>
      <w:r>
        <w:t>Designed knowledge base articles to deflect repetitive queries.</w:t>
      </w:r>
    </w:p>
    <w:p w:rsidR="00D1046D" w:rsidRDefault="00000000" w14:paraId="3869D5FB" w14:textId="0BF70D1F">
      <w:pPr>
        <w:pStyle w:val="ListBullet2"/>
      </w:pPr>
      <w:r>
        <w:t>Implemented SLA-backed incident workflows via ServiceNow for faster turnaround.</w:t>
      </w:r>
    </w:p>
    <w:p w:rsidR="00D1046D" w:rsidRDefault="00000000" w14:paraId="4F42D181" w14:textId="380B98A7">
      <w:pPr>
        <w:pStyle w:val="ListBullet2"/>
      </w:pPr>
      <w:r>
        <w:t>Conducted regular training sessions for deskside and regional IT teams.</w:t>
      </w:r>
    </w:p>
    <w:p w:rsidR="00D1046D" w:rsidRDefault="00000000" w14:paraId="516C1B1A" w14:textId="77777777">
      <w:pPr>
        <w:pStyle w:val="ListBullet"/>
      </w:pPr>
      <w:r>
        <w:t>VIP User Support</w:t>
      </w:r>
    </w:p>
    <w:p w:rsidR="00D1046D" w:rsidRDefault="00000000" w14:paraId="3B589B19" w14:textId="73178AB8">
      <w:pPr>
        <w:pStyle w:val="ListBullet2"/>
      </w:pPr>
      <w:r>
        <w:t>Created a dedicated support track for VIPs and high-ranking officials to ensure prioritized handling of incidents and requests.</w:t>
      </w:r>
    </w:p>
    <w:p w:rsidR="00C73FC4" w:rsidRDefault="00C73FC4" w14:paraId="171E0311" w14:textId="249C3441">
      <w:pPr>
        <w:pStyle w:val="ListBullet2"/>
        <w:rPr/>
      </w:pPr>
      <w:r w:rsidR="00C73FC4">
        <w:rPr/>
        <w:t xml:space="preserve">Reduced the </w:t>
      </w:r>
      <w:r w:rsidR="00946B9D">
        <w:rPr/>
        <w:t>response</w:t>
      </w:r>
      <w:r w:rsidR="00C73FC4">
        <w:rPr/>
        <w:t xml:space="preserve"> time for the VIP user’s escalations to</w:t>
      </w:r>
      <w:r w:rsidR="57320A94">
        <w:rPr/>
        <w:t xml:space="preserve"> </w:t>
      </w:r>
      <w:r w:rsidR="00C73FC4">
        <w:rPr/>
        <w:t>couple of minutes.</w:t>
      </w:r>
    </w:p>
    <w:p w:rsidR="00D1046D" w:rsidRDefault="00000000" w14:paraId="5142E213" w14:textId="316BD102">
      <w:pPr>
        <w:pStyle w:val="ListBullet2"/>
      </w:pPr>
      <w:r>
        <w:t>Implemented SLA-based ticket routing rules in ServiceNow for escalated visibility and resolution tracking.</w:t>
      </w:r>
    </w:p>
    <w:p w:rsidR="00D1046D" w:rsidRDefault="00000000" w14:paraId="0DE7E47F" w14:textId="77777777">
      <w:pPr>
        <w:pStyle w:val="ListBullet"/>
      </w:pPr>
      <w:r>
        <w:t>Daily Monitoring</w:t>
      </w:r>
    </w:p>
    <w:p w:rsidR="00D1046D" w:rsidRDefault="00000000" w14:paraId="14359DB4" w14:textId="3BC9FFAA">
      <w:pPr>
        <w:pStyle w:val="ListBullet2"/>
      </w:pPr>
      <w:r>
        <w:t>Established a daily checklist system for verifying domain controller replication, DNS integrity, time sync, and service availability.</w:t>
      </w:r>
    </w:p>
    <w:p w:rsidR="00D1046D" w:rsidRDefault="00000000" w14:paraId="67EFB364" w14:textId="51E6FD66">
      <w:pPr>
        <w:pStyle w:val="ListBullet2"/>
      </w:pPr>
      <w:r>
        <w:t>Automated daily reporting with alert-based escalation for critical AD components.</w:t>
      </w:r>
    </w:p>
    <w:p w:rsidR="00D1046D" w:rsidRDefault="00000000" w14:paraId="71C1FB96" w14:textId="77777777">
      <w:pPr>
        <w:pStyle w:val="ListBullet"/>
      </w:pPr>
      <w:r>
        <w:t>Server Vulnerability Management</w:t>
      </w:r>
    </w:p>
    <w:p w:rsidR="00D1046D" w:rsidRDefault="00000000" w14:paraId="39DD97CA" w14:textId="1EF1C2C7">
      <w:pPr>
        <w:pStyle w:val="ListBullet2"/>
      </w:pPr>
      <w:r>
        <w:t>Introduced vulnerability scanning tools to proactively identify configuration gaps and unpatched systems.</w:t>
      </w:r>
    </w:p>
    <w:p w:rsidR="00D1046D" w:rsidRDefault="00000000" w14:paraId="0514E240" w14:textId="7C85806C">
      <w:pPr>
        <w:pStyle w:val="ListBullet2"/>
      </w:pPr>
      <w:r>
        <w:t>Applied hardening baselines and integrated results with patch compliance reporting.</w:t>
      </w:r>
    </w:p>
    <w:p w:rsidR="00D1046D" w:rsidRDefault="00000000" w14:paraId="0D3857C4" w14:textId="77777777">
      <w:pPr>
        <w:pStyle w:val="ListBullet"/>
      </w:pPr>
      <w:r>
        <w:t>24x7 Support Enablement</w:t>
      </w:r>
    </w:p>
    <w:p w:rsidR="00D1046D" w:rsidRDefault="00000000" w14:paraId="458BBB9E" w14:textId="6E089D90">
      <w:pPr>
        <w:pStyle w:val="ListBullet2"/>
      </w:pPr>
      <w:r>
        <w:t>Transitioned to a follow-the-sun support model ensuring round-the-clock coverage.</w:t>
      </w:r>
    </w:p>
    <w:p w:rsidR="00D1046D" w:rsidRDefault="00000000" w14:paraId="1CA965D5" w14:textId="3C59E109">
      <w:pPr>
        <w:pStyle w:val="ListBullet2"/>
        <w:rPr/>
      </w:pPr>
      <w:r w:rsidR="00000000">
        <w:rPr/>
        <w:t>Weekend and off-hour shifts for critical incident handling and preventive monitoring.</w:t>
      </w:r>
    </w:p>
    <w:p w:rsidR="00C73FC4" w:rsidP="00C73FC4" w:rsidRDefault="00C73FC4" w14:paraId="69288DDF" w14:textId="77777777">
      <w:pPr>
        <w:pStyle w:val="ListBullet2"/>
        <w:numPr>
          <w:ilvl w:val="0"/>
          <w:numId w:val="0"/>
        </w:numPr>
        <w:ind w:left="720" w:hanging="360"/>
      </w:pPr>
    </w:p>
    <w:p w:rsidR="00C73FC4" w:rsidP="00C73FC4" w:rsidRDefault="00C73FC4" w14:paraId="11C6AF09" w14:textId="77777777">
      <w:pPr>
        <w:pStyle w:val="ListBullet2"/>
        <w:numPr>
          <w:ilvl w:val="0"/>
          <w:numId w:val="0"/>
        </w:numPr>
        <w:ind w:left="720" w:hanging="360"/>
      </w:pPr>
    </w:p>
    <w:p w:rsidR="00C73FC4" w:rsidP="00C73FC4" w:rsidRDefault="00C73FC4" w14:paraId="59897821" w14:textId="77777777">
      <w:pPr>
        <w:pStyle w:val="Heading2"/>
      </w:pPr>
      <w:r>
        <w:t>6. Results &amp; Improvements</w:t>
      </w:r>
    </w:p>
    <w:p w:rsidR="00C73FC4" w:rsidP="00946B9D" w:rsidRDefault="00C73FC4" w14:paraId="636A2DAF" w14:textId="7A718AA0">
      <w:r>
        <w:t>- 42% reduction in AD-related ticket resolution time.</w:t>
      </w:r>
      <w:r>
        <w:br/>
      </w:r>
      <w:r>
        <w:t>- 100% patch compliance across all domain controllers.</w:t>
      </w:r>
      <w:r>
        <w:br/>
      </w:r>
      <w:r>
        <w:t>- Enhanced security posture through timely patching and audit reporting.</w:t>
      </w:r>
      <w:r>
        <w:br/>
      </w:r>
      <w:r>
        <w:t>- Proactive issue resolution using daily health reports, preventing major outages.</w:t>
      </w:r>
      <w:r>
        <w:br/>
      </w:r>
      <w:r>
        <w:t>- Improved user satisfaction from faster access provisioning and issue resolution.</w:t>
      </w:r>
    </w:p>
    <w:p w:rsidR="00C73FC4" w:rsidP="00C73FC4" w:rsidRDefault="00C73FC4" w14:paraId="7B6774CD" w14:textId="77777777">
      <w:pPr>
        <w:pStyle w:val="Heading2"/>
      </w:pPr>
      <w:r>
        <w:t>8. Standout Elements</w:t>
      </w:r>
    </w:p>
    <w:p w:rsidR="00507B63" w:rsidP="00C73FC4" w:rsidRDefault="00C73FC4" w14:paraId="4772DB85" w14:textId="77777777">
      <w:r>
        <w:t>- Automation-Driven Patching: Monthly patching with automated compliance verification reduced risk and admin overhead.</w:t>
      </w:r>
      <w:r>
        <w:br/>
      </w:r>
      <w:r>
        <w:t>- Self-Healing Scripts: Health checks linked with auto-remediation scripts minimized manual interventions.</w:t>
      </w:r>
      <w:r>
        <w:br/>
      </w:r>
      <w:r>
        <w:t>- Seamless Exchange Integration: Tight coordination between AD and Exchange ensured end-user continuity.</w:t>
      </w:r>
    </w:p>
    <w:p w:rsidR="00C73FC4" w:rsidP="00C73FC4" w:rsidRDefault="00507B63" w14:paraId="4AF8E1B2" w14:textId="34DFC289">
      <w:r>
        <w:t>- Maintained the users information updated in Hybrid AD environment.</w:t>
      </w:r>
      <w:r w:rsidR="00C73FC4">
        <w:br/>
      </w:r>
      <w:r w:rsidR="00C73FC4">
        <w:t>- User-Centric Support: Standardized knowledge and incident response accelerated user satisfaction and reduced backlog.</w:t>
      </w:r>
    </w:p>
    <w:p w:rsidR="00C73FC4" w:rsidP="00C73FC4" w:rsidRDefault="00C73FC4" w14:paraId="48F74201" w14:textId="77777777">
      <w:pPr>
        <w:pStyle w:val="Heading2"/>
      </w:pPr>
      <w:r>
        <w:t>9. Client Testimonial (Optional)</w:t>
      </w:r>
    </w:p>
    <w:p w:rsidR="00C73FC4" w:rsidP="00C73FC4" w:rsidRDefault="00C73FC4" w14:paraId="50AC001F" w14:textId="77777777">
      <w:r>
        <w:t>--- FOR EX:   "The AD Services framework deployed has significantly enhanced our AD stability and operational efficiency. What used to take hours is now resolved in minutes, allowing us to focus more on innovation." – IT Ops Lead, UMG</w:t>
      </w:r>
    </w:p>
    <w:p w:rsidR="00C73FC4" w:rsidP="00C73FC4" w:rsidRDefault="00C73FC4" w14:paraId="718D8458" w14:textId="77777777">
      <w:pPr>
        <w:pStyle w:val="Heading2"/>
      </w:pPr>
      <w:r>
        <w:t>10. Conclusion &amp; Next Steps</w:t>
      </w:r>
    </w:p>
    <w:p w:rsidR="00946B9D" w:rsidP="00C73FC4" w:rsidRDefault="00C73FC4" w14:paraId="1BAF4437" w14:textId="66D0ABF0">
      <w:r>
        <w:t xml:space="preserve">Through a structured AD Services initiative, UMG strengthened its core infrastructure, reduced support overhead, and improved system reliability. </w:t>
      </w:r>
      <w:proofErr w:type="gramStart"/>
      <w:r>
        <w:t>Future plans</w:t>
      </w:r>
      <w:proofErr w:type="gramEnd"/>
      <w:r>
        <w:t xml:space="preserve"> include:</w:t>
      </w:r>
      <w:r>
        <w:br/>
      </w:r>
      <w:r w:rsidR="00946B9D">
        <w:t xml:space="preserve">- </w:t>
      </w:r>
      <w:r w:rsidRPr="005C438E" w:rsidR="005C438E">
        <w:t>For over seven years, we have been delivering unwavering, high-caliber support distinguished by consistency, precision, and operational excellence</w:t>
      </w:r>
      <w:r w:rsidRPr="00946B9D" w:rsidR="00946B9D">
        <w:t>.</w:t>
      </w:r>
    </w:p>
    <w:p w:rsidR="00C73FC4" w:rsidP="00C73FC4" w:rsidRDefault="00C73FC4" w14:paraId="5D1B1110" w14:textId="2F3191B3">
      <w:r>
        <w:t>- Integrating AI-driven predictive maintenance to detect anomalies before failures occur.</w:t>
      </w:r>
      <w:r>
        <w:br/>
      </w:r>
      <w:r>
        <w:t>- Extending AD automation to hybrid Azure environments.</w:t>
      </w:r>
      <w:r>
        <w:br/>
      </w:r>
      <w:r>
        <w:t>- Continuous patching optimization with machine learning insights for vulnerability prioritization.</w:t>
      </w:r>
    </w:p>
    <w:p w:rsidR="00946B9D" w:rsidP="00946B9D" w:rsidRDefault="00946B9D" w14:paraId="5DFC9318" w14:textId="454E93FA"/>
    <w:p w:rsidR="00C73FC4" w:rsidP="00C73FC4" w:rsidRDefault="00C73FC4" w14:paraId="3CC7D6D5" w14:textId="77777777">
      <w:pPr>
        <w:pStyle w:val="ListBullet2"/>
        <w:numPr>
          <w:ilvl w:val="0"/>
          <w:numId w:val="0"/>
        </w:numPr>
        <w:ind w:left="720" w:hanging="360"/>
      </w:pPr>
    </w:p>
    <w:sectPr w:rsidR="00C73FC4" w:rsidSect="00034616">
      <w:pgSz w:w="12240" w:h="15840" w:orient="portrait"/>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angal">
    <w:panose1 w:val="00000400000000000000"/>
    <w:charset w:val="00"/>
    <w:family w:val="roman"/>
    <w:pitch w:val="variable"/>
    <w:sig w:usb0="00008003" w:usb1="00000000" w:usb2="00000000" w:usb3="00000000" w:csb0="00000001"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hint="default" w:ascii="Symbol" w:hAnsi="Symbol"/>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hint="default" w:ascii="Symbol" w:hAnsi="Symbol"/>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hint="default" w:ascii="Symbol" w:hAnsi="Symbol"/>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hint="default" w:ascii="Symbol" w:hAnsi="Symbol"/>
      </w:rPr>
    </w:lvl>
  </w:abstractNum>
  <w:abstractNum w:abstractNumId="9" w15:restartNumberingAfterBreak="0">
    <w:nsid w:val="3A923BBF"/>
    <w:multiLevelType w:val="hybridMultilevel"/>
    <w:tmpl w:val="14601D8A"/>
    <w:lvl w:ilvl="0" w:tplc="54BAE5F8">
      <w:start w:val="10"/>
      <w:numFmt w:val="bullet"/>
      <w:lvlText w:val="-"/>
      <w:lvlJc w:val="left"/>
      <w:pPr>
        <w:ind w:left="720" w:hanging="360"/>
      </w:pPr>
      <w:rPr>
        <w:rFonts w:hint="default" w:ascii="Cambria" w:hAnsi="Cambria" w:eastAsiaTheme="minorEastAsia" w:cstheme="minorBidi"/>
      </w:rPr>
    </w:lvl>
    <w:lvl w:ilvl="1" w:tplc="04090003" w:tentative="1">
      <w:start w:val="1"/>
      <w:numFmt w:val="bullet"/>
      <w:lvlText w:val="o"/>
      <w:lvlJc w:val="left"/>
      <w:pPr>
        <w:ind w:left="1440" w:hanging="360"/>
      </w:pPr>
      <w:rPr>
        <w:rFonts w:hint="default" w:ascii="Courier New" w:hAnsi="Courier New" w:cs="Courier New"/>
      </w:rPr>
    </w:lvl>
    <w:lvl w:ilvl="2" w:tplc="04090005" w:tentative="1">
      <w:start w:val="1"/>
      <w:numFmt w:val="bullet"/>
      <w:lvlText w:val=""/>
      <w:lvlJc w:val="left"/>
      <w:pPr>
        <w:ind w:left="2160" w:hanging="360"/>
      </w:pPr>
      <w:rPr>
        <w:rFonts w:hint="default" w:ascii="Wingdings" w:hAnsi="Wingdings"/>
      </w:rPr>
    </w:lvl>
    <w:lvl w:ilvl="3" w:tplc="04090001" w:tentative="1">
      <w:start w:val="1"/>
      <w:numFmt w:val="bullet"/>
      <w:lvlText w:val=""/>
      <w:lvlJc w:val="left"/>
      <w:pPr>
        <w:ind w:left="2880" w:hanging="360"/>
      </w:pPr>
      <w:rPr>
        <w:rFonts w:hint="default" w:ascii="Symbol" w:hAnsi="Symbol"/>
      </w:rPr>
    </w:lvl>
    <w:lvl w:ilvl="4" w:tplc="04090003" w:tentative="1">
      <w:start w:val="1"/>
      <w:numFmt w:val="bullet"/>
      <w:lvlText w:val="o"/>
      <w:lvlJc w:val="left"/>
      <w:pPr>
        <w:ind w:left="3600" w:hanging="360"/>
      </w:pPr>
      <w:rPr>
        <w:rFonts w:hint="default" w:ascii="Courier New" w:hAnsi="Courier New" w:cs="Courier New"/>
      </w:rPr>
    </w:lvl>
    <w:lvl w:ilvl="5" w:tplc="04090005" w:tentative="1">
      <w:start w:val="1"/>
      <w:numFmt w:val="bullet"/>
      <w:lvlText w:val=""/>
      <w:lvlJc w:val="left"/>
      <w:pPr>
        <w:ind w:left="4320" w:hanging="360"/>
      </w:pPr>
      <w:rPr>
        <w:rFonts w:hint="default" w:ascii="Wingdings" w:hAnsi="Wingdings"/>
      </w:rPr>
    </w:lvl>
    <w:lvl w:ilvl="6" w:tplc="04090001" w:tentative="1">
      <w:start w:val="1"/>
      <w:numFmt w:val="bullet"/>
      <w:lvlText w:val=""/>
      <w:lvlJc w:val="left"/>
      <w:pPr>
        <w:ind w:left="5040" w:hanging="360"/>
      </w:pPr>
      <w:rPr>
        <w:rFonts w:hint="default" w:ascii="Symbol" w:hAnsi="Symbol"/>
      </w:rPr>
    </w:lvl>
    <w:lvl w:ilvl="7" w:tplc="04090003" w:tentative="1">
      <w:start w:val="1"/>
      <w:numFmt w:val="bullet"/>
      <w:lvlText w:val="o"/>
      <w:lvlJc w:val="left"/>
      <w:pPr>
        <w:ind w:left="5760" w:hanging="360"/>
      </w:pPr>
      <w:rPr>
        <w:rFonts w:hint="default" w:ascii="Courier New" w:hAnsi="Courier New" w:cs="Courier New"/>
      </w:rPr>
    </w:lvl>
    <w:lvl w:ilvl="8" w:tplc="04090005" w:tentative="1">
      <w:start w:val="1"/>
      <w:numFmt w:val="bullet"/>
      <w:lvlText w:val=""/>
      <w:lvlJc w:val="left"/>
      <w:pPr>
        <w:ind w:left="6480" w:hanging="360"/>
      </w:pPr>
      <w:rPr>
        <w:rFonts w:hint="default" w:ascii="Wingdings" w:hAnsi="Wingdings"/>
      </w:rPr>
    </w:lvl>
  </w:abstractNum>
  <w:abstractNum w:abstractNumId="10" w15:restartNumberingAfterBreak="0">
    <w:nsid w:val="437778FD"/>
    <w:multiLevelType w:val="hybridMultilevel"/>
    <w:tmpl w:val="C38EC5F0"/>
    <w:lvl w:ilvl="0" w:tplc="04090001">
      <w:start w:val="1"/>
      <w:numFmt w:val="bullet"/>
      <w:lvlText w:val=""/>
      <w:lvlJc w:val="left"/>
      <w:pPr>
        <w:ind w:left="720" w:hanging="360"/>
      </w:pPr>
      <w:rPr>
        <w:rFonts w:hint="default" w:ascii="Symbol" w:hAnsi="Symbol"/>
      </w:rPr>
    </w:lvl>
    <w:lvl w:ilvl="1" w:tplc="04090003" w:tentative="1">
      <w:start w:val="1"/>
      <w:numFmt w:val="bullet"/>
      <w:lvlText w:val="o"/>
      <w:lvlJc w:val="left"/>
      <w:pPr>
        <w:ind w:left="1440" w:hanging="360"/>
      </w:pPr>
      <w:rPr>
        <w:rFonts w:hint="default" w:ascii="Courier New" w:hAnsi="Courier New" w:cs="Courier New"/>
      </w:rPr>
    </w:lvl>
    <w:lvl w:ilvl="2" w:tplc="04090005" w:tentative="1">
      <w:start w:val="1"/>
      <w:numFmt w:val="bullet"/>
      <w:lvlText w:val=""/>
      <w:lvlJc w:val="left"/>
      <w:pPr>
        <w:ind w:left="2160" w:hanging="360"/>
      </w:pPr>
      <w:rPr>
        <w:rFonts w:hint="default" w:ascii="Wingdings" w:hAnsi="Wingdings"/>
      </w:rPr>
    </w:lvl>
    <w:lvl w:ilvl="3" w:tplc="04090001" w:tentative="1">
      <w:start w:val="1"/>
      <w:numFmt w:val="bullet"/>
      <w:lvlText w:val=""/>
      <w:lvlJc w:val="left"/>
      <w:pPr>
        <w:ind w:left="2880" w:hanging="360"/>
      </w:pPr>
      <w:rPr>
        <w:rFonts w:hint="default" w:ascii="Symbol" w:hAnsi="Symbol"/>
      </w:rPr>
    </w:lvl>
    <w:lvl w:ilvl="4" w:tplc="04090003" w:tentative="1">
      <w:start w:val="1"/>
      <w:numFmt w:val="bullet"/>
      <w:lvlText w:val="o"/>
      <w:lvlJc w:val="left"/>
      <w:pPr>
        <w:ind w:left="3600" w:hanging="360"/>
      </w:pPr>
      <w:rPr>
        <w:rFonts w:hint="default" w:ascii="Courier New" w:hAnsi="Courier New" w:cs="Courier New"/>
      </w:rPr>
    </w:lvl>
    <w:lvl w:ilvl="5" w:tplc="04090005" w:tentative="1">
      <w:start w:val="1"/>
      <w:numFmt w:val="bullet"/>
      <w:lvlText w:val=""/>
      <w:lvlJc w:val="left"/>
      <w:pPr>
        <w:ind w:left="4320" w:hanging="360"/>
      </w:pPr>
      <w:rPr>
        <w:rFonts w:hint="default" w:ascii="Wingdings" w:hAnsi="Wingdings"/>
      </w:rPr>
    </w:lvl>
    <w:lvl w:ilvl="6" w:tplc="04090001" w:tentative="1">
      <w:start w:val="1"/>
      <w:numFmt w:val="bullet"/>
      <w:lvlText w:val=""/>
      <w:lvlJc w:val="left"/>
      <w:pPr>
        <w:ind w:left="5040" w:hanging="360"/>
      </w:pPr>
      <w:rPr>
        <w:rFonts w:hint="default" w:ascii="Symbol" w:hAnsi="Symbol"/>
      </w:rPr>
    </w:lvl>
    <w:lvl w:ilvl="7" w:tplc="04090003" w:tentative="1">
      <w:start w:val="1"/>
      <w:numFmt w:val="bullet"/>
      <w:lvlText w:val="o"/>
      <w:lvlJc w:val="left"/>
      <w:pPr>
        <w:ind w:left="5760" w:hanging="360"/>
      </w:pPr>
      <w:rPr>
        <w:rFonts w:hint="default" w:ascii="Courier New" w:hAnsi="Courier New" w:cs="Courier New"/>
      </w:rPr>
    </w:lvl>
    <w:lvl w:ilvl="8" w:tplc="04090005" w:tentative="1">
      <w:start w:val="1"/>
      <w:numFmt w:val="bullet"/>
      <w:lvlText w:val=""/>
      <w:lvlJc w:val="left"/>
      <w:pPr>
        <w:ind w:left="6480" w:hanging="360"/>
      </w:pPr>
      <w:rPr>
        <w:rFonts w:hint="default" w:ascii="Wingdings" w:hAnsi="Wingdings"/>
      </w:rPr>
    </w:lvl>
  </w:abstractNum>
  <w:abstractNum w:abstractNumId="11" w15:restartNumberingAfterBreak="0">
    <w:nsid w:val="51AB5F5B"/>
    <w:multiLevelType w:val="hybridMultilevel"/>
    <w:tmpl w:val="49B40664"/>
    <w:lvl w:ilvl="0" w:tplc="54BAE5F8">
      <w:numFmt w:val="bullet"/>
      <w:lvlText w:val="-"/>
      <w:lvlJc w:val="left"/>
      <w:pPr>
        <w:ind w:left="720" w:hanging="360"/>
      </w:pPr>
      <w:rPr>
        <w:rFonts w:hint="default" w:ascii="Cambria" w:hAnsi="Cambria" w:eastAsiaTheme="minorEastAsia" w:cstheme="minorBidi"/>
      </w:rPr>
    </w:lvl>
    <w:lvl w:ilvl="1" w:tplc="04090003" w:tentative="1">
      <w:start w:val="1"/>
      <w:numFmt w:val="bullet"/>
      <w:lvlText w:val="o"/>
      <w:lvlJc w:val="left"/>
      <w:pPr>
        <w:ind w:left="1440" w:hanging="360"/>
      </w:pPr>
      <w:rPr>
        <w:rFonts w:hint="default" w:ascii="Courier New" w:hAnsi="Courier New" w:cs="Courier New"/>
      </w:rPr>
    </w:lvl>
    <w:lvl w:ilvl="2" w:tplc="04090005" w:tentative="1">
      <w:start w:val="1"/>
      <w:numFmt w:val="bullet"/>
      <w:lvlText w:val=""/>
      <w:lvlJc w:val="left"/>
      <w:pPr>
        <w:ind w:left="2160" w:hanging="360"/>
      </w:pPr>
      <w:rPr>
        <w:rFonts w:hint="default" w:ascii="Wingdings" w:hAnsi="Wingdings"/>
      </w:rPr>
    </w:lvl>
    <w:lvl w:ilvl="3" w:tplc="04090001" w:tentative="1">
      <w:start w:val="1"/>
      <w:numFmt w:val="bullet"/>
      <w:lvlText w:val=""/>
      <w:lvlJc w:val="left"/>
      <w:pPr>
        <w:ind w:left="2880" w:hanging="360"/>
      </w:pPr>
      <w:rPr>
        <w:rFonts w:hint="default" w:ascii="Symbol" w:hAnsi="Symbol"/>
      </w:rPr>
    </w:lvl>
    <w:lvl w:ilvl="4" w:tplc="04090003" w:tentative="1">
      <w:start w:val="1"/>
      <w:numFmt w:val="bullet"/>
      <w:lvlText w:val="o"/>
      <w:lvlJc w:val="left"/>
      <w:pPr>
        <w:ind w:left="3600" w:hanging="360"/>
      </w:pPr>
      <w:rPr>
        <w:rFonts w:hint="default" w:ascii="Courier New" w:hAnsi="Courier New" w:cs="Courier New"/>
      </w:rPr>
    </w:lvl>
    <w:lvl w:ilvl="5" w:tplc="04090005" w:tentative="1">
      <w:start w:val="1"/>
      <w:numFmt w:val="bullet"/>
      <w:lvlText w:val=""/>
      <w:lvlJc w:val="left"/>
      <w:pPr>
        <w:ind w:left="4320" w:hanging="360"/>
      </w:pPr>
      <w:rPr>
        <w:rFonts w:hint="default" w:ascii="Wingdings" w:hAnsi="Wingdings"/>
      </w:rPr>
    </w:lvl>
    <w:lvl w:ilvl="6" w:tplc="04090001" w:tentative="1">
      <w:start w:val="1"/>
      <w:numFmt w:val="bullet"/>
      <w:lvlText w:val=""/>
      <w:lvlJc w:val="left"/>
      <w:pPr>
        <w:ind w:left="5040" w:hanging="360"/>
      </w:pPr>
      <w:rPr>
        <w:rFonts w:hint="default" w:ascii="Symbol" w:hAnsi="Symbol"/>
      </w:rPr>
    </w:lvl>
    <w:lvl w:ilvl="7" w:tplc="04090003" w:tentative="1">
      <w:start w:val="1"/>
      <w:numFmt w:val="bullet"/>
      <w:lvlText w:val="o"/>
      <w:lvlJc w:val="left"/>
      <w:pPr>
        <w:ind w:left="5760" w:hanging="360"/>
      </w:pPr>
      <w:rPr>
        <w:rFonts w:hint="default" w:ascii="Courier New" w:hAnsi="Courier New" w:cs="Courier New"/>
      </w:rPr>
    </w:lvl>
    <w:lvl w:ilvl="8" w:tplc="04090005" w:tentative="1">
      <w:start w:val="1"/>
      <w:numFmt w:val="bullet"/>
      <w:lvlText w:val=""/>
      <w:lvlJc w:val="left"/>
      <w:pPr>
        <w:ind w:left="6480" w:hanging="360"/>
      </w:pPr>
      <w:rPr>
        <w:rFonts w:hint="default" w:ascii="Wingdings" w:hAnsi="Wingdings"/>
      </w:rPr>
    </w:lvl>
  </w:abstractNum>
  <w:num w:numId="1" w16cid:durableId="584530605">
    <w:abstractNumId w:val="8"/>
  </w:num>
  <w:num w:numId="2" w16cid:durableId="1237325341">
    <w:abstractNumId w:val="6"/>
  </w:num>
  <w:num w:numId="3" w16cid:durableId="358700651">
    <w:abstractNumId w:val="5"/>
  </w:num>
  <w:num w:numId="4" w16cid:durableId="1993488987">
    <w:abstractNumId w:val="4"/>
  </w:num>
  <w:num w:numId="5" w16cid:durableId="1885171450">
    <w:abstractNumId w:val="7"/>
  </w:num>
  <w:num w:numId="6" w16cid:durableId="1494026419">
    <w:abstractNumId w:val="3"/>
  </w:num>
  <w:num w:numId="7" w16cid:durableId="1458376853">
    <w:abstractNumId w:val="2"/>
  </w:num>
  <w:num w:numId="8" w16cid:durableId="624391231">
    <w:abstractNumId w:val="1"/>
  </w:num>
  <w:num w:numId="9" w16cid:durableId="34549639">
    <w:abstractNumId w:val="0"/>
  </w:num>
  <w:num w:numId="10" w16cid:durableId="1128817848">
    <w:abstractNumId w:val="9"/>
  </w:num>
  <w:num w:numId="11" w16cid:durableId="1621720671">
    <w:abstractNumId w:val="10"/>
  </w:num>
  <w:num w:numId="12" w16cid:durableId="1991442829">
    <w:abstractNumId w:val="11"/>
  </w:num>
</w:numbering>
</file>

<file path=word/settings.xml><?xml version="1.0" encoding="utf-8"?>
<w:settings xmlns:wp14="http://schemas.microsoft.com/office/word/2010/wordprocessingDrawing"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p14">
  <w:zoom w:percent="100"/>
  <w:trackRevisions w:val="false"/>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00000"/>
    <w:rsid w:val="00034616"/>
    <w:rsid w:val="0006063C"/>
    <w:rsid w:val="000617AF"/>
    <w:rsid w:val="0015074B"/>
    <w:rsid w:val="0029639D"/>
    <w:rsid w:val="00326F90"/>
    <w:rsid w:val="00507B63"/>
    <w:rsid w:val="005C438E"/>
    <w:rsid w:val="00946B9D"/>
    <w:rsid w:val="00AA1D8D"/>
    <w:rsid w:val="00B47730"/>
    <w:rsid w:val="00C73FC4"/>
    <w:rsid w:val="00CB0664"/>
    <w:rsid w:val="00D1046D"/>
    <w:rsid w:val="00FC693F"/>
    <w:rsid w:val="023B2ABF"/>
    <w:rsid w:val="0D89481A"/>
    <w:rsid w:val="12E25450"/>
    <w:rsid w:val="1A19893C"/>
    <w:rsid w:val="2FF42EAD"/>
    <w:rsid w:val="444235F5"/>
    <w:rsid w:val="57320A94"/>
    <w:rsid w:val="6497EF32"/>
    <w:rsid w:val="7D055AF6"/>
  </w:rsids>
  <m:mathPr>
    <m:mathFont m:val="Cambria Math"/>
    <m:brkBin m:val="before"/>
    <m:brkBinSub m:val="--"/>
    <m:smallFrac m:val="0"/>
    <m:dispDef/>
    <m:lMargin m:val="0"/>
    <m:rMargin m:val="0"/>
    <m:defJc m:val="centerGroup"/>
    <m:wrapIndent m:val="1440"/>
    <m:intLim m:val="subSup"/>
    <m:naryLim m:val="undOvr"/>
  </m:mathPr>
  <w:themeFontLang w:val="en-US" w:eastAsia="ja-JP" w:bidi="hi-IN"/>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47DA9663"/>
  <w14:defaultImageDpi w14:val="300"/>
  <w15:docId w15:val="{62CEA945-C5C6-4BE7-994C-6CFD3B8099B9}"/>
</w:settings>
</file>

<file path=word/styles.xml><?xml version="1.0" encoding="utf-8"?>
<w:styles xmlns:wp14="http://schemas.microsoft.com/office/word/2010/wordprocessingDrawing"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p14">
  <w:docDefaults>
    <w:rPrDefault>
      <w:rPr>
        <w:rFonts w:asciiTheme="minorHAnsi" w:hAnsiTheme="minorHAnsi" w:eastAsiaTheme="minorEastAsia"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styleId="Normal" w:default="1">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hAnsiTheme="majorHAnsi" w:eastAsiaTheme="majorEastAsia"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hAnsiTheme="majorHAnsi" w:eastAsiaTheme="majorEastAsia"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hAnsiTheme="majorHAnsi" w:eastAsiaTheme="majorEastAsia"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hAnsiTheme="majorHAnsi" w:eastAsiaTheme="majorEastAsia"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hAnsiTheme="majorHAnsi" w:eastAsiaTheme="majorEastAsia"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hAnsiTheme="majorHAnsi" w:eastAsiaTheme="majorEastAsia"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hAnsiTheme="majorHAnsi" w:eastAsiaTheme="majorEastAsia"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hAnsiTheme="majorHAnsi" w:eastAsiaTheme="majorEastAsia"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hAnsiTheme="majorHAnsi" w:eastAsiaTheme="majorEastAsia" w:cstheme="majorBidi"/>
      <w:i/>
      <w:iCs/>
      <w:color w:val="404040" w:themeColor="text1" w:themeTint="BF"/>
      <w:sz w:val="20"/>
      <w:szCs w:val="20"/>
    </w:rPr>
  </w:style>
  <w:style w:type="character" w:styleId="DefaultParagraphFont" w:default="1">
    <w:name w:val="Default Paragraph Font"/>
    <w:uiPriority w:val="1"/>
    <w:semiHidden/>
    <w:unhideWhenUsed/>
  </w:style>
  <w:style w:type="table" w:styleId="TableNormal" w:default="1">
    <w:name w:val="Normal Table"/>
    <w:uiPriority w:val="99"/>
    <w:semiHidden/>
    <w:unhideWhenUsed/>
    <w:tblPr>
      <w:tblInd w:w="0" w:type="dxa"/>
      <w:tblCellMar>
        <w:top w:w="0" w:type="dxa"/>
        <w:left w:w="108" w:type="dxa"/>
        <w:bottom w:w="0" w:type="dxa"/>
        <w:right w:w="108" w:type="dxa"/>
      </w:tblCellMar>
    </w:tblPr>
  </w:style>
  <w:style w:type="numbering" w:styleId="NoList" w:default="1">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styleId="HeaderChar" w:customStyle="1">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styleId="FooterChar" w:customStyle="1">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styleId="Heading1Char" w:customStyle="1">
    <w:name w:val="Heading 1 Char"/>
    <w:basedOn w:val="DefaultParagraphFont"/>
    <w:link w:val="Heading1"/>
    <w:uiPriority w:val="9"/>
    <w:rsid w:val="00FC693F"/>
    <w:rPr>
      <w:rFonts w:asciiTheme="majorHAnsi" w:hAnsiTheme="majorHAnsi" w:eastAsiaTheme="majorEastAsia" w:cstheme="majorBidi"/>
      <w:b/>
      <w:bCs/>
      <w:color w:val="365F91" w:themeColor="accent1" w:themeShade="BF"/>
      <w:sz w:val="28"/>
      <w:szCs w:val="28"/>
    </w:rPr>
  </w:style>
  <w:style w:type="character" w:styleId="Heading2Char" w:customStyle="1">
    <w:name w:val="Heading 2 Char"/>
    <w:basedOn w:val="DefaultParagraphFont"/>
    <w:link w:val="Heading2"/>
    <w:uiPriority w:val="9"/>
    <w:rsid w:val="00FC693F"/>
    <w:rPr>
      <w:rFonts w:asciiTheme="majorHAnsi" w:hAnsiTheme="majorHAnsi" w:eastAsiaTheme="majorEastAsia" w:cstheme="majorBidi"/>
      <w:b/>
      <w:bCs/>
      <w:color w:val="4F81BD" w:themeColor="accent1"/>
      <w:sz w:val="26"/>
      <w:szCs w:val="26"/>
    </w:rPr>
  </w:style>
  <w:style w:type="character" w:styleId="Heading3Char" w:customStyle="1">
    <w:name w:val="Heading 3 Char"/>
    <w:basedOn w:val="DefaultParagraphFont"/>
    <w:link w:val="Heading3"/>
    <w:uiPriority w:val="9"/>
    <w:rsid w:val="00FC693F"/>
    <w:rPr>
      <w:rFonts w:asciiTheme="majorHAnsi" w:hAnsiTheme="majorHAnsi" w:eastAsiaTheme="majorEastAsia" w:cstheme="majorBidi"/>
      <w:b/>
      <w:bCs/>
      <w:color w:val="4F81BD" w:themeColor="accent1"/>
    </w:rPr>
  </w:style>
  <w:style w:type="paragraph" w:styleId="Title">
    <w:name w:val="Title"/>
    <w:basedOn w:val="Normal"/>
    <w:next w:val="Normal"/>
    <w:link w:val="TitleChar"/>
    <w:uiPriority w:val="10"/>
    <w:qFormat/>
    <w:rsid w:val="00FC693F"/>
    <w:pPr>
      <w:pBdr>
        <w:bottom w:val="single" w:color="4F81BD" w:themeColor="accent1" w:sz="8" w:space="4"/>
      </w:pBdr>
      <w:spacing w:after="300" w:line="240" w:lineRule="auto"/>
      <w:contextualSpacing/>
    </w:pPr>
    <w:rPr>
      <w:rFonts w:asciiTheme="majorHAnsi" w:hAnsiTheme="majorHAnsi" w:eastAsiaTheme="majorEastAsia" w:cstheme="majorBidi"/>
      <w:color w:val="17365D" w:themeColor="text2" w:themeShade="BF"/>
      <w:spacing w:val="5"/>
      <w:kern w:val="28"/>
      <w:sz w:val="52"/>
      <w:szCs w:val="52"/>
    </w:rPr>
  </w:style>
  <w:style w:type="character" w:styleId="TitleChar" w:customStyle="1">
    <w:name w:val="Title Char"/>
    <w:basedOn w:val="DefaultParagraphFont"/>
    <w:link w:val="Title"/>
    <w:uiPriority w:val="10"/>
    <w:rsid w:val="00FC693F"/>
    <w:rPr>
      <w:rFonts w:asciiTheme="majorHAnsi" w:hAnsiTheme="majorHAnsi" w:eastAsiaTheme="majorEastAsia"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hAnsiTheme="majorHAnsi" w:eastAsiaTheme="majorEastAsia" w:cstheme="majorBidi"/>
      <w:i/>
      <w:iCs/>
      <w:color w:val="4F81BD" w:themeColor="accent1"/>
      <w:spacing w:val="15"/>
      <w:sz w:val="24"/>
      <w:szCs w:val="24"/>
    </w:rPr>
  </w:style>
  <w:style w:type="character" w:styleId="SubtitleChar" w:customStyle="1">
    <w:name w:val="Subtitle Char"/>
    <w:basedOn w:val="DefaultParagraphFont"/>
    <w:link w:val="Subtitle"/>
    <w:uiPriority w:val="11"/>
    <w:rsid w:val="00FC693F"/>
    <w:rPr>
      <w:rFonts w:asciiTheme="majorHAnsi" w:hAnsiTheme="majorHAnsi" w:eastAsiaTheme="majorEastAsia"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styleId="BodyTextChar" w:customStyle="1">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styleId="BodyText2Char" w:customStyle="1">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styleId="BodyText3Char" w:customStyle="1">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styleId="MacroTextChar" w:customStyle="1">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styleId="QuoteChar" w:customStyle="1">
    <w:name w:val="Quote Char"/>
    <w:basedOn w:val="DefaultParagraphFont"/>
    <w:link w:val="Quote"/>
    <w:uiPriority w:val="29"/>
    <w:rsid w:val="00FC693F"/>
    <w:rPr>
      <w:i/>
      <w:iCs/>
      <w:color w:val="000000" w:themeColor="text1"/>
    </w:rPr>
  </w:style>
  <w:style w:type="character" w:styleId="Heading4Char" w:customStyle="1">
    <w:name w:val="Heading 4 Char"/>
    <w:basedOn w:val="DefaultParagraphFont"/>
    <w:link w:val="Heading4"/>
    <w:uiPriority w:val="9"/>
    <w:semiHidden/>
    <w:rsid w:val="00FC693F"/>
    <w:rPr>
      <w:rFonts w:asciiTheme="majorHAnsi" w:hAnsiTheme="majorHAnsi" w:eastAsiaTheme="majorEastAsia" w:cstheme="majorBidi"/>
      <w:b/>
      <w:bCs/>
      <w:i/>
      <w:iCs/>
      <w:color w:val="4F81BD" w:themeColor="accent1"/>
    </w:rPr>
  </w:style>
  <w:style w:type="character" w:styleId="Heading5Char" w:customStyle="1">
    <w:name w:val="Heading 5 Char"/>
    <w:basedOn w:val="DefaultParagraphFont"/>
    <w:link w:val="Heading5"/>
    <w:uiPriority w:val="9"/>
    <w:semiHidden/>
    <w:rsid w:val="00FC693F"/>
    <w:rPr>
      <w:rFonts w:asciiTheme="majorHAnsi" w:hAnsiTheme="majorHAnsi" w:eastAsiaTheme="majorEastAsia" w:cstheme="majorBidi"/>
      <w:color w:val="243F60" w:themeColor="accent1" w:themeShade="7F"/>
    </w:rPr>
  </w:style>
  <w:style w:type="character" w:styleId="Heading6Char" w:customStyle="1">
    <w:name w:val="Heading 6 Char"/>
    <w:basedOn w:val="DefaultParagraphFont"/>
    <w:link w:val="Heading6"/>
    <w:uiPriority w:val="9"/>
    <w:semiHidden/>
    <w:rsid w:val="00FC693F"/>
    <w:rPr>
      <w:rFonts w:asciiTheme="majorHAnsi" w:hAnsiTheme="majorHAnsi" w:eastAsiaTheme="majorEastAsia" w:cstheme="majorBidi"/>
      <w:i/>
      <w:iCs/>
      <w:color w:val="243F60" w:themeColor="accent1" w:themeShade="7F"/>
    </w:rPr>
  </w:style>
  <w:style w:type="character" w:styleId="Heading7Char" w:customStyle="1">
    <w:name w:val="Heading 7 Char"/>
    <w:basedOn w:val="DefaultParagraphFont"/>
    <w:link w:val="Heading7"/>
    <w:uiPriority w:val="9"/>
    <w:semiHidden/>
    <w:rsid w:val="00FC693F"/>
    <w:rPr>
      <w:rFonts w:asciiTheme="majorHAnsi" w:hAnsiTheme="majorHAnsi" w:eastAsiaTheme="majorEastAsia" w:cstheme="majorBidi"/>
      <w:i/>
      <w:iCs/>
      <w:color w:val="404040" w:themeColor="text1" w:themeTint="BF"/>
    </w:rPr>
  </w:style>
  <w:style w:type="character" w:styleId="Heading8Char" w:customStyle="1">
    <w:name w:val="Heading 8 Char"/>
    <w:basedOn w:val="DefaultParagraphFont"/>
    <w:link w:val="Heading8"/>
    <w:uiPriority w:val="9"/>
    <w:semiHidden/>
    <w:rsid w:val="00FC693F"/>
    <w:rPr>
      <w:rFonts w:asciiTheme="majorHAnsi" w:hAnsiTheme="majorHAnsi" w:eastAsiaTheme="majorEastAsia" w:cstheme="majorBidi"/>
      <w:color w:val="4F81BD" w:themeColor="accent1"/>
      <w:sz w:val="20"/>
      <w:szCs w:val="20"/>
    </w:rPr>
  </w:style>
  <w:style w:type="character" w:styleId="Heading9Char" w:customStyle="1">
    <w:name w:val="Heading 9 Char"/>
    <w:basedOn w:val="DefaultParagraphFont"/>
    <w:link w:val="Heading9"/>
    <w:uiPriority w:val="9"/>
    <w:semiHidden/>
    <w:rsid w:val="00FC693F"/>
    <w:rPr>
      <w:rFonts w:asciiTheme="majorHAnsi" w:hAnsiTheme="majorHAnsi" w:eastAsiaTheme="majorEastAsia"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color="4F81BD" w:themeColor="accent1" w:sz="4" w:space="4"/>
      </w:pBdr>
      <w:spacing w:before="200" w:after="280"/>
      <w:ind w:left="936" w:right="936"/>
    </w:pPr>
    <w:rPr>
      <w:b/>
      <w:bCs/>
      <w:i/>
      <w:iCs/>
      <w:color w:val="4F81BD" w:themeColor="accent1"/>
    </w:rPr>
  </w:style>
  <w:style w:type="character" w:styleId="IntenseQuoteChar" w:customStyle="1">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color="000000" w:themeColor="text1" w:sz="8" w:space="0"/>
        <w:bottom w:val="single" w:color="000000" w:themeColor="text1" w:sz="8" w:space="0"/>
      </w:tblBorders>
    </w:tblPr>
    <w:tblStylePr w:type="fir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la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color="4F81BD" w:themeColor="accent1" w:sz="8" w:space="0"/>
        <w:bottom w:val="single" w:color="4F81BD" w:themeColor="accent1" w:sz="8" w:space="0"/>
      </w:tblBorders>
    </w:tblPr>
    <w:tblStylePr w:type="fir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la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color="C0504D" w:themeColor="accent2" w:sz="8" w:space="0"/>
        <w:bottom w:val="single" w:color="C0504D" w:themeColor="accent2" w:sz="8" w:space="0"/>
      </w:tblBorders>
    </w:tblPr>
    <w:tblStylePr w:type="fir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la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color="9BBB59" w:themeColor="accent3" w:sz="8" w:space="0"/>
        <w:bottom w:val="single" w:color="9BBB59" w:themeColor="accent3" w:sz="8" w:space="0"/>
      </w:tblBorders>
    </w:tblPr>
    <w:tblStylePr w:type="fir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la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color="8064A2" w:themeColor="accent4" w:sz="8" w:space="0"/>
        <w:bottom w:val="single" w:color="8064A2" w:themeColor="accent4" w:sz="8" w:space="0"/>
      </w:tblBorders>
    </w:tblPr>
    <w:tblStylePr w:type="fir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la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color="4BACC6" w:themeColor="accent5" w:sz="8" w:space="0"/>
        <w:bottom w:val="single" w:color="4BACC6" w:themeColor="accent5" w:sz="8" w:space="0"/>
      </w:tblBorders>
    </w:tblPr>
    <w:tblStylePr w:type="fir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la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color="F79646" w:themeColor="accent6" w:sz="8" w:space="0"/>
        <w:bottom w:val="single" w:color="F79646" w:themeColor="accent6" w:sz="8" w:space="0"/>
      </w:tblBorders>
    </w:tblPr>
    <w:tblStylePr w:type="fir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la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color="000000" w:themeColor="text1" w:sz="8" w:space="0"/>
        <w:left w:val="single" w:color="000000" w:themeColor="text1" w:sz="8" w:space="0"/>
        <w:bottom w:val="single" w:color="000000" w:themeColor="text1" w:sz="8" w:space="0"/>
        <w:right w:val="single" w:color="000000" w:themeColor="text1" w:sz="8" w:space="0"/>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tcBorders>
      </w:tcPr>
    </w:tblStylePr>
    <w:tblStylePr w:type="firstCol">
      <w:rPr>
        <w:b/>
        <w:bCs/>
      </w:rPr>
    </w:tblStylePr>
    <w:tblStylePr w:type="lastCol">
      <w:rPr>
        <w:b/>
        <w:bCs/>
      </w:r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color="4F81BD" w:themeColor="accent1" w:sz="8" w:space="0"/>
        <w:left w:val="single" w:color="4F81BD" w:themeColor="accent1" w:sz="8" w:space="0"/>
        <w:bottom w:val="single" w:color="4F81BD" w:themeColor="accent1" w:sz="8" w:space="0"/>
        <w:right w:val="single" w:color="4F81BD" w:themeColor="accent1" w:sz="8" w:space="0"/>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tcBorders>
      </w:tcPr>
    </w:tblStylePr>
    <w:tblStylePr w:type="firstCol">
      <w:rPr>
        <w:b/>
        <w:bCs/>
      </w:rPr>
    </w:tblStylePr>
    <w:tblStylePr w:type="lastCol">
      <w:rPr>
        <w:b/>
        <w:bCs/>
      </w:r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color="C0504D" w:themeColor="accent2" w:sz="8" w:space="0"/>
        <w:left w:val="single" w:color="C0504D" w:themeColor="accent2" w:sz="8" w:space="0"/>
        <w:bottom w:val="single" w:color="C0504D" w:themeColor="accent2" w:sz="8" w:space="0"/>
        <w:right w:val="single" w:color="C0504D" w:themeColor="accent2" w:sz="8" w:space="0"/>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tcBorders>
      </w:tcPr>
    </w:tblStylePr>
    <w:tblStylePr w:type="firstCol">
      <w:rPr>
        <w:b/>
        <w:bCs/>
      </w:rPr>
    </w:tblStylePr>
    <w:tblStylePr w:type="lastCol">
      <w:rPr>
        <w:b/>
        <w:bCs/>
      </w:r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color="9BBB59" w:themeColor="accent3" w:sz="8" w:space="0"/>
        <w:left w:val="single" w:color="9BBB59" w:themeColor="accent3" w:sz="8" w:space="0"/>
        <w:bottom w:val="single" w:color="9BBB59" w:themeColor="accent3" w:sz="8" w:space="0"/>
        <w:right w:val="single" w:color="9BBB59" w:themeColor="accent3" w:sz="8" w:space="0"/>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tcBorders>
      </w:tcPr>
    </w:tblStylePr>
    <w:tblStylePr w:type="firstCol">
      <w:rPr>
        <w:b/>
        <w:bCs/>
      </w:rPr>
    </w:tblStylePr>
    <w:tblStylePr w:type="lastCol">
      <w:rPr>
        <w:b/>
        <w:bCs/>
      </w:r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color="8064A2" w:themeColor="accent4" w:sz="8" w:space="0"/>
        <w:left w:val="single" w:color="8064A2" w:themeColor="accent4" w:sz="8" w:space="0"/>
        <w:bottom w:val="single" w:color="8064A2" w:themeColor="accent4" w:sz="8" w:space="0"/>
        <w:right w:val="single" w:color="8064A2" w:themeColor="accent4" w:sz="8" w:space="0"/>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tcBorders>
      </w:tcPr>
    </w:tblStylePr>
    <w:tblStylePr w:type="firstCol">
      <w:rPr>
        <w:b/>
        <w:bCs/>
      </w:rPr>
    </w:tblStylePr>
    <w:tblStylePr w:type="lastCol">
      <w:rPr>
        <w:b/>
        <w:bCs/>
      </w:r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color="4BACC6" w:themeColor="accent5" w:sz="8" w:space="0"/>
        <w:left w:val="single" w:color="4BACC6" w:themeColor="accent5" w:sz="8" w:space="0"/>
        <w:bottom w:val="single" w:color="4BACC6" w:themeColor="accent5" w:sz="8" w:space="0"/>
        <w:right w:val="single" w:color="4BACC6" w:themeColor="accent5" w:sz="8" w:space="0"/>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tcBorders>
      </w:tcPr>
    </w:tblStylePr>
    <w:tblStylePr w:type="firstCol">
      <w:rPr>
        <w:b/>
        <w:bCs/>
      </w:rPr>
    </w:tblStylePr>
    <w:tblStylePr w:type="lastCol">
      <w:rPr>
        <w:b/>
        <w:bCs/>
      </w:r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color="F79646" w:themeColor="accent6" w:sz="8" w:space="0"/>
        <w:left w:val="single" w:color="F79646" w:themeColor="accent6" w:sz="8" w:space="0"/>
        <w:bottom w:val="single" w:color="F79646" w:themeColor="accent6" w:sz="8" w:space="0"/>
        <w:right w:val="single" w:color="F79646" w:themeColor="accent6" w:sz="8" w:space="0"/>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tcBorders>
      </w:tcPr>
    </w:tblStylePr>
    <w:tblStylePr w:type="firstCol">
      <w:rPr>
        <w:b/>
        <w:bCs/>
      </w:rPr>
    </w:tblStylePr>
    <w:tblStylePr w:type="lastCol">
      <w:rPr>
        <w:b/>
        <w:bCs/>
      </w:r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Pr>
    <w:tblStylePr w:type="firstRow">
      <w:pPr>
        <w:spacing w:before="0" w:after="0" w:line="240" w:lineRule="auto"/>
      </w:pPr>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18" w:space="0"/>
          <w:right w:val="single" w:color="000000" w:themeColor="text1" w:sz="8" w:space="0"/>
          <w:insideH w:val="nil"/>
          <w:insideV w:val="single" w:color="000000" w:themeColor="text1"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insideH w:val="nil"/>
          <w:insideV w:val="single" w:color="000000" w:themeColor="text1"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shd w:val="clear" w:color="auto" w:fill="C0C0C0" w:themeFill="text1" w:themeFillTint="3F"/>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color="000000" w:themeColor="text1" w:sz="8" w:space="0"/>
        </w:tcBorders>
        <w:shd w:val="clear" w:color="auto" w:fill="C0C0C0" w:themeFill="text1" w:themeFillTint="3F"/>
      </w:tcPr>
    </w:tblStylePr>
    <w:tblStylePr w:type="band2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color="000000" w:themeColor="text1" w:sz="8" w:space="0"/>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Pr>
    <w:tblStylePr w:type="firstRow">
      <w:pPr>
        <w:spacing w:before="0" w:after="0" w:line="240" w:lineRule="auto"/>
      </w:pPr>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18" w:space="0"/>
          <w:right w:val="single" w:color="4F81BD" w:themeColor="accent1" w:sz="8" w:space="0"/>
          <w:insideH w:val="nil"/>
          <w:insideV w:val="single" w:color="4F81BD" w:themeColor="accent1"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insideH w:val="nil"/>
          <w:insideV w:val="single" w:color="4F81BD" w:themeColor="accent1"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shd w:val="clear" w:color="auto" w:fill="D3DFEE" w:themeFill="accent1" w:themeFillTint="3F"/>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color="4F81BD" w:themeColor="accent1" w:sz="8" w:space="0"/>
        </w:tcBorders>
        <w:shd w:val="clear" w:color="auto" w:fill="D3DFEE" w:themeFill="accent1" w:themeFillTint="3F"/>
      </w:tcPr>
    </w:tblStylePr>
    <w:tblStylePr w:type="band2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color="4F81BD" w:themeColor="accent1" w:sz="8" w:space="0"/>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Pr>
    <w:tblStylePr w:type="firstRow">
      <w:pPr>
        <w:spacing w:before="0" w:after="0" w:line="240" w:lineRule="auto"/>
      </w:pPr>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18" w:space="0"/>
          <w:right w:val="single" w:color="C0504D" w:themeColor="accent2" w:sz="8" w:space="0"/>
          <w:insideH w:val="nil"/>
          <w:insideV w:val="single" w:color="C0504D" w:themeColor="accent2"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insideH w:val="nil"/>
          <w:insideV w:val="single" w:color="C0504D" w:themeColor="accent2"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shd w:val="clear" w:color="auto" w:fill="EFD3D2" w:themeFill="accent2" w:themeFillTint="3F"/>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color="C0504D" w:themeColor="accent2" w:sz="8" w:space="0"/>
        </w:tcBorders>
        <w:shd w:val="clear" w:color="auto" w:fill="EFD3D2" w:themeFill="accent2" w:themeFillTint="3F"/>
      </w:tcPr>
    </w:tblStylePr>
    <w:tblStylePr w:type="band2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color="C0504D" w:themeColor="accent2" w:sz="8" w:space="0"/>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Pr>
    <w:tblStylePr w:type="firstRow">
      <w:pPr>
        <w:spacing w:before="0" w:after="0" w:line="240" w:lineRule="auto"/>
      </w:pPr>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18" w:space="0"/>
          <w:right w:val="single" w:color="9BBB59" w:themeColor="accent3" w:sz="8" w:space="0"/>
          <w:insideH w:val="nil"/>
          <w:insideV w:val="single" w:color="9BBB59" w:themeColor="accent3"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insideH w:val="nil"/>
          <w:insideV w:val="single" w:color="9BBB59" w:themeColor="accent3"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shd w:val="clear" w:color="auto" w:fill="E6EED5" w:themeFill="accent3" w:themeFillTint="3F"/>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color="9BBB59" w:themeColor="accent3" w:sz="8" w:space="0"/>
        </w:tcBorders>
        <w:shd w:val="clear" w:color="auto" w:fill="E6EED5" w:themeFill="accent3" w:themeFillTint="3F"/>
      </w:tcPr>
    </w:tblStylePr>
    <w:tblStylePr w:type="band2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color="9BBB59" w:themeColor="accent3" w:sz="8" w:space="0"/>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Pr>
    <w:tblStylePr w:type="firstRow">
      <w:pPr>
        <w:spacing w:before="0" w:after="0" w:line="240" w:lineRule="auto"/>
      </w:pPr>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18" w:space="0"/>
          <w:right w:val="single" w:color="8064A2" w:themeColor="accent4" w:sz="8" w:space="0"/>
          <w:insideH w:val="nil"/>
          <w:insideV w:val="single" w:color="8064A2" w:themeColor="accent4"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insideH w:val="nil"/>
          <w:insideV w:val="single" w:color="8064A2" w:themeColor="accent4"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shd w:val="clear" w:color="auto" w:fill="DFD8E8" w:themeFill="accent4" w:themeFillTint="3F"/>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color="8064A2" w:themeColor="accent4" w:sz="8" w:space="0"/>
        </w:tcBorders>
        <w:shd w:val="clear" w:color="auto" w:fill="DFD8E8" w:themeFill="accent4" w:themeFillTint="3F"/>
      </w:tcPr>
    </w:tblStylePr>
    <w:tblStylePr w:type="band2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color="8064A2" w:themeColor="accent4" w:sz="8" w:space="0"/>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Pr>
    <w:tblStylePr w:type="firstRow">
      <w:pPr>
        <w:spacing w:before="0" w:after="0" w:line="240" w:lineRule="auto"/>
      </w:pPr>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18" w:space="0"/>
          <w:right w:val="single" w:color="4BACC6" w:themeColor="accent5" w:sz="8" w:space="0"/>
          <w:insideH w:val="nil"/>
          <w:insideV w:val="single" w:color="4BACC6" w:themeColor="accent5"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insideH w:val="nil"/>
          <w:insideV w:val="single" w:color="4BACC6" w:themeColor="accent5"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shd w:val="clear" w:color="auto" w:fill="D2EAF1" w:themeFill="accent5" w:themeFillTint="3F"/>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color="4BACC6" w:themeColor="accent5" w:sz="8" w:space="0"/>
        </w:tcBorders>
        <w:shd w:val="clear" w:color="auto" w:fill="D2EAF1" w:themeFill="accent5" w:themeFillTint="3F"/>
      </w:tcPr>
    </w:tblStylePr>
    <w:tblStylePr w:type="band2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color="4BACC6" w:themeColor="accent5" w:sz="8" w:space="0"/>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Pr>
    <w:tblStylePr w:type="firstRow">
      <w:pPr>
        <w:spacing w:before="0" w:after="0" w:line="240" w:lineRule="auto"/>
      </w:pPr>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18" w:space="0"/>
          <w:right w:val="single" w:color="F79646" w:themeColor="accent6" w:sz="8" w:space="0"/>
          <w:insideH w:val="nil"/>
          <w:insideV w:val="single" w:color="F79646" w:themeColor="accent6"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insideH w:val="nil"/>
          <w:insideV w:val="single" w:color="F79646" w:themeColor="accent6"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shd w:val="clear" w:color="auto" w:fill="FDE4D0" w:themeFill="accent6" w:themeFillTint="3F"/>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color="F79646" w:themeColor="accent6" w:sz="8" w:space="0"/>
        </w:tcBorders>
        <w:shd w:val="clear" w:color="auto" w:fill="FDE4D0" w:themeFill="accent6" w:themeFillTint="3F"/>
      </w:tcPr>
    </w:tblStylePr>
    <w:tblStylePr w:type="band2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color="F79646" w:themeColor="accent6" w:sz="8" w:space="0"/>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color="404040" w:themeColor="text1" w:themeTint="BF" w:sz="8" w:space="0"/>
        <w:left w:val="single" w:color="404040" w:themeColor="text1" w:themeTint="BF" w:sz="8" w:space="0"/>
        <w:bottom w:val="single" w:color="404040" w:themeColor="text1" w:themeTint="BF" w:sz="8" w:space="0"/>
        <w:right w:val="single" w:color="404040" w:themeColor="text1" w:themeTint="BF" w:sz="8" w:space="0"/>
        <w:insideH w:val="single" w:color="404040" w:themeColor="text1" w:themeTint="BF" w:sz="8" w:space="0"/>
      </w:tblBorders>
    </w:tblPr>
    <w:tblStylePr w:type="firstRow">
      <w:pPr>
        <w:spacing w:before="0" w:after="0" w:line="240" w:lineRule="auto"/>
      </w:pPr>
      <w:rPr>
        <w:b/>
        <w:bCs/>
        <w:color w:val="FFFFFF" w:themeColor="background1"/>
      </w:rPr>
      <w:tblPr/>
      <w:tcPr>
        <w:tcBorders>
          <w:top w:val="single" w:color="404040" w:themeColor="text1" w:themeTint="BF" w:sz="8" w:space="0"/>
          <w:left w:val="single" w:color="404040" w:themeColor="text1" w:themeTint="BF" w:sz="8" w:space="0"/>
          <w:bottom w:val="single" w:color="404040" w:themeColor="text1" w:themeTint="BF" w:sz="8" w:space="0"/>
          <w:right w:val="single" w:color="404040" w:themeColor="text1" w:themeTint="BF" w:sz="8" w:space="0"/>
          <w:insideH w:val="nil"/>
          <w:insideV w:val="nil"/>
        </w:tcBorders>
        <w:shd w:val="clear" w:color="auto" w:fill="000000" w:themeFill="text1"/>
      </w:tcPr>
    </w:tblStylePr>
    <w:tblStylePr w:type="lastRow">
      <w:pPr>
        <w:spacing w:before="0" w:after="0" w:line="240" w:lineRule="auto"/>
      </w:pPr>
      <w:rPr>
        <w:b/>
        <w:bCs/>
      </w:rPr>
      <w:tblPr/>
      <w:tcPr>
        <w:tcBorders>
          <w:top w:val="double" w:color="404040" w:themeColor="text1" w:themeTint="BF" w:sz="6" w:space="0"/>
          <w:left w:val="single" w:color="404040" w:themeColor="text1" w:themeTint="BF" w:sz="8" w:space="0"/>
          <w:bottom w:val="single" w:color="404040" w:themeColor="text1" w:themeTint="BF" w:sz="8" w:space="0"/>
          <w:right w:val="single" w:color="404040" w:themeColor="text1" w:themeTint="BF" w:sz="8" w:space="0"/>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tblBorders>
    </w:tblPr>
    <w:tblStylePr w:type="firstRow">
      <w:pPr>
        <w:spacing w:before="0" w:after="0" w:line="240" w:lineRule="auto"/>
      </w:pPr>
      <w:rPr>
        <w:b/>
        <w:bCs/>
        <w:color w:val="FFFFFF" w:themeColor="background1"/>
      </w:rPr>
      <w:tblPr/>
      <w:tcPr>
        <w:tc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shd w:val="clear" w:color="auto" w:fill="4F81BD" w:themeFill="accent1"/>
      </w:tcPr>
    </w:tblStylePr>
    <w:tblStylePr w:type="lastRow">
      <w:pPr>
        <w:spacing w:before="0" w:after="0" w:line="240" w:lineRule="auto"/>
      </w:pPr>
      <w:rPr>
        <w:b/>
        <w:bCs/>
      </w:rPr>
      <w:tblPr/>
      <w:tcPr>
        <w:tcBorders>
          <w:top w:val="double" w:color="7BA0CD" w:themeColor="accent1" w:themeTint="BF" w:sz="6"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tblBorders>
    </w:tblPr>
    <w:tblStylePr w:type="firstRow">
      <w:pPr>
        <w:spacing w:before="0" w:after="0" w:line="240" w:lineRule="auto"/>
      </w:pPr>
      <w:rPr>
        <w:b/>
        <w:bCs/>
        <w:color w:val="FFFFFF" w:themeColor="background1"/>
      </w:rPr>
      <w:tblPr/>
      <w:tcPr>
        <w:tc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shd w:val="clear" w:color="auto" w:fill="C0504D" w:themeFill="accent2"/>
      </w:tcPr>
    </w:tblStylePr>
    <w:tblStylePr w:type="lastRow">
      <w:pPr>
        <w:spacing w:before="0" w:after="0" w:line="240" w:lineRule="auto"/>
      </w:pPr>
      <w:rPr>
        <w:b/>
        <w:bCs/>
      </w:rPr>
      <w:tblPr/>
      <w:tcPr>
        <w:tcBorders>
          <w:top w:val="double" w:color="CF7B79" w:themeColor="accent2" w:themeTint="BF" w:sz="6"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color="B3CC82" w:themeColor="accent3" w:themeTint="BF" w:sz="8" w:space="0"/>
        <w:left w:val="single" w:color="B3CC82" w:themeColor="accent3" w:themeTint="BF" w:sz="8" w:space="0"/>
        <w:bottom w:val="single" w:color="B3CC82" w:themeColor="accent3" w:themeTint="BF" w:sz="8" w:space="0"/>
        <w:right w:val="single" w:color="B3CC82" w:themeColor="accent3" w:themeTint="BF" w:sz="8" w:space="0"/>
        <w:insideH w:val="single" w:color="B3CC82" w:themeColor="accent3" w:themeTint="BF" w:sz="8" w:space="0"/>
      </w:tblBorders>
    </w:tblPr>
    <w:tblStylePr w:type="firstRow">
      <w:pPr>
        <w:spacing w:before="0" w:after="0" w:line="240" w:lineRule="auto"/>
      </w:pPr>
      <w:rPr>
        <w:b/>
        <w:bCs/>
        <w:color w:val="FFFFFF" w:themeColor="background1"/>
      </w:rPr>
      <w:tblPr/>
      <w:tcPr>
        <w:tcBorders>
          <w:top w:val="single" w:color="B3CC82" w:themeColor="accent3" w:themeTint="BF" w:sz="8" w:space="0"/>
          <w:left w:val="single" w:color="B3CC82" w:themeColor="accent3" w:themeTint="BF" w:sz="8" w:space="0"/>
          <w:bottom w:val="single" w:color="B3CC82" w:themeColor="accent3" w:themeTint="BF" w:sz="8" w:space="0"/>
          <w:right w:val="single" w:color="B3CC82" w:themeColor="accent3" w:themeTint="BF" w:sz="8" w:space="0"/>
          <w:insideH w:val="nil"/>
          <w:insideV w:val="nil"/>
        </w:tcBorders>
        <w:shd w:val="clear" w:color="auto" w:fill="9BBB59" w:themeFill="accent3"/>
      </w:tcPr>
    </w:tblStylePr>
    <w:tblStylePr w:type="lastRow">
      <w:pPr>
        <w:spacing w:before="0" w:after="0" w:line="240" w:lineRule="auto"/>
      </w:pPr>
      <w:rPr>
        <w:b/>
        <w:bCs/>
      </w:rPr>
      <w:tblPr/>
      <w:tcPr>
        <w:tcBorders>
          <w:top w:val="double" w:color="B3CC82" w:themeColor="accent3" w:themeTint="BF" w:sz="6" w:space="0"/>
          <w:left w:val="single" w:color="B3CC82" w:themeColor="accent3" w:themeTint="BF" w:sz="8" w:space="0"/>
          <w:bottom w:val="single" w:color="B3CC82" w:themeColor="accent3" w:themeTint="BF" w:sz="8" w:space="0"/>
          <w:right w:val="single" w:color="B3CC82" w:themeColor="accent3" w:themeTint="BF" w:sz="8" w:space="0"/>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tblBorders>
    </w:tblPr>
    <w:tblStylePr w:type="firstRow">
      <w:pPr>
        <w:spacing w:before="0" w:after="0" w:line="240" w:lineRule="auto"/>
      </w:pPr>
      <w:rPr>
        <w:b/>
        <w:bCs/>
        <w:color w:val="FFFFFF" w:themeColor="background1"/>
      </w:rPr>
      <w:tblPr/>
      <w:tcPr>
        <w:tc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shd w:val="clear" w:color="auto" w:fill="8064A2" w:themeFill="accent4"/>
      </w:tcPr>
    </w:tblStylePr>
    <w:tblStylePr w:type="lastRow">
      <w:pPr>
        <w:spacing w:before="0" w:after="0" w:line="240" w:lineRule="auto"/>
      </w:pPr>
      <w:rPr>
        <w:b/>
        <w:bCs/>
      </w:rPr>
      <w:tblPr/>
      <w:tcPr>
        <w:tcBorders>
          <w:top w:val="double" w:color="9F8AB9" w:themeColor="accent4" w:themeTint="BF" w:sz="6"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tblBorders>
    </w:tblPr>
    <w:tblStylePr w:type="firstRow">
      <w:pPr>
        <w:spacing w:before="0" w:after="0" w:line="240" w:lineRule="auto"/>
      </w:pPr>
      <w:rPr>
        <w:b/>
        <w:bCs/>
        <w:color w:val="FFFFFF" w:themeColor="background1"/>
      </w:rPr>
      <w:tblPr/>
      <w:tcPr>
        <w:tc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shd w:val="clear" w:color="auto" w:fill="4BACC6" w:themeFill="accent5"/>
      </w:tcPr>
    </w:tblStylePr>
    <w:tblStylePr w:type="lastRow">
      <w:pPr>
        <w:spacing w:before="0" w:after="0" w:line="240" w:lineRule="auto"/>
      </w:pPr>
      <w:rPr>
        <w:b/>
        <w:bCs/>
      </w:rPr>
      <w:tblPr/>
      <w:tcPr>
        <w:tcBorders>
          <w:top w:val="double" w:color="78C0D4" w:themeColor="accent5" w:themeTint="BF" w:sz="6"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tblBorders>
    </w:tblPr>
    <w:tblStylePr w:type="firstRow">
      <w:pPr>
        <w:spacing w:before="0" w:after="0" w:line="240" w:lineRule="auto"/>
      </w:pPr>
      <w:rPr>
        <w:b/>
        <w:bCs/>
        <w:color w:val="FFFFFF" w:themeColor="background1"/>
      </w:rPr>
      <w:tblPr/>
      <w:tcPr>
        <w:tc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shd w:val="clear" w:color="auto" w:fill="F79646" w:themeFill="accent6"/>
      </w:tcPr>
    </w:tblStylePr>
    <w:tblStylePr w:type="lastRow">
      <w:pPr>
        <w:spacing w:before="0" w:after="0" w:line="240" w:lineRule="auto"/>
      </w:pPr>
      <w:rPr>
        <w:b/>
        <w:bCs/>
      </w:rPr>
      <w:tblPr/>
      <w:tcPr>
        <w:tcBorders>
          <w:top w:val="double" w:color="F9B074" w:themeColor="accent6" w:themeTint="BF" w:sz="6"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color="000000" w:themeColor="text1" w:sz="8" w:space="0"/>
        <w:bottom w:val="single" w:color="000000" w:themeColor="text1" w:sz="8" w:space="0"/>
      </w:tblBorders>
    </w:tblPr>
    <w:tblStylePr w:type="firstRow">
      <w:rPr>
        <w:rFonts w:asciiTheme="majorHAnsi" w:hAnsiTheme="majorHAnsi" w:eastAsiaTheme="majorEastAsia" w:cstheme="majorBidi"/>
      </w:rPr>
      <w:tblPr/>
      <w:tcPr>
        <w:tcBorders>
          <w:top w:val="nil"/>
          <w:bottom w:val="single" w:color="000000" w:themeColor="text1" w:sz="8" w:space="0"/>
        </w:tcBorders>
      </w:tcPr>
    </w:tblStylePr>
    <w:tblStylePr w:type="lastRow">
      <w:rPr>
        <w:b/>
        <w:bCs/>
        <w:color w:val="1F497D" w:themeColor="text2"/>
      </w:rPr>
      <w:tblPr/>
      <w:tcPr>
        <w:tcBorders>
          <w:top w:val="single" w:color="000000" w:themeColor="text1" w:sz="8" w:space="0"/>
          <w:bottom w:val="single" w:color="000000" w:themeColor="text1" w:sz="8" w:space="0"/>
        </w:tcBorders>
      </w:tcPr>
    </w:tblStylePr>
    <w:tblStylePr w:type="firstCol">
      <w:rPr>
        <w:b/>
        <w:bCs/>
      </w:rPr>
    </w:tblStylePr>
    <w:tblStylePr w:type="lastCol">
      <w:rPr>
        <w:b/>
        <w:bCs/>
      </w:rPr>
      <w:tblPr/>
      <w:tcPr>
        <w:tcBorders>
          <w:top w:val="single" w:color="000000" w:themeColor="text1" w:sz="8" w:space="0"/>
          <w:bottom w:val="single" w:color="000000" w:themeColor="text1" w:sz="8" w:space="0"/>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color="4F81BD" w:themeColor="accent1" w:sz="8" w:space="0"/>
        <w:bottom w:val="single" w:color="4F81BD" w:themeColor="accent1" w:sz="8" w:space="0"/>
      </w:tblBorders>
    </w:tblPr>
    <w:tblStylePr w:type="firstRow">
      <w:rPr>
        <w:rFonts w:asciiTheme="majorHAnsi" w:hAnsiTheme="majorHAnsi" w:eastAsiaTheme="majorEastAsia" w:cstheme="majorBidi"/>
      </w:rPr>
      <w:tblPr/>
      <w:tcPr>
        <w:tcBorders>
          <w:top w:val="nil"/>
          <w:bottom w:val="single" w:color="4F81BD" w:themeColor="accent1" w:sz="8" w:space="0"/>
        </w:tcBorders>
      </w:tcPr>
    </w:tblStylePr>
    <w:tblStylePr w:type="lastRow">
      <w:rPr>
        <w:b/>
        <w:bCs/>
        <w:color w:val="1F497D" w:themeColor="text2"/>
      </w:rPr>
      <w:tblPr/>
      <w:tcPr>
        <w:tcBorders>
          <w:top w:val="single" w:color="4F81BD" w:themeColor="accent1" w:sz="8" w:space="0"/>
          <w:bottom w:val="single" w:color="4F81BD" w:themeColor="accent1" w:sz="8" w:space="0"/>
        </w:tcBorders>
      </w:tcPr>
    </w:tblStylePr>
    <w:tblStylePr w:type="firstCol">
      <w:rPr>
        <w:b/>
        <w:bCs/>
      </w:rPr>
    </w:tblStylePr>
    <w:tblStylePr w:type="lastCol">
      <w:rPr>
        <w:b/>
        <w:bCs/>
      </w:rPr>
      <w:tblPr/>
      <w:tcPr>
        <w:tcBorders>
          <w:top w:val="single" w:color="4F81BD" w:themeColor="accent1" w:sz="8" w:space="0"/>
          <w:bottom w:val="single" w:color="4F81BD" w:themeColor="accent1" w:sz="8" w:space="0"/>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color="C0504D" w:themeColor="accent2" w:sz="8" w:space="0"/>
        <w:bottom w:val="single" w:color="C0504D" w:themeColor="accent2" w:sz="8" w:space="0"/>
      </w:tblBorders>
    </w:tblPr>
    <w:tblStylePr w:type="firstRow">
      <w:rPr>
        <w:rFonts w:asciiTheme="majorHAnsi" w:hAnsiTheme="majorHAnsi" w:eastAsiaTheme="majorEastAsia" w:cstheme="majorBidi"/>
      </w:rPr>
      <w:tblPr/>
      <w:tcPr>
        <w:tcBorders>
          <w:top w:val="nil"/>
          <w:bottom w:val="single" w:color="C0504D" w:themeColor="accent2" w:sz="8" w:space="0"/>
        </w:tcBorders>
      </w:tcPr>
    </w:tblStylePr>
    <w:tblStylePr w:type="lastRow">
      <w:rPr>
        <w:b/>
        <w:bCs/>
        <w:color w:val="1F497D" w:themeColor="text2"/>
      </w:rPr>
      <w:tblPr/>
      <w:tcPr>
        <w:tcBorders>
          <w:top w:val="single" w:color="C0504D" w:themeColor="accent2" w:sz="8" w:space="0"/>
          <w:bottom w:val="single" w:color="C0504D" w:themeColor="accent2" w:sz="8" w:space="0"/>
        </w:tcBorders>
      </w:tcPr>
    </w:tblStylePr>
    <w:tblStylePr w:type="firstCol">
      <w:rPr>
        <w:b/>
        <w:bCs/>
      </w:rPr>
    </w:tblStylePr>
    <w:tblStylePr w:type="lastCol">
      <w:rPr>
        <w:b/>
        <w:bCs/>
      </w:rPr>
      <w:tblPr/>
      <w:tcPr>
        <w:tcBorders>
          <w:top w:val="single" w:color="C0504D" w:themeColor="accent2" w:sz="8" w:space="0"/>
          <w:bottom w:val="single" w:color="C0504D" w:themeColor="accent2" w:sz="8" w:space="0"/>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color="9BBB59" w:themeColor="accent3" w:sz="8" w:space="0"/>
        <w:bottom w:val="single" w:color="9BBB59" w:themeColor="accent3" w:sz="8" w:space="0"/>
      </w:tblBorders>
    </w:tblPr>
    <w:tblStylePr w:type="firstRow">
      <w:rPr>
        <w:rFonts w:asciiTheme="majorHAnsi" w:hAnsiTheme="majorHAnsi" w:eastAsiaTheme="majorEastAsia" w:cstheme="majorBidi"/>
      </w:rPr>
      <w:tblPr/>
      <w:tcPr>
        <w:tcBorders>
          <w:top w:val="nil"/>
          <w:bottom w:val="single" w:color="9BBB59" w:themeColor="accent3" w:sz="8" w:space="0"/>
        </w:tcBorders>
      </w:tcPr>
    </w:tblStylePr>
    <w:tblStylePr w:type="lastRow">
      <w:rPr>
        <w:b/>
        <w:bCs/>
        <w:color w:val="1F497D" w:themeColor="text2"/>
      </w:rPr>
      <w:tblPr/>
      <w:tcPr>
        <w:tcBorders>
          <w:top w:val="single" w:color="9BBB59" w:themeColor="accent3" w:sz="8" w:space="0"/>
          <w:bottom w:val="single" w:color="9BBB59" w:themeColor="accent3" w:sz="8" w:space="0"/>
        </w:tcBorders>
      </w:tcPr>
    </w:tblStylePr>
    <w:tblStylePr w:type="firstCol">
      <w:rPr>
        <w:b/>
        <w:bCs/>
      </w:rPr>
    </w:tblStylePr>
    <w:tblStylePr w:type="lastCol">
      <w:rPr>
        <w:b/>
        <w:bCs/>
      </w:rPr>
      <w:tblPr/>
      <w:tcPr>
        <w:tcBorders>
          <w:top w:val="single" w:color="9BBB59" w:themeColor="accent3" w:sz="8" w:space="0"/>
          <w:bottom w:val="single" w:color="9BBB59" w:themeColor="accent3" w:sz="8" w:space="0"/>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color="8064A2" w:themeColor="accent4" w:sz="8" w:space="0"/>
        <w:bottom w:val="single" w:color="8064A2" w:themeColor="accent4" w:sz="8" w:space="0"/>
      </w:tblBorders>
    </w:tblPr>
    <w:tblStylePr w:type="firstRow">
      <w:rPr>
        <w:rFonts w:asciiTheme="majorHAnsi" w:hAnsiTheme="majorHAnsi" w:eastAsiaTheme="majorEastAsia" w:cstheme="majorBidi"/>
      </w:rPr>
      <w:tblPr/>
      <w:tcPr>
        <w:tcBorders>
          <w:top w:val="nil"/>
          <w:bottom w:val="single" w:color="8064A2" w:themeColor="accent4" w:sz="8" w:space="0"/>
        </w:tcBorders>
      </w:tcPr>
    </w:tblStylePr>
    <w:tblStylePr w:type="lastRow">
      <w:rPr>
        <w:b/>
        <w:bCs/>
        <w:color w:val="1F497D" w:themeColor="text2"/>
      </w:rPr>
      <w:tblPr/>
      <w:tcPr>
        <w:tcBorders>
          <w:top w:val="single" w:color="8064A2" w:themeColor="accent4" w:sz="8" w:space="0"/>
          <w:bottom w:val="single" w:color="8064A2" w:themeColor="accent4" w:sz="8" w:space="0"/>
        </w:tcBorders>
      </w:tcPr>
    </w:tblStylePr>
    <w:tblStylePr w:type="firstCol">
      <w:rPr>
        <w:b/>
        <w:bCs/>
      </w:rPr>
    </w:tblStylePr>
    <w:tblStylePr w:type="lastCol">
      <w:rPr>
        <w:b/>
        <w:bCs/>
      </w:rPr>
      <w:tblPr/>
      <w:tcPr>
        <w:tcBorders>
          <w:top w:val="single" w:color="8064A2" w:themeColor="accent4" w:sz="8" w:space="0"/>
          <w:bottom w:val="single" w:color="8064A2" w:themeColor="accent4" w:sz="8" w:space="0"/>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color="4BACC6" w:themeColor="accent5" w:sz="8" w:space="0"/>
        <w:bottom w:val="single" w:color="4BACC6" w:themeColor="accent5" w:sz="8" w:space="0"/>
      </w:tblBorders>
    </w:tblPr>
    <w:tblStylePr w:type="firstRow">
      <w:rPr>
        <w:rFonts w:asciiTheme="majorHAnsi" w:hAnsiTheme="majorHAnsi" w:eastAsiaTheme="majorEastAsia" w:cstheme="majorBidi"/>
      </w:rPr>
      <w:tblPr/>
      <w:tcPr>
        <w:tcBorders>
          <w:top w:val="nil"/>
          <w:bottom w:val="single" w:color="4BACC6" w:themeColor="accent5" w:sz="8" w:space="0"/>
        </w:tcBorders>
      </w:tcPr>
    </w:tblStylePr>
    <w:tblStylePr w:type="lastRow">
      <w:rPr>
        <w:b/>
        <w:bCs/>
        <w:color w:val="1F497D" w:themeColor="text2"/>
      </w:rPr>
      <w:tblPr/>
      <w:tcPr>
        <w:tcBorders>
          <w:top w:val="single" w:color="4BACC6" w:themeColor="accent5" w:sz="8" w:space="0"/>
          <w:bottom w:val="single" w:color="4BACC6" w:themeColor="accent5" w:sz="8" w:space="0"/>
        </w:tcBorders>
      </w:tcPr>
    </w:tblStylePr>
    <w:tblStylePr w:type="firstCol">
      <w:rPr>
        <w:b/>
        <w:bCs/>
      </w:rPr>
    </w:tblStylePr>
    <w:tblStylePr w:type="lastCol">
      <w:rPr>
        <w:b/>
        <w:bCs/>
      </w:rPr>
      <w:tblPr/>
      <w:tcPr>
        <w:tcBorders>
          <w:top w:val="single" w:color="4BACC6" w:themeColor="accent5" w:sz="8" w:space="0"/>
          <w:bottom w:val="single" w:color="4BACC6" w:themeColor="accent5" w:sz="8" w:space="0"/>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color="F79646" w:themeColor="accent6" w:sz="8" w:space="0"/>
        <w:bottom w:val="single" w:color="F79646" w:themeColor="accent6" w:sz="8" w:space="0"/>
      </w:tblBorders>
    </w:tblPr>
    <w:tblStylePr w:type="firstRow">
      <w:rPr>
        <w:rFonts w:asciiTheme="majorHAnsi" w:hAnsiTheme="majorHAnsi" w:eastAsiaTheme="majorEastAsia" w:cstheme="majorBidi"/>
      </w:rPr>
      <w:tblPr/>
      <w:tcPr>
        <w:tcBorders>
          <w:top w:val="nil"/>
          <w:bottom w:val="single" w:color="F79646" w:themeColor="accent6" w:sz="8" w:space="0"/>
        </w:tcBorders>
      </w:tcPr>
    </w:tblStylePr>
    <w:tblStylePr w:type="lastRow">
      <w:rPr>
        <w:b/>
        <w:bCs/>
        <w:color w:val="1F497D" w:themeColor="text2"/>
      </w:rPr>
      <w:tblPr/>
      <w:tcPr>
        <w:tcBorders>
          <w:top w:val="single" w:color="F79646" w:themeColor="accent6" w:sz="8" w:space="0"/>
          <w:bottom w:val="single" w:color="F79646" w:themeColor="accent6" w:sz="8" w:space="0"/>
        </w:tcBorders>
      </w:tcPr>
    </w:tblStylePr>
    <w:tblStylePr w:type="firstCol">
      <w:rPr>
        <w:b/>
        <w:bCs/>
      </w:rPr>
    </w:tblStylePr>
    <w:tblStylePr w:type="lastCol">
      <w:rPr>
        <w:b/>
        <w:bCs/>
      </w:rPr>
      <w:tblPr/>
      <w:tcPr>
        <w:tcBorders>
          <w:top w:val="single" w:color="F79646" w:themeColor="accent6" w:sz="8" w:space="0"/>
          <w:bottom w:val="single" w:color="F79646" w:themeColor="accent6" w:sz="8" w:space="0"/>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000000" w:themeColor="text1" w:sz="8" w:space="0"/>
        <w:left w:val="single" w:color="000000" w:themeColor="text1" w:sz="8" w:space="0"/>
        <w:bottom w:val="single" w:color="000000" w:themeColor="text1" w:sz="8" w:space="0"/>
        <w:right w:val="single" w:color="000000" w:themeColor="text1" w:sz="8" w:space="0"/>
      </w:tblBorders>
    </w:tblPr>
    <w:tblStylePr w:type="firstRow">
      <w:rPr>
        <w:sz w:val="24"/>
        <w:szCs w:val="24"/>
      </w:rPr>
      <w:tblPr/>
      <w:tcPr>
        <w:tcBorders>
          <w:top w:val="nil"/>
          <w:left w:val="nil"/>
          <w:bottom w:val="single" w:color="000000" w:themeColor="text1" w:sz="24" w:space="0"/>
          <w:right w:val="nil"/>
          <w:insideH w:val="nil"/>
          <w:insideV w:val="nil"/>
        </w:tcBorders>
        <w:shd w:val="clear" w:color="auto" w:fill="FFFFFF" w:themeFill="background1"/>
      </w:tcPr>
    </w:tblStylePr>
    <w:tblStylePr w:type="lastRow">
      <w:tblPr/>
      <w:tcPr>
        <w:tcBorders>
          <w:top w:val="single" w:color="000000" w:themeColor="tex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000000" w:themeColor="text1" w:sz="8" w:space="0"/>
          <w:insideH w:val="nil"/>
          <w:insideV w:val="nil"/>
        </w:tcBorders>
        <w:shd w:val="clear" w:color="auto" w:fill="FFFFFF" w:themeFill="background1"/>
      </w:tcPr>
    </w:tblStylePr>
    <w:tblStylePr w:type="lastCol">
      <w:tblPr/>
      <w:tcPr>
        <w:tcBorders>
          <w:top w:val="nil"/>
          <w:left w:val="single" w:color="000000" w:themeColor="tex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4F81BD" w:themeColor="accent1" w:sz="8" w:space="0"/>
        <w:left w:val="single" w:color="4F81BD" w:themeColor="accent1" w:sz="8" w:space="0"/>
        <w:bottom w:val="single" w:color="4F81BD" w:themeColor="accent1" w:sz="8" w:space="0"/>
        <w:right w:val="single" w:color="4F81BD" w:themeColor="accent1" w:sz="8" w:space="0"/>
      </w:tblBorders>
    </w:tblPr>
    <w:tblStylePr w:type="firstRow">
      <w:rPr>
        <w:sz w:val="24"/>
        <w:szCs w:val="24"/>
      </w:rPr>
      <w:tblPr/>
      <w:tcPr>
        <w:tcBorders>
          <w:top w:val="nil"/>
          <w:left w:val="nil"/>
          <w:bottom w:val="single" w:color="4F81BD" w:themeColor="accent1" w:sz="24" w:space="0"/>
          <w:right w:val="nil"/>
          <w:insideH w:val="nil"/>
          <w:insideV w:val="nil"/>
        </w:tcBorders>
        <w:shd w:val="clear" w:color="auto" w:fill="FFFFFF" w:themeFill="background1"/>
      </w:tcPr>
    </w:tblStylePr>
    <w:tblStylePr w:type="lastRow">
      <w:tblPr/>
      <w:tcPr>
        <w:tcBorders>
          <w:top w:val="single" w:color="4F81BD" w:themeColor="accen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F81BD" w:themeColor="accent1" w:sz="8" w:space="0"/>
          <w:insideH w:val="nil"/>
          <w:insideV w:val="nil"/>
        </w:tcBorders>
        <w:shd w:val="clear" w:color="auto" w:fill="FFFFFF" w:themeFill="background1"/>
      </w:tcPr>
    </w:tblStylePr>
    <w:tblStylePr w:type="lastCol">
      <w:tblPr/>
      <w:tcPr>
        <w:tcBorders>
          <w:top w:val="nil"/>
          <w:left w:val="single" w:color="4F81BD" w:themeColor="accen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C0504D" w:themeColor="accent2" w:sz="8" w:space="0"/>
        <w:left w:val="single" w:color="C0504D" w:themeColor="accent2" w:sz="8" w:space="0"/>
        <w:bottom w:val="single" w:color="C0504D" w:themeColor="accent2" w:sz="8" w:space="0"/>
        <w:right w:val="single" w:color="C0504D" w:themeColor="accent2" w:sz="8" w:space="0"/>
      </w:tblBorders>
    </w:tblPr>
    <w:tblStylePr w:type="firstRow">
      <w:rPr>
        <w:sz w:val="24"/>
        <w:szCs w:val="24"/>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tblPr/>
      <w:tcPr>
        <w:tcBorders>
          <w:top w:val="single" w:color="C0504D" w:themeColor="accent2"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C0504D" w:themeColor="accent2" w:sz="8" w:space="0"/>
          <w:insideH w:val="nil"/>
          <w:insideV w:val="nil"/>
        </w:tcBorders>
        <w:shd w:val="clear" w:color="auto" w:fill="FFFFFF" w:themeFill="background1"/>
      </w:tcPr>
    </w:tblStylePr>
    <w:tblStylePr w:type="lastCol">
      <w:tblPr/>
      <w:tcPr>
        <w:tcBorders>
          <w:top w:val="nil"/>
          <w:left w:val="single" w:color="C0504D" w:themeColor="accent2"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9BBB59" w:themeColor="accent3" w:sz="8" w:space="0"/>
        <w:left w:val="single" w:color="9BBB59" w:themeColor="accent3" w:sz="8" w:space="0"/>
        <w:bottom w:val="single" w:color="9BBB59" w:themeColor="accent3" w:sz="8" w:space="0"/>
        <w:right w:val="single" w:color="9BBB59" w:themeColor="accent3" w:sz="8" w:space="0"/>
      </w:tblBorders>
    </w:tblPr>
    <w:tblStylePr w:type="firstRow">
      <w:rPr>
        <w:sz w:val="24"/>
        <w:szCs w:val="24"/>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tblPr/>
      <w:tcPr>
        <w:tcBorders>
          <w:top w:val="single" w:color="9BBB59" w:themeColor="accent3"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9BBB59" w:themeColor="accent3" w:sz="8" w:space="0"/>
          <w:insideH w:val="nil"/>
          <w:insideV w:val="nil"/>
        </w:tcBorders>
        <w:shd w:val="clear" w:color="auto" w:fill="FFFFFF" w:themeFill="background1"/>
      </w:tcPr>
    </w:tblStylePr>
    <w:tblStylePr w:type="lastCol">
      <w:tblPr/>
      <w:tcPr>
        <w:tcBorders>
          <w:top w:val="nil"/>
          <w:left w:val="single" w:color="9BBB59" w:themeColor="accent3"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8064A2" w:themeColor="accent4" w:sz="8" w:space="0"/>
        <w:left w:val="single" w:color="8064A2" w:themeColor="accent4" w:sz="8" w:space="0"/>
        <w:bottom w:val="single" w:color="8064A2" w:themeColor="accent4" w:sz="8" w:space="0"/>
        <w:right w:val="single" w:color="8064A2" w:themeColor="accent4" w:sz="8" w:space="0"/>
      </w:tblBorders>
    </w:tblPr>
    <w:tblStylePr w:type="firstRow">
      <w:rPr>
        <w:sz w:val="24"/>
        <w:szCs w:val="24"/>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tblPr/>
      <w:tcPr>
        <w:tcBorders>
          <w:top w:val="single" w:color="8064A2" w:themeColor="accent4"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8064A2" w:themeColor="accent4" w:sz="8" w:space="0"/>
          <w:insideH w:val="nil"/>
          <w:insideV w:val="nil"/>
        </w:tcBorders>
        <w:shd w:val="clear" w:color="auto" w:fill="FFFFFF" w:themeFill="background1"/>
      </w:tcPr>
    </w:tblStylePr>
    <w:tblStylePr w:type="lastCol">
      <w:tblPr/>
      <w:tcPr>
        <w:tcBorders>
          <w:top w:val="nil"/>
          <w:left w:val="single" w:color="8064A2" w:themeColor="accent4"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4BACC6" w:themeColor="accent5" w:sz="8" w:space="0"/>
        <w:left w:val="single" w:color="4BACC6" w:themeColor="accent5" w:sz="8" w:space="0"/>
        <w:bottom w:val="single" w:color="4BACC6" w:themeColor="accent5" w:sz="8" w:space="0"/>
        <w:right w:val="single" w:color="4BACC6" w:themeColor="accent5" w:sz="8" w:space="0"/>
      </w:tblBorders>
    </w:tblPr>
    <w:tblStylePr w:type="firstRow">
      <w:rPr>
        <w:sz w:val="24"/>
        <w:szCs w:val="24"/>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tblPr/>
      <w:tcPr>
        <w:tcBorders>
          <w:top w:val="single" w:color="4BACC6" w:themeColor="accent5"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BACC6" w:themeColor="accent5" w:sz="8" w:space="0"/>
          <w:insideH w:val="nil"/>
          <w:insideV w:val="nil"/>
        </w:tcBorders>
        <w:shd w:val="clear" w:color="auto" w:fill="FFFFFF" w:themeFill="background1"/>
      </w:tcPr>
    </w:tblStylePr>
    <w:tblStylePr w:type="lastCol">
      <w:tblPr/>
      <w:tcPr>
        <w:tcBorders>
          <w:top w:val="nil"/>
          <w:left w:val="single" w:color="4BACC6" w:themeColor="accent5"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F79646" w:themeColor="accent6" w:sz="8" w:space="0"/>
        <w:left w:val="single" w:color="F79646" w:themeColor="accent6" w:sz="8" w:space="0"/>
        <w:bottom w:val="single" w:color="F79646" w:themeColor="accent6" w:sz="8" w:space="0"/>
        <w:right w:val="single" w:color="F79646" w:themeColor="accent6" w:sz="8" w:space="0"/>
      </w:tblBorders>
    </w:tblPr>
    <w:tblStylePr w:type="firstRow">
      <w:rPr>
        <w:sz w:val="24"/>
        <w:szCs w:val="24"/>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tblPr/>
      <w:tcPr>
        <w:tcBorders>
          <w:top w:val="single" w:color="F79646" w:themeColor="accent6"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F79646" w:themeColor="accent6" w:sz="8" w:space="0"/>
          <w:insideH w:val="nil"/>
          <w:insideV w:val="nil"/>
        </w:tcBorders>
        <w:shd w:val="clear" w:color="auto" w:fill="FFFFFF" w:themeFill="background1"/>
      </w:tcPr>
    </w:tblStylePr>
    <w:tblStylePr w:type="lastCol">
      <w:tblPr/>
      <w:tcPr>
        <w:tcBorders>
          <w:top w:val="nil"/>
          <w:left w:val="single" w:color="F79646" w:themeColor="accent6"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color="404040" w:themeColor="text1" w:themeTint="BF" w:sz="8" w:space="0"/>
        <w:left w:val="single" w:color="404040" w:themeColor="text1" w:themeTint="BF" w:sz="8" w:space="0"/>
        <w:bottom w:val="single" w:color="404040" w:themeColor="text1" w:themeTint="BF" w:sz="8" w:space="0"/>
        <w:right w:val="single" w:color="404040" w:themeColor="text1" w:themeTint="BF" w:sz="8" w:space="0"/>
        <w:insideH w:val="single" w:color="404040" w:themeColor="text1" w:themeTint="BF" w:sz="8" w:space="0"/>
        <w:insideV w:val="single" w:color="404040" w:themeColor="text1" w:themeTint="BF" w:sz="8" w:space="0"/>
      </w:tblBorders>
    </w:tblPr>
    <w:tcPr>
      <w:shd w:val="clear" w:color="auto" w:fill="C0C0C0" w:themeFill="text1" w:themeFillTint="3F"/>
    </w:tcPr>
    <w:tblStylePr w:type="firstRow">
      <w:rPr>
        <w:b/>
        <w:bCs/>
      </w:rPr>
    </w:tblStylePr>
    <w:tblStylePr w:type="lastRow">
      <w:rPr>
        <w:b/>
        <w:bCs/>
      </w:rPr>
      <w:tblPr/>
      <w:tcPr>
        <w:tcBorders>
          <w:top w:val="single" w:color="404040" w:themeColor="text1" w:themeTint="BF" w:sz="18" w:space="0"/>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insideV w:val="single" w:color="7BA0CD" w:themeColor="accent1" w:themeTint="BF" w:sz="8" w:space="0"/>
      </w:tblBorders>
    </w:tblPr>
    <w:tcPr>
      <w:shd w:val="clear" w:color="auto" w:fill="D3DFEE" w:themeFill="accent1" w:themeFillTint="3F"/>
    </w:tcPr>
    <w:tblStylePr w:type="firstRow">
      <w:rPr>
        <w:b/>
        <w:bCs/>
      </w:rPr>
    </w:tblStylePr>
    <w:tblStylePr w:type="lastRow">
      <w:rPr>
        <w:b/>
        <w:bCs/>
      </w:rPr>
      <w:tblPr/>
      <w:tcPr>
        <w:tcBorders>
          <w:top w:val="single" w:color="7BA0CD" w:themeColor="accent1" w:themeTint="BF" w:sz="18" w:space="0"/>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insideV w:val="single" w:color="CF7B79" w:themeColor="accent2" w:themeTint="BF" w:sz="8" w:space="0"/>
      </w:tblBorders>
    </w:tblPr>
    <w:tcPr>
      <w:shd w:val="clear" w:color="auto" w:fill="EFD3D2" w:themeFill="accent2" w:themeFillTint="3F"/>
    </w:tcPr>
    <w:tblStylePr w:type="firstRow">
      <w:rPr>
        <w:b/>
        <w:bCs/>
      </w:rPr>
    </w:tblStylePr>
    <w:tblStylePr w:type="lastRow">
      <w:rPr>
        <w:b/>
        <w:bCs/>
      </w:rPr>
      <w:tblPr/>
      <w:tcPr>
        <w:tcBorders>
          <w:top w:val="single" w:color="CF7B79" w:themeColor="accent2" w:themeTint="BF" w:sz="18" w:space="0"/>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color="B3CC82" w:themeColor="accent3" w:themeTint="BF" w:sz="8" w:space="0"/>
        <w:left w:val="single" w:color="B3CC82" w:themeColor="accent3" w:themeTint="BF" w:sz="8" w:space="0"/>
        <w:bottom w:val="single" w:color="B3CC82" w:themeColor="accent3" w:themeTint="BF" w:sz="8" w:space="0"/>
        <w:right w:val="single" w:color="B3CC82" w:themeColor="accent3" w:themeTint="BF" w:sz="8" w:space="0"/>
        <w:insideH w:val="single" w:color="B3CC82" w:themeColor="accent3" w:themeTint="BF" w:sz="8" w:space="0"/>
        <w:insideV w:val="single" w:color="B3CC82" w:themeColor="accent3" w:themeTint="BF" w:sz="8" w:space="0"/>
      </w:tblBorders>
    </w:tblPr>
    <w:tcPr>
      <w:shd w:val="clear" w:color="auto" w:fill="E6EED5" w:themeFill="accent3" w:themeFillTint="3F"/>
    </w:tcPr>
    <w:tblStylePr w:type="firstRow">
      <w:rPr>
        <w:b/>
        <w:bCs/>
      </w:rPr>
    </w:tblStylePr>
    <w:tblStylePr w:type="lastRow">
      <w:rPr>
        <w:b/>
        <w:bCs/>
      </w:rPr>
      <w:tblPr/>
      <w:tcPr>
        <w:tcBorders>
          <w:top w:val="single" w:color="B3CC82" w:themeColor="accent3" w:themeTint="BF" w:sz="18" w:space="0"/>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insideV w:val="single" w:color="9F8AB9" w:themeColor="accent4" w:themeTint="BF" w:sz="8" w:space="0"/>
      </w:tblBorders>
    </w:tblPr>
    <w:tcPr>
      <w:shd w:val="clear" w:color="auto" w:fill="DFD8E8" w:themeFill="accent4" w:themeFillTint="3F"/>
    </w:tcPr>
    <w:tblStylePr w:type="firstRow">
      <w:rPr>
        <w:b/>
        <w:bCs/>
      </w:rPr>
    </w:tblStylePr>
    <w:tblStylePr w:type="lastRow">
      <w:rPr>
        <w:b/>
        <w:bCs/>
      </w:rPr>
      <w:tblPr/>
      <w:tcPr>
        <w:tcBorders>
          <w:top w:val="single" w:color="9F8AB9" w:themeColor="accent4" w:themeTint="BF" w:sz="18" w:space="0"/>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insideV w:val="single" w:color="78C0D4" w:themeColor="accent5" w:themeTint="BF" w:sz="8" w:space="0"/>
      </w:tblBorders>
    </w:tblPr>
    <w:tcPr>
      <w:shd w:val="clear" w:color="auto" w:fill="D2EAF1" w:themeFill="accent5" w:themeFillTint="3F"/>
    </w:tcPr>
    <w:tblStylePr w:type="firstRow">
      <w:rPr>
        <w:b/>
        <w:bCs/>
      </w:rPr>
    </w:tblStylePr>
    <w:tblStylePr w:type="lastRow">
      <w:rPr>
        <w:b/>
        <w:bCs/>
      </w:rPr>
      <w:tblPr/>
      <w:tcPr>
        <w:tcBorders>
          <w:top w:val="single" w:color="78C0D4" w:themeColor="accent5" w:themeTint="BF" w:sz="18" w:space="0"/>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insideV w:val="single" w:color="F9B074" w:themeColor="accent6" w:themeTint="BF" w:sz="8" w:space="0"/>
      </w:tblBorders>
    </w:tblPr>
    <w:tcPr>
      <w:shd w:val="clear" w:color="auto" w:fill="FDE4D0" w:themeFill="accent6" w:themeFillTint="3F"/>
    </w:tcPr>
    <w:tblStylePr w:type="firstRow">
      <w:rPr>
        <w:b/>
        <w:bCs/>
      </w:rPr>
    </w:tblStylePr>
    <w:tblStylePr w:type="lastRow">
      <w:rPr>
        <w:b/>
        <w:bCs/>
      </w:rPr>
      <w:tblPr/>
      <w:tcPr>
        <w:tcBorders>
          <w:top w:val="single" w:color="F9B074" w:themeColor="accent6" w:themeTint="BF" w:sz="18" w:space="0"/>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color="000000" w:themeColor="text1" w:sz="6" w:space="0"/>
          <w:insideV w:val="single" w:color="000000" w:themeColor="text1" w:sz="6" w:space="0"/>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color="4F81BD" w:themeColor="accent1" w:sz="6" w:space="0"/>
          <w:insideV w:val="single" w:color="4F81BD" w:themeColor="accent1" w:sz="6" w:space="0"/>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color="C0504D" w:themeColor="accent2" w:sz="6" w:space="0"/>
          <w:insideV w:val="single" w:color="C0504D" w:themeColor="accent2" w:sz="6" w:space="0"/>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color="9BBB59" w:themeColor="accent3" w:sz="6" w:space="0"/>
          <w:insideV w:val="single" w:color="9BBB59" w:themeColor="accent3" w:sz="6" w:space="0"/>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color="8064A2" w:themeColor="accent4" w:sz="6" w:space="0"/>
          <w:insideV w:val="single" w:color="8064A2" w:themeColor="accent4" w:sz="6" w:space="0"/>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color="4BACC6" w:themeColor="accent5" w:sz="6" w:space="0"/>
          <w:insideV w:val="single" w:color="4BACC6" w:themeColor="accent5" w:sz="6" w:space="0"/>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color="F79646" w:themeColor="accent6" w:sz="6" w:space="0"/>
          <w:insideV w:val="single" w:color="F79646" w:themeColor="accent6" w:sz="6" w:space="0"/>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C0C0C0" w:themeFill="text1" w:themeFillTint="3F"/>
    </w:tcPr>
    <w:tblStylePr w:type="firstRow">
      <w:rPr>
        <w:b/>
        <w:bCs/>
        <w:i w:val="0"/>
        <w:iCs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000000" w:themeFill="text1"/>
      </w:tcPr>
    </w:tblStylePr>
    <w:tblStylePr w:type="lastRow">
      <w:rPr>
        <w:b/>
        <w:bCs/>
        <w:i w:val="0"/>
        <w:iCs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000000" w:themeFill="text1"/>
      </w:tcPr>
    </w:tblStylePr>
    <w:tblStylePr w:type="firstCol">
      <w:rPr>
        <w:b/>
        <w:bCs/>
        <w:i w:val="0"/>
        <w:iCs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000000" w:themeFill="text1"/>
      </w:tcPr>
    </w:tblStylePr>
    <w:tblStylePr w:type="lastCol">
      <w:rPr>
        <w:b/>
        <w:bCs/>
        <w:i w:val="0"/>
        <w:iCs w:val="0"/>
        <w:color w:val="FFFFFF" w:themeColor="background1"/>
      </w:rPr>
      <w:tblPr/>
      <w:tcPr>
        <w:tcBorders>
          <w:top w:val="nil"/>
          <w:left w:val="single" w:color="FFFFFF" w:themeColor="background1" w:sz="24" w:space="0"/>
          <w:bottom w:val="nil"/>
          <w:right w:val="nil"/>
          <w:insideH w:val="nil"/>
          <w:insideV w:val="nil"/>
        </w:tcBorders>
        <w:shd w:val="clear" w:color="auto" w:fill="000000" w:themeFill="tex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808080" w:themeFill="tex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D3DFEE" w:themeFill="accent1" w:themeFillTint="3F"/>
    </w:tcPr>
    <w:tblStylePr w:type="firstRow">
      <w:rPr>
        <w:b/>
        <w:bCs/>
        <w:i w:val="0"/>
        <w:iCs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4F81BD" w:themeFill="accent1"/>
      </w:tcPr>
    </w:tblStylePr>
    <w:tblStylePr w:type="lastRow">
      <w:rPr>
        <w:b/>
        <w:bCs/>
        <w:i w:val="0"/>
        <w:iCs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4F81BD" w:themeFill="accent1"/>
      </w:tcPr>
    </w:tblStylePr>
    <w:tblStylePr w:type="firstCol">
      <w:rPr>
        <w:b/>
        <w:bCs/>
        <w:i w:val="0"/>
        <w:iCs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4F81BD" w:themeFill="accent1"/>
      </w:tcPr>
    </w:tblStylePr>
    <w:tblStylePr w:type="lastCol">
      <w:rPr>
        <w:b/>
        <w:bCs/>
        <w:i w:val="0"/>
        <w:iCs w:val="0"/>
        <w:color w:val="FFFFFF" w:themeColor="background1"/>
      </w:rPr>
      <w:tblPr/>
      <w:tcPr>
        <w:tcBorders>
          <w:top w:val="nil"/>
          <w:left w:val="single" w:color="FFFFFF" w:themeColor="background1" w:sz="24" w:space="0"/>
          <w:bottom w:val="nil"/>
          <w:right w:val="nil"/>
          <w:insideH w:val="nil"/>
          <w:insideV w:val="nil"/>
        </w:tcBorders>
        <w:shd w:val="clear" w:color="auto" w:fill="4F81BD" w:themeFill="accen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7BFDE" w:themeFill="accen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EFD3D2" w:themeFill="accent2" w:themeFillTint="3F"/>
    </w:tcPr>
    <w:tblStylePr w:type="firstRow">
      <w:rPr>
        <w:b/>
        <w:bCs/>
        <w:i w:val="0"/>
        <w:iCs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C0504D" w:themeFill="accent2"/>
      </w:tcPr>
    </w:tblStylePr>
    <w:tblStylePr w:type="lastRow">
      <w:rPr>
        <w:b/>
        <w:bCs/>
        <w:i w:val="0"/>
        <w:iCs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C0504D" w:themeFill="accent2"/>
      </w:tcPr>
    </w:tblStylePr>
    <w:tblStylePr w:type="firstCol">
      <w:rPr>
        <w:b/>
        <w:bCs/>
        <w:i w:val="0"/>
        <w:iCs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C0504D" w:themeFill="accent2"/>
      </w:tcPr>
    </w:tblStylePr>
    <w:tblStylePr w:type="lastCol">
      <w:rPr>
        <w:b/>
        <w:bCs/>
        <w:i w:val="0"/>
        <w:iCs w:val="0"/>
        <w:color w:val="FFFFFF" w:themeColor="background1"/>
      </w:rPr>
      <w:tblPr/>
      <w:tcPr>
        <w:tcBorders>
          <w:top w:val="nil"/>
          <w:left w:val="single" w:color="FFFFFF" w:themeColor="background1" w:sz="24" w:space="0"/>
          <w:bottom w:val="nil"/>
          <w:right w:val="nil"/>
          <w:insideH w:val="nil"/>
          <w:insideV w:val="nil"/>
        </w:tcBorders>
        <w:shd w:val="clear" w:color="auto" w:fill="C0504D" w:themeFill="accent2"/>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DFA7A6" w:themeFill="accent2"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E6EED5" w:themeFill="accent3" w:themeFillTint="3F"/>
    </w:tcPr>
    <w:tblStylePr w:type="firstRow">
      <w:rPr>
        <w:b/>
        <w:bCs/>
        <w:i w:val="0"/>
        <w:iCs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9BBB59" w:themeFill="accent3"/>
      </w:tcPr>
    </w:tblStylePr>
    <w:tblStylePr w:type="lastRow">
      <w:rPr>
        <w:b/>
        <w:bCs/>
        <w:i w:val="0"/>
        <w:iCs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9BBB59" w:themeFill="accent3"/>
      </w:tcPr>
    </w:tblStylePr>
    <w:tblStylePr w:type="firstCol">
      <w:rPr>
        <w:b/>
        <w:bCs/>
        <w:i w:val="0"/>
        <w:iCs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9BBB59" w:themeFill="accent3"/>
      </w:tcPr>
    </w:tblStylePr>
    <w:tblStylePr w:type="lastCol">
      <w:rPr>
        <w:b/>
        <w:bCs/>
        <w:i w:val="0"/>
        <w:iCs w:val="0"/>
        <w:color w:val="FFFFFF" w:themeColor="background1"/>
      </w:rPr>
      <w:tblPr/>
      <w:tcPr>
        <w:tcBorders>
          <w:top w:val="nil"/>
          <w:left w:val="single" w:color="FFFFFF" w:themeColor="background1" w:sz="24" w:space="0"/>
          <w:bottom w:val="nil"/>
          <w:right w:val="nil"/>
          <w:insideH w:val="nil"/>
          <w:insideV w:val="nil"/>
        </w:tcBorders>
        <w:shd w:val="clear" w:color="auto" w:fill="9BBB59" w:themeFill="accent3"/>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CDDDAC" w:themeFill="accent3"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DFD8E8" w:themeFill="accent4" w:themeFillTint="3F"/>
    </w:tcPr>
    <w:tblStylePr w:type="firstRow">
      <w:rPr>
        <w:b/>
        <w:bCs/>
        <w:i w:val="0"/>
        <w:iCs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8064A2" w:themeFill="accent4"/>
      </w:tcPr>
    </w:tblStylePr>
    <w:tblStylePr w:type="lastRow">
      <w:rPr>
        <w:b/>
        <w:bCs/>
        <w:i w:val="0"/>
        <w:iCs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8064A2" w:themeFill="accent4"/>
      </w:tcPr>
    </w:tblStylePr>
    <w:tblStylePr w:type="firstCol">
      <w:rPr>
        <w:b/>
        <w:bCs/>
        <w:i w:val="0"/>
        <w:iCs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8064A2" w:themeFill="accent4"/>
      </w:tcPr>
    </w:tblStylePr>
    <w:tblStylePr w:type="lastCol">
      <w:rPr>
        <w:b/>
        <w:bCs/>
        <w:i w:val="0"/>
        <w:iCs w:val="0"/>
        <w:color w:val="FFFFFF" w:themeColor="background1"/>
      </w:rPr>
      <w:tblPr/>
      <w:tcPr>
        <w:tcBorders>
          <w:top w:val="nil"/>
          <w:left w:val="single" w:color="FFFFFF" w:themeColor="background1" w:sz="24" w:space="0"/>
          <w:bottom w:val="nil"/>
          <w:right w:val="nil"/>
          <w:insideH w:val="nil"/>
          <w:insideV w:val="nil"/>
        </w:tcBorders>
        <w:shd w:val="clear" w:color="auto" w:fill="8064A2" w:themeFill="accent4"/>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BFB1D0" w:themeFill="accent4"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D2EAF1" w:themeFill="accent5" w:themeFillTint="3F"/>
    </w:tcPr>
    <w:tblStylePr w:type="firstRow">
      <w:rPr>
        <w:b/>
        <w:bCs/>
        <w:i w:val="0"/>
        <w:iCs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4BACC6" w:themeFill="accent5"/>
      </w:tcPr>
    </w:tblStylePr>
    <w:tblStylePr w:type="lastRow">
      <w:rPr>
        <w:b/>
        <w:bCs/>
        <w:i w:val="0"/>
        <w:iCs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4BACC6" w:themeFill="accent5"/>
      </w:tcPr>
    </w:tblStylePr>
    <w:tblStylePr w:type="firstCol">
      <w:rPr>
        <w:b/>
        <w:bCs/>
        <w:i w:val="0"/>
        <w:iCs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4BACC6" w:themeFill="accent5"/>
      </w:tcPr>
    </w:tblStylePr>
    <w:tblStylePr w:type="lastCol">
      <w:rPr>
        <w:b/>
        <w:bCs/>
        <w:i w:val="0"/>
        <w:iCs w:val="0"/>
        <w:color w:val="FFFFFF" w:themeColor="background1"/>
      </w:rPr>
      <w:tblPr/>
      <w:tcPr>
        <w:tcBorders>
          <w:top w:val="nil"/>
          <w:left w:val="single" w:color="FFFFFF" w:themeColor="background1" w:sz="24" w:space="0"/>
          <w:bottom w:val="nil"/>
          <w:right w:val="nil"/>
          <w:insideH w:val="nil"/>
          <w:insideV w:val="nil"/>
        </w:tcBorders>
        <w:shd w:val="clear" w:color="auto" w:fill="4BACC6" w:themeFill="accent5"/>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5D5E2" w:themeFill="accent5"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FDE4D0" w:themeFill="accent6" w:themeFillTint="3F"/>
    </w:tcPr>
    <w:tblStylePr w:type="firstRow">
      <w:rPr>
        <w:b/>
        <w:bCs/>
        <w:i w:val="0"/>
        <w:iCs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F79646" w:themeFill="accent6"/>
      </w:tcPr>
    </w:tblStylePr>
    <w:tblStylePr w:type="lastRow">
      <w:rPr>
        <w:b/>
        <w:bCs/>
        <w:i w:val="0"/>
        <w:iCs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F79646" w:themeFill="accent6"/>
      </w:tcPr>
    </w:tblStylePr>
    <w:tblStylePr w:type="firstCol">
      <w:rPr>
        <w:b/>
        <w:bCs/>
        <w:i w:val="0"/>
        <w:iCs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F79646" w:themeFill="accent6"/>
      </w:tcPr>
    </w:tblStylePr>
    <w:tblStylePr w:type="lastCol">
      <w:rPr>
        <w:b/>
        <w:bCs/>
        <w:i w:val="0"/>
        <w:iCs w:val="0"/>
        <w:color w:val="FFFFFF" w:themeColor="background1"/>
      </w:rPr>
      <w:tblPr/>
      <w:tcPr>
        <w:tcBorders>
          <w:top w:val="nil"/>
          <w:left w:val="single" w:color="FFFFFF" w:themeColor="background1" w:sz="24" w:space="0"/>
          <w:bottom w:val="nil"/>
          <w:right w:val="nil"/>
          <w:insideH w:val="nil"/>
          <w:insideV w:val="nil"/>
        </w:tcBorders>
        <w:shd w:val="clear" w:color="auto" w:fill="F79646" w:themeFill="accent6"/>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FBCAA2" w:themeFill="accent6"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color="FFFFFF" w:themeColor="background1" w:sz="18" w:space="0"/>
          <w:insideH w:val="nil"/>
          <w:insideV w:val="nil"/>
        </w:tcBorders>
        <w:shd w:val="clear" w:color="auto" w:fill="000000" w:themeFill="text1" w:themeFillShade="BF"/>
      </w:tcPr>
    </w:tblStylePr>
    <w:tblStylePr w:type="lastCol">
      <w:tblPr/>
      <w:tcPr>
        <w:tcBorders>
          <w:top w:val="nil"/>
          <w:left w:val="single" w:color="FFFFFF" w:themeColor="background1" w:sz="18" w:space="0"/>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color="FFFFFF" w:themeColor="background1" w:sz="18" w:space="0"/>
          <w:insideH w:val="nil"/>
          <w:insideV w:val="nil"/>
        </w:tcBorders>
        <w:shd w:val="clear" w:color="auto" w:fill="365F91" w:themeFill="accent1" w:themeFillShade="BF"/>
      </w:tcPr>
    </w:tblStylePr>
    <w:tblStylePr w:type="lastCol">
      <w:tblPr/>
      <w:tcPr>
        <w:tcBorders>
          <w:top w:val="nil"/>
          <w:left w:val="single" w:color="FFFFFF" w:themeColor="background1" w:sz="18" w:space="0"/>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color="FFFFFF" w:themeColor="background1" w:sz="18" w:space="0"/>
          <w:insideH w:val="nil"/>
          <w:insideV w:val="nil"/>
        </w:tcBorders>
        <w:shd w:val="clear" w:color="auto" w:fill="943634" w:themeFill="accent2" w:themeFillShade="BF"/>
      </w:tcPr>
    </w:tblStylePr>
    <w:tblStylePr w:type="lastCol">
      <w:tblPr/>
      <w:tcPr>
        <w:tcBorders>
          <w:top w:val="nil"/>
          <w:left w:val="single" w:color="FFFFFF" w:themeColor="background1" w:sz="18" w:space="0"/>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color="FFFFFF" w:themeColor="background1" w:sz="18" w:space="0"/>
          <w:insideH w:val="nil"/>
          <w:insideV w:val="nil"/>
        </w:tcBorders>
        <w:shd w:val="clear" w:color="auto" w:fill="76923C" w:themeFill="accent3" w:themeFillShade="BF"/>
      </w:tcPr>
    </w:tblStylePr>
    <w:tblStylePr w:type="lastCol">
      <w:tblPr/>
      <w:tcPr>
        <w:tcBorders>
          <w:top w:val="nil"/>
          <w:left w:val="single" w:color="FFFFFF" w:themeColor="background1" w:sz="18" w:space="0"/>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color="FFFFFF" w:themeColor="background1" w:sz="18" w:space="0"/>
          <w:insideH w:val="nil"/>
          <w:insideV w:val="nil"/>
        </w:tcBorders>
        <w:shd w:val="clear" w:color="auto" w:fill="5F497A" w:themeFill="accent4" w:themeFillShade="BF"/>
      </w:tcPr>
    </w:tblStylePr>
    <w:tblStylePr w:type="lastCol">
      <w:tblPr/>
      <w:tcPr>
        <w:tcBorders>
          <w:top w:val="nil"/>
          <w:left w:val="single" w:color="FFFFFF" w:themeColor="background1" w:sz="18" w:space="0"/>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color="FFFFFF" w:themeColor="background1" w:sz="18" w:space="0"/>
          <w:insideH w:val="nil"/>
          <w:insideV w:val="nil"/>
        </w:tcBorders>
        <w:shd w:val="clear" w:color="auto" w:fill="31849B" w:themeFill="accent5" w:themeFillShade="BF"/>
      </w:tcPr>
    </w:tblStylePr>
    <w:tblStylePr w:type="lastCol">
      <w:tblPr/>
      <w:tcPr>
        <w:tcBorders>
          <w:top w:val="nil"/>
          <w:left w:val="single" w:color="FFFFFF" w:themeColor="background1" w:sz="18" w:space="0"/>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color="FFFFFF" w:themeColor="background1" w:sz="18" w:space="0"/>
          <w:insideH w:val="nil"/>
          <w:insideV w:val="nil"/>
        </w:tcBorders>
        <w:shd w:val="clear" w:color="auto" w:fill="E36C0A" w:themeFill="accent6" w:themeFillShade="BF"/>
      </w:tcPr>
    </w:tblStylePr>
    <w:tblStylePr w:type="lastCol">
      <w:tblPr/>
      <w:tcPr>
        <w:tcBorders>
          <w:top w:val="nil"/>
          <w:left w:val="single" w:color="FFFFFF" w:themeColor="background1" w:sz="18" w:space="0"/>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color="C0504D" w:themeColor="accent2" w:sz="24" w:space="0"/>
        <w:left w:val="single" w:color="000000" w:themeColor="text1" w:sz="4" w:space="0"/>
        <w:bottom w:val="single" w:color="000000" w:themeColor="text1" w:sz="4" w:space="0"/>
        <w:right w:val="single" w:color="000000" w:themeColor="text1" w:sz="4" w:space="0"/>
        <w:insideH w:val="single" w:color="FFFFFF" w:themeColor="background1" w:sz="4" w:space="0"/>
        <w:insideV w:val="single" w:color="FFFFFF" w:themeColor="background1" w:sz="4" w:space="0"/>
      </w:tblBorders>
    </w:tblPr>
    <w:tcPr>
      <w:shd w:val="clear" w:color="auto" w:fill="E6E6E6" w:themeFill="tex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color="000000" w:themeColor="text1" w:themeShade="99" w:sz="4" w:space="0"/>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color="C0504D" w:themeColor="accent2" w:sz="24" w:space="0"/>
        <w:left w:val="single" w:color="4F81BD" w:themeColor="accent1" w:sz="4" w:space="0"/>
        <w:bottom w:val="single" w:color="4F81BD" w:themeColor="accent1" w:sz="4" w:space="0"/>
        <w:right w:val="single" w:color="4F81BD" w:themeColor="accent1" w:sz="4" w:space="0"/>
        <w:insideH w:val="single" w:color="FFFFFF" w:themeColor="background1" w:sz="4" w:space="0"/>
        <w:insideV w:val="single" w:color="FFFFFF" w:themeColor="background1" w:sz="4" w:space="0"/>
      </w:tblBorders>
    </w:tblPr>
    <w:tcPr>
      <w:shd w:val="clear" w:color="auto" w:fill="EDF2F8" w:themeFill="accen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color="2C4C74" w:themeColor="accent1" w:themeShade="99" w:sz="4" w:space="0"/>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color="C0504D" w:themeColor="accent2" w:sz="24" w:space="0"/>
        <w:left w:val="single" w:color="C0504D" w:themeColor="accent2" w:sz="4" w:space="0"/>
        <w:bottom w:val="single" w:color="C0504D" w:themeColor="accent2" w:sz="4" w:space="0"/>
        <w:right w:val="single" w:color="C0504D" w:themeColor="accent2" w:sz="4" w:space="0"/>
        <w:insideH w:val="single" w:color="FFFFFF" w:themeColor="background1" w:sz="4" w:space="0"/>
        <w:insideV w:val="single" w:color="FFFFFF" w:themeColor="background1" w:sz="4" w:space="0"/>
      </w:tblBorders>
    </w:tblPr>
    <w:tcPr>
      <w:shd w:val="clear" w:color="auto" w:fill="F8EDED" w:themeFill="accent2"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color="772C2A" w:themeColor="accent2" w:themeShade="99" w:sz="4" w:space="0"/>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color="8064A2" w:themeColor="accent4" w:sz="24" w:space="0"/>
        <w:left w:val="single" w:color="9BBB59" w:themeColor="accent3" w:sz="4" w:space="0"/>
        <w:bottom w:val="single" w:color="9BBB59" w:themeColor="accent3" w:sz="4" w:space="0"/>
        <w:right w:val="single" w:color="9BBB59" w:themeColor="accent3" w:sz="4" w:space="0"/>
        <w:insideH w:val="single" w:color="FFFFFF" w:themeColor="background1" w:sz="4" w:space="0"/>
        <w:insideV w:val="single" w:color="FFFFFF" w:themeColor="background1" w:sz="4" w:space="0"/>
      </w:tblBorders>
    </w:tblPr>
    <w:tcPr>
      <w:shd w:val="clear" w:color="auto" w:fill="F5F8EE" w:themeFill="accent3" w:themeFillTint="19"/>
    </w:tcPr>
    <w:tblStylePr w:type="firstRow">
      <w:rPr>
        <w:b/>
        <w:bCs/>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color="5E7530" w:themeColor="accent3" w:themeShade="99" w:sz="4" w:space="0"/>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color="9BBB59" w:themeColor="accent3" w:sz="24" w:space="0"/>
        <w:left w:val="single" w:color="8064A2" w:themeColor="accent4" w:sz="4" w:space="0"/>
        <w:bottom w:val="single" w:color="8064A2" w:themeColor="accent4" w:sz="4" w:space="0"/>
        <w:right w:val="single" w:color="8064A2" w:themeColor="accent4" w:sz="4" w:space="0"/>
        <w:insideH w:val="single" w:color="FFFFFF" w:themeColor="background1" w:sz="4" w:space="0"/>
        <w:insideV w:val="single" w:color="FFFFFF" w:themeColor="background1" w:sz="4" w:space="0"/>
      </w:tblBorders>
    </w:tblPr>
    <w:tcPr>
      <w:shd w:val="clear" w:color="auto" w:fill="F2EFF6" w:themeFill="accent4" w:themeFillTint="19"/>
    </w:tcPr>
    <w:tblStylePr w:type="firstRow">
      <w:rPr>
        <w:b/>
        <w:bCs/>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color="4C3B62" w:themeColor="accent4" w:themeShade="99" w:sz="4" w:space="0"/>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color="F79646" w:themeColor="accent6" w:sz="24" w:space="0"/>
        <w:left w:val="single" w:color="4BACC6" w:themeColor="accent5" w:sz="4" w:space="0"/>
        <w:bottom w:val="single" w:color="4BACC6" w:themeColor="accent5" w:sz="4" w:space="0"/>
        <w:right w:val="single" w:color="4BACC6" w:themeColor="accent5" w:sz="4" w:space="0"/>
        <w:insideH w:val="single" w:color="FFFFFF" w:themeColor="background1" w:sz="4" w:space="0"/>
        <w:insideV w:val="single" w:color="FFFFFF" w:themeColor="background1" w:sz="4" w:space="0"/>
      </w:tblBorders>
    </w:tblPr>
    <w:tcPr>
      <w:shd w:val="clear" w:color="auto" w:fill="EDF6F9" w:themeFill="accent5" w:themeFillTint="19"/>
    </w:tcPr>
    <w:tblStylePr w:type="firstRow">
      <w:rPr>
        <w:b/>
        <w:bCs/>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color="276A7C" w:themeColor="accent5" w:themeShade="99" w:sz="4" w:space="0"/>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color="4BACC6" w:themeColor="accent5" w:sz="24" w:space="0"/>
        <w:left w:val="single" w:color="F79646" w:themeColor="accent6" w:sz="4" w:space="0"/>
        <w:bottom w:val="single" w:color="F79646" w:themeColor="accent6" w:sz="4" w:space="0"/>
        <w:right w:val="single" w:color="F79646" w:themeColor="accent6" w:sz="4" w:space="0"/>
        <w:insideH w:val="single" w:color="FFFFFF" w:themeColor="background1" w:sz="4" w:space="0"/>
        <w:insideV w:val="single" w:color="FFFFFF" w:themeColor="background1" w:sz="4" w:space="0"/>
      </w:tblBorders>
    </w:tblPr>
    <w:tcPr>
      <w:shd w:val="clear" w:color="auto" w:fill="FEF4EC" w:themeFill="accent6" w:themeFillTint="19"/>
    </w:tcPr>
    <w:tblStylePr w:type="firstRow">
      <w:rPr>
        <w:b/>
        <w:bCs/>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color="B65608" w:themeColor="accent6" w:themeShade="99" w:sz="4" w:space="0"/>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color="FFFFFF" w:themeColor="background1" w:sz="12" w:space="0"/>
        </w:tcBorders>
        <w:shd w:val="clear" w:color="auto" w:fill="9E3A38" w:themeFill="accent2" w:themeFillShade="CC"/>
      </w:tcPr>
    </w:tblStylePr>
    <w:tblStylePr w:type="lastRow">
      <w:rPr>
        <w:b/>
        <w:bCs/>
        <w:color w:val="9E3A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color="FFFFFF" w:themeColor="background1" w:sz="12" w:space="0"/>
        </w:tcBorders>
        <w:shd w:val="clear" w:color="auto" w:fill="9E3A38" w:themeFill="accent2" w:themeFillShade="CC"/>
      </w:tcPr>
    </w:tblStylePr>
    <w:tblStylePr w:type="lastRow">
      <w:rPr>
        <w:b/>
        <w:bCs/>
        <w:color w:val="9E3A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color="FFFFFF" w:themeColor="background1" w:sz="12" w:space="0"/>
        </w:tcBorders>
        <w:shd w:val="clear" w:color="auto" w:fill="9E3A38" w:themeFill="accent2" w:themeFillShade="CC"/>
      </w:tcPr>
    </w:tblStylePr>
    <w:tblStylePr w:type="lastRow">
      <w:rPr>
        <w:b/>
        <w:bCs/>
        <w:color w:val="9E3A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color="FFFFFF" w:themeColor="background1" w:sz="12" w:space="0"/>
        </w:tcBorders>
        <w:shd w:val="clear" w:color="auto" w:fill="664E82" w:themeFill="accent4" w:themeFillShade="CC"/>
      </w:tcPr>
    </w:tblStylePr>
    <w:tblStylePr w:type="lastRow">
      <w:rPr>
        <w:b/>
        <w:bCs/>
        <w:color w:val="664E82" w:themeColor="accent4"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color="FFFFFF" w:themeColor="background1" w:sz="12" w:space="0"/>
        </w:tcBorders>
        <w:shd w:val="clear" w:color="auto" w:fill="7E9C40" w:themeFill="accent3" w:themeFillShade="CC"/>
      </w:tcPr>
    </w:tblStylePr>
    <w:tblStylePr w:type="lastRow">
      <w:rPr>
        <w:b/>
        <w:bCs/>
        <w:color w:val="7E9C40" w:themeColor="accent3"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color="FFFFFF" w:themeColor="background1" w:sz="12" w:space="0"/>
        </w:tcBorders>
        <w:shd w:val="clear" w:color="auto" w:fill="F2730A" w:themeFill="accent6" w:themeFillShade="CC"/>
      </w:tcPr>
    </w:tblStylePr>
    <w:tblStylePr w:type="lastRow">
      <w:rPr>
        <w:b/>
        <w:bCs/>
        <w:color w:val="F2730A" w:themeColor="accent6"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color="FFFFFF" w:themeColor="background1" w:sz="12" w:space="0"/>
        </w:tcBorders>
        <w:shd w:val="clear" w:color="auto" w:fill="348DA5" w:themeFill="accent5" w:themeFillShade="CC"/>
      </w:tcPr>
    </w:tblStylePr>
    <w:tblStylePr w:type="lastRow">
      <w:rPr>
        <w:b/>
        <w:bCs/>
        <w:color w:val="348DA5" w:themeColor="accent5"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color="FFFFFF" w:themeColor="background1" w:sz="4" w:space="0"/>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color="FFFFFF" w:themeColor="background1" w:sz="4" w:space="0"/>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color="FFFFFF" w:themeColor="background1" w:sz="4" w:space="0"/>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color="FFFFFF" w:themeColor="background1" w:sz="4" w:space="0"/>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color="FFFFFF" w:themeColor="background1" w:sz="4" w:space="0"/>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color="FFFFFF" w:themeColor="background1" w:sz="4" w:space="0"/>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color="FFFFFF" w:themeColor="background1" w:sz="4" w:space="0"/>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&#65279;<?xml version="1.0" encoding="utf-8"?><Relationships xmlns="http://schemas.openxmlformats.org/package/2006/relationships"><Relationship Type="http://schemas.openxmlformats.org/officeDocument/2006/relationships/styles" Target="styles.xml" Id="rId3" /><Relationship Type="http://schemas.openxmlformats.org/officeDocument/2006/relationships/theme" Target="theme/theme1.xml" Id="rId7" /><Relationship Type="http://schemas.openxmlformats.org/officeDocument/2006/relationships/numbering" Target="numbering.xml" Id="rId2" /><Relationship Type="http://schemas.openxmlformats.org/officeDocument/2006/relationships/customXml" Target="../customXml/item1.xml" Id="rId1" /><Relationship Type="http://schemas.openxmlformats.org/officeDocument/2006/relationships/fontTable" Target="fontTable.xml" Id="rId6" /><Relationship Type="http://schemas.openxmlformats.org/officeDocument/2006/relationships/webSettings" Target="webSettings.xml" Id="rId5" /><Relationship Type="http://schemas.openxmlformats.org/officeDocument/2006/relationships/settings" Target="settings.xml" Id="rId4"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Template>Normal</ap:Template>
  <ap:Application>Microsoft Word for the web</ap:Application>
  <ap:DocSecurity>0</ap:DocSecurity>
  <ap:ScaleCrop>false</ap:ScaleCrop>
  <ap:Manager/>
  <ap:Company/>
  <ap:SharedDoc>false</ap:SharedDoc>
  <ap:HyperlinkBase/>
  <ap:HyperlinksChanged>false</ap:HyperlinksChanged>
  <ap:AppVersion>16.0000</ap:AppVersion>
  <ap:LinksUpToDate>false</ap:LinksUpToDate>
</ap:Properties>
</file>

<file path=docProps/core.xml><?xml version="1.0" encoding="utf-8"?>
<coreProperties xmlns:dc="http://purl.org/dc/elements/1.1/" xmlns:dcterms="http://purl.org/dc/terms/" xmlns:xsi="http://www.w3.org/2001/XMLSchema-instance" xmlns="http://schemas.openxmlformats.org/package/2006/metadata/core-properties">
  <dc:title/>
  <dc:subject/>
  <dc:creator>python-docx</dc:creator>
  <keywords/>
  <dc:description>generated by python-docx</dc:description>
  <lastModifiedBy>Mayank Pahan</lastModifiedBy>
  <revision>4</revision>
  <dcterms:created xsi:type="dcterms:W3CDTF">2025-06-24T06:37:00.0000000Z</dcterms:created>
  <dcterms:modified xsi:type="dcterms:W3CDTF">2025-06-24T09:16:06.6931646Z</dcterms:modified>
  <category/>
</coreProperties>
</file>