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F28C28"/>
          <w:sz w:val="104"/>
        </w:rPr>
        <w:t>EDMS</w:t>
      </w:r>
    </w:p>
    <w:p>
      <w:pPr>
        <w:jc w:val="center"/>
      </w:pPr>
      <w:r>
        <w:rPr>
          <w:b/>
          <w:color w:val="1F2937"/>
          <w:sz w:val="50"/>
        </w:rPr>
        <w:t>Enterprise Document Management System</w:t>
      </w:r>
    </w:p>
    <w:p>
      <w:pPr>
        <w:jc w:val="center"/>
      </w:pPr>
      <w:r>
        <w:rPr>
          <w:color w:val="667085"/>
          <w:sz w:val="30"/>
        </w:rPr>
        <w:t>Executive Architecture &amp; Product Overview</w:t>
      </w:r>
    </w:p>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ARKAA DIGITAL  </w:t>
            </w:r>
            <w:r>
              <w:rPr>
                <w:b/>
                <w:color w:val="1F2937"/>
              </w:rPr>
              <w:t>Secure Repository • Intelligent Processing • Governed Access • Enterprise Retrieval</w:t>
            </w:r>
          </w:p>
        </w:tc>
      </w:tr>
    </w:tbl>
    <w:p/>
    <w:p>
      <w:pPr>
        <w:jc w:val="center"/>
      </w:pPr>
      <w:r>
        <w:rPr>
          <w:b/>
        </w:rPr>
        <w:t>White + Orange Executive Edition</w:t>
      </w:r>
    </w:p>
    <w:p>
      <w:r>
        <w:br w:type="page"/>
      </w:r>
    </w:p>
    <w:p>
      <w:pPr>
        <w:spacing w:before="160"/>
      </w:pPr>
      <w:r>
        <w:rPr>
          <w:b/>
          <w:color w:val="1F2937"/>
          <w:sz w:val="40"/>
        </w:rPr>
        <w:t>SLIDE 2  |  Executive Summary &amp; Problem Statement</w:t>
      </w:r>
    </w:p>
    <w:p>
      <w:pPr>
        <w:spacing w:after="160"/>
      </w:pPr>
      <w:r>
        <w:rPr>
          <w:color w:val="F28C28"/>
          <w:sz w:val="22"/>
        </w:rPr>
        <w:t>From fragmented document handling to a governed digital repository</w:t>
      </w:r>
    </w:p>
    <w:p>
      <w:r>
        <w:rPr>
          <w:b/>
          <w:color w:val="F28C28"/>
        </w:rPr>
        <w:t>Visual Design &amp; Graphic Ideas</w:t>
      </w:r>
    </w:p>
    <w:p>
      <w:pPr>
        <w:ind w:left="288"/>
      </w:pPr>
      <w:r>
        <w:t>Use a clean Before vs. After split. Left side in light grey for traditional challenges; right side with orange accents for EDMS capabilities.</w:t>
      </w:r>
    </w:p>
    <w:p>
      <w:r>
        <w:rPr>
          <w:b/>
          <w:color w:val="F28C28"/>
        </w:rPr>
        <w:t>Core Bullet Points</w:t>
      </w:r>
    </w:p>
    <w:p>
      <w:pPr>
        <w:pStyle w:val="ListBullet"/>
        <w:spacing w:after="60"/>
      </w:pPr>
      <w:r>
        <w:t>Traditional: paper-heavy workflows, manual scanning/classification, difficult content discovery, inconsistent permissions, limited activity visibility, storage constraints.</w:t>
      </w:r>
    </w:p>
    <w:p>
      <w:pPr>
        <w:pStyle w:val="ListBullet"/>
        <w:spacing w:after="60"/>
      </w:pPr>
      <w:r>
        <w:t>EDMS: centralized repository, automated scanner/mobile/file capture, OCR and page-level search, granular permissions, hybrid storage, temporary access and secure sharing, auditability.</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One governed document lifecycle</w:t>
            </w:r>
          </w:p>
        </w:tc>
      </w:tr>
    </w:tbl>
    <w:p/>
    <w:p>
      <w:r>
        <w:rPr>
          <w:b/>
          <w:color w:val="F28C28"/>
        </w:rPr>
        <w:t>Speaker Notes</w:t>
      </w:r>
    </w:p>
    <w:p>
      <w:pPr>
        <w:spacing w:after="160"/>
        <w:ind w:left="288"/>
      </w:pPr>
      <w:r>
        <w:t>The fundamental problem is not simply where documents are stored. The enterprise needs to capture documents efficiently, find information inside them, control access and prove what happened. EDMS addresses those dimensions together.</w:t>
      </w:r>
    </w:p>
    <w:p>
      <w:r>
        <w:br w:type="page"/>
      </w:r>
    </w:p>
    <w:p>
      <w:pPr>
        <w:spacing w:before="160"/>
      </w:pPr>
      <w:r>
        <w:rPr>
          <w:b/>
          <w:color w:val="1F2937"/>
          <w:sz w:val="40"/>
        </w:rPr>
        <w:t>SLIDE 3  |  High-Level System Architecture</w:t>
      </w:r>
    </w:p>
    <w:p>
      <w:pPr>
        <w:spacing w:after="160"/>
      </w:pPr>
      <w:r>
        <w:rPr>
          <w:color w:val="F28C28"/>
          <w:sz w:val="22"/>
        </w:rPr>
        <w:t>Modular architecture connecting capture, processing, storage and governance</w:t>
      </w:r>
    </w:p>
    <w:p>
      <w:r>
        <w:rPr>
          <w:b/>
          <w:color w:val="F28C28"/>
        </w:rPr>
        <w:t>Visual Design &amp; Graphic Ideas</w:t>
      </w:r>
    </w:p>
    <w:p>
      <w:pPr>
        <w:ind w:left="288"/>
      </w:pPr>
      <w:r>
        <w:t>Use a horizontal architecture diagram with orange connectors: Web/Mobile and Go Scanner Agent → Spring Boot Backend → PostgreSQL / Search / Processing → Storage Abstraction → Local / NAS / Cloud.</w:t>
      </w:r>
    </w:p>
    <w:p>
      <w:r>
        <w:rPr>
          <w:b/>
          <w:color w:val="F28C28"/>
        </w:rPr>
        <w:t>Core Bullet Points</w:t>
      </w:r>
    </w:p>
    <w:p>
      <w:pPr>
        <w:pStyle w:val="ListBullet"/>
        <w:spacing w:after="60"/>
      </w:pPr>
      <w:r>
        <w:t>Frontend: Next.js 14, React, TypeScript, TailwindCSS / Vanilla CSS, Zustand.</w:t>
      </w:r>
    </w:p>
    <w:p>
      <w:pPr>
        <w:pStyle w:val="ListBullet"/>
        <w:spacing w:after="60"/>
      </w:pPr>
      <w:r>
        <w:t>Backend: Java 21, Spring Boot 3.3.x, Spring Data JPA, Hibernate.</w:t>
      </w:r>
    </w:p>
    <w:p>
      <w:pPr>
        <w:pStyle w:val="ListBullet"/>
        <w:spacing w:after="60"/>
      </w:pPr>
      <w:r>
        <w:t>Search: OpenSearch / Elasticsearch; Database: PostgreSQL + Flyway.</w:t>
      </w:r>
    </w:p>
    <w:p>
      <w:pPr>
        <w:pStyle w:val="ListBullet"/>
        <w:spacing w:after="60"/>
      </w:pPr>
      <w:r>
        <w:t>Processing: PDFBox, Tika, Tesseract; Scanner: dedicated Go daemon.</w:t>
      </w:r>
    </w:p>
    <w:p>
      <w:pPr>
        <w:pStyle w:val="ListBullet"/>
        <w:spacing w:after="60"/>
      </w:pPr>
      <w:r>
        <w:t>Storage abstraction supports Local Disk, NAS and S3-compatible object storage.</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One application layer — multiple interchangeable storage backends</w:t>
            </w:r>
          </w:p>
        </w:tc>
      </w:tr>
    </w:tbl>
    <w:p/>
    <w:p>
      <w:r>
        <w:rPr>
          <w:b/>
          <w:color w:val="F28C28"/>
        </w:rPr>
        <w:t>Speaker Notes</w:t>
      </w:r>
    </w:p>
    <w:p>
      <w:pPr>
        <w:spacing w:after="160"/>
        <w:ind w:left="288"/>
      </w:pPr>
      <w:r>
        <w:t>The architecture deliberately separates business logic from infrastructure. Storage, scanning, OCR and search are abstracted so the enterprise can evolve infrastructure without rewriting the core EDMS.</w:t>
      </w:r>
    </w:p>
    <w:p>
      <w:r>
        <w:br w:type="page"/>
      </w:r>
    </w:p>
    <w:p>
      <w:pPr>
        <w:spacing w:before="160"/>
      </w:pPr>
      <w:r>
        <w:rPr>
          <w:b/>
          <w:color w:val="1F2937"/>
          <w:sz w:val="40"/>
        </w:rPr>
        <w:t>SLIDE 4  |  Edge Scanner Agent &amp; Document Ingestion</w:t>
      </w:r>
    </w:p>
    <w:p>
      <w:pPr>
        <w:spacing w:after="160"/>
      </w:pPr>
      <w:r>
        <w:rPr>
          <w:color w:val="F28C28"/>
          <w:sz w:val="22"/>
        </w:rPr>
        <w:t>Two capture channels converge into one controlled ingestion workflow</w:t>
      </w:r>
    </w:p>
    <w:p>
      <w:r>
        <w:rPr>
          <w:b/>
          <w:color w:val="F28C28"/>
        </w:rPr>
        <w:t>Visual Design &amp; Graphic Ideas</w:t>
      </w:r>
    </w:p>
    <w:p>
      <w:pPr>
        <w:ind w:left="288"/>
      </w:pPr>
      <w:r>
        <w:t>Show two lanes—Physical Scanner and Mobile/Web Scan—converging into Go Scanner Agent / EDMS ingestion, followed by processing.</w:t>
      </w:r>
    </w:p>
    <w:p>
      <w:r>
        <w:rPr>
          <w:b/>
          <w:color w:val="F28C28"/>
        </w:rPr>
        <w:t>Core Bullet Points</w:t>
      </w:r>
    </w:p>
    <w:p>
      <w:pPr>
        <w:pStyle w:val="ListBullet"/>
        <w:spacing w:after="60"/>
      </w:pPr>
      <w:r>
        <w:t>Dedicated Go scanner daemon for desktop and enterprise scanner workflows.</w:t>
      </w:r>
    </w:p>
    <w:p>
      <w:pPr>
        <w:pStyle w:val="ListBullet"/>
        <w:spacing w:after="60"/>
      </w:pPr>
      <w:r>
        <w:t>TWAIN / SANE integration and ADF batch digitization.</w:t>
      </w:r>
    </w:p>
    <w:p>
      <w:pPr>
        <w:pStyle w:val="ListBullet"/>
        <w:spacing w:after="60"/>
      </w:pPr>
      <w:r>
        <w:t>Application camera scanning for individual and field capture.</w:t>
      </w:r>
    </w:p>
    <w:p>
      <w:pPr>
        <w:pStyle w:val="ListBullet"/>
        <w:spacing w:after="60"/>
      </w:pPr>
      <w:r>
        <w:t>Multi-page document creation, ordering, rotation and correction.</w:t>
      </w:r>
    </w:p>
    <w:p>
      <w:pPr>
        <w:pStyle w:val="ListBullet"/>
        <w:spacing w:after="60"/>
      </w:pPr>
      <w:r>
        <w:t>Automated destination-folder routing and upload.</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Two capture channels: Physical Scanner + Application Scan</w:t>
            </w:r>
          </w:p>
        </w:tc>
      </w:tr>
    </w:tbl>
    <w:p/>
    <w:p>
      <w:r>
        <w:rPr>
          <w:b/>
          <w:color w:val="F28C28"/>
        </w:rPr>
        <w:t>Speaker Notes</w:t>
      </w:r>
    </w:p>
    <w:p>
      <w:pPr>
        <w:spacing w:after="160"/>
        <w:ind w:left="288"/>
      </w:pPr>
      <w:r>
        <w:t>EDMS supports both high-volume physical scanning and application-based camera capture. Both channels ultimately enter the same secure ingestion and processing workflow.</w:t>
      </w:r>
    </w:p>
    <w:p>
      <w:r>
        <w:br w:type="page"/>
      </w:r>
    </w:p>
    <w:p>
      <w:pPr>
        <w:spacing w:before="160"/>
      </w:pPr>
      <w:r>
        <w:rPr>
          <w:b/>
          <w:color w:val="1F2937"/>
          <w:sz w:val="40"/>
        </w:rPr>
        <w:t>SLIDE 5  |  The 12-Stage Automated Document Processing Pipeline</w:t>
      </w:r>
    </w:p>
    <w:p>
      <w:pPr>
        <w:spacing w:after="160"/>
      </w:pPr>
      <w:r>
        <w:rPr>
          <w:color w:val="F28C28"/>
          <w:sz w:val="22"/>
        </w:rPr>
        <w:t>From raw file to searchable, governed enterprise record</w:t>
      </w:r>
    </w:p>
    <w:p>
      <w:r>
        <w:rPr>
          <w:b/>
          <w:color w:val="F28C28"/>
        </w:rPr>
        <w:t>Visual Design &amp; Graphic Ideas</w:t>
      </w:r>
    </w:p>
    <w:p>
      <w:pPr>
        <w:ind w:left="288"/>
      </w:pPr>
      <w:r>
        <w:t>Use a 12-step pipeline in two rows: 01 Virus Scan → 02 Tika MIME → 03 SHA-256 → 04 Metadata → 05 PDFBox Text → 06 Rasterization → 07 Thumbnails → 08 Tesseract OCR → 09 OpenSearch → 10 Hierarchy → 11 RBAC → 12 Audit.</w:t>
      </w:r>
    </w:p>
    <w:p>
      <w:r>
        <w:rPr>
          <w:b/>
          <w:color w:val="F28C28"/>
        </w:rPr>
        <w:t>Core Bullet Points</w:t>
      </w:r>
    </w:p>
    <w:p>
      <w:pPr>
        <w:pStyle w:val="ListBullet"/>
        <w:spacing w:after="60"/>
      </w:pPr>
      <w:r>
        <w:t>01 Virus Scan — validate content before acceptance.</w:t>
      </w:r>
    </w:p>
    <w:p>
      <w:pPr>
        <w:pStyle w:val="ListBullet"/>
        <w:spacing w:after="60"/>
      </w:pPr>
      <w:r>
        <w:t>02 MIME Detection — Apache Tika identifies actual file type.</w:t>
      </w:r>
    </w:p>
    <w:p>
      <w:pPr>
        <w:pStyle w:val="ListBullet"/>
        <w:spacing w:after="60"/>
      </w:pPr>
      <w:r>
        <w:t>03 SHA-256 — cryptographic integrity fingerprint.</w:t>
      </w:r>
    </w:p>
    <w:p>
      <w:pPr>
        <w:pStyle w:val="ListBullet"/>
        <w:spacing w:after="60"/>
      </w:pPr>
      <w:r>
        <w:t>04 Metadata — capture repository and document attributes.</w:t>
      </w:r>
    </w:p>
    <w:p>
      <w:pPr>
        <w:pStyle w:val="ListBullet"/>
        <w:spacing w:after="60"/>
      </w:pPr>
      <w:r>
        <w:t>05 PDFBox Text — extract native PDF text.</w:t>
      </w:r>
    </w:p>
    <w:p>
      <w:pPr>
        <w:pStyle w:val="ListBullet"/>
        <w:spacing w:after="60"/>
      </w:pPr>
      <w:r>
        <w:t>06 Page Rasterization — prepare image-based pages.</w:t>
      </w:r>
    </w:p>
    <w:p>
      <w:pPr>
        <w:pStyle w:val="ListBullet"/>
        <w:spacing w:after="60"/>
      </w:pPr>
      <w:r>
        <w:t>07 Thumbnails — efficient previews.</w:t>
      </w:r>
    </w:p>
    <w:p>
      <w:pPr>
        <w:pStyle w:val="ListBullet"/>
        <w:spacing w:after="60"/>
      </w:pPr>
      <w:r>
        <w:t>08 Tesseract OCR — fallback for scanned/image content.</w:t>
      </w:r>
    </w:p>
    <w:p>
      <w:pPr>
        <w:pStyle w:val="ListBullet"/>
        <w:spacing w:after="60"/>
      </w:pPr>
      <w:r>
        <w:t>09 OpenSearch — page-level indexing.</w:t>
      </w:r>
    </w:p>
    <w:p>
      <w:pPr>
        <w:pStyle w:val="ListBullet"/>
        <w:spacing w:after="60"/>
      </w:pPr>
      <w:r>
        <w:t>10 Hierarchy — persist folder relationships.</w:t>
      </w:r>
    </w:p>
    <w:p>
      <w:pPr>
        <w:pStyle w:val="ListBullet"/>
        <w:spacing w:after="60"/>
      </w:pPr>
      <w:r>
        <w:t>11 RBAC — enforce access governance.</w:t>
      </w:r>
    </w:p>
    <w:p>
      <w:pPr>
        <w:pStyle w:val="ListBullet"/>
        <w:spacing w:after="60"/>
      </w:pPr>
      <w:r>
        <w:t>12 Audit Finalize — record lifecycle and processing activity.</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12-Stage Automated Processing Pipeline</w:t>
            </w:r>
          </w:p>
        </w:tc>
      </w:tr>
    </w:tbl>
    <w:p/>
    <w:p>
      <w:r>
        <w:rPr>
          <w:b/>
          <w:color w:val="F28C28"/>
        </w:rPr>
        <w:t>Speaker Notes</w:t>
      </w:r>
    </w:p>
    <w:p>
      <w:pPr>
        <w:spacing w:after="160"/>
        <w:ind w:left="288"/>
      </w:pPr>
      <w:r>
        <w:t>The pipeline validates and fingerprints content first, extracts native text where available, OCRs image-based pages when needed, then indexes the content and finalizes governance and audit state.</w:t>
      </w:r>
    </w:p>
    <w:p>
      <w:r>
        <w:br w:type="page"/>
      </w:r>
    </w:p>
    <w:p>
      <w:pPr>
        <w:spacing w:before="160"/>
      </w:pPr>
      <w:r>
        <w:rPr>
          <w:b/>
          <w:color w:val="1F2937"/>
          <w:sz w:val="40"/>
        </w:rPr>
        <w:t>SLIDE 6  |  Multi-Tier Storage Governance</w:t>
      </w:r>
    </w:p>
    <w:p>
      <w:pPr>
        <w:spacing w:after="160"/>
      </w:pPr>
      <w:r>
        <w:rPr>
          <w:color w:val="F28C28"/>
          <w:sz w:val="22"/>
        </w:rPr>
        <w:t>Choose the right storage tier without changing the application</w:t>
      </w:r>
    </w:p>
    <w:p>
      <w:r>
        <w:rPr>
          <w:b/>
          <w:color w:val="F28C28"/>
        </w:rPr>
        <w:t>Visual Design &amp; Graphic Ideas</w:t>
      </w:r>
    </w:p>
    <w:p>
      <w:pPr>
        <w:ind w:left="288"/>
      </w:pPr>
      <w:r>
        <w:t>Three orange-accented storage cards: HOT — Local Server; CONTROLLED — NAS; SCALE — Cloud Object. Place StorageService abstraction above them.</w:t>
      </w:r>
    </w:p>
    <w:p>
      <w:r>
        <w:rPr>
          <w:b/>
          <w:color w:val="F28C28"/>
        </w:rPr>
        <w:t>Core Bullet Points</w:t>
      </w:r>
    </w:p>
    <w:p>
      <w:pPr>
        <w:pStyle w:val="ListBullet"/>
        <w:spacing w:after="60"/>
      </w:pPr>
      <w:r>
        <w:t>Local Server Disk: fast active access, SHA-256 verification, partitioned paths.</w:t>
      </w:r>
    </w:p>
    <w:p>
      <w:pPr>
        <w:pStyle w:val="ListBullet"/>
        <w:spacing w:after="60"/>
      </w:pPr>
      <w:r>
        <w:t>NAS: NFS/SMB, large capacity, direct hardware streaming and live latency benchmarking.</w:t>
      </w:r>
    </w:p>
    <w:p>
      <w:pPr>
        <w:pStyle w:val="ListBullet"/>
        <w:spacing w:after="60"/>
      </w:pPr>
      <w:r>
        <w:t>Cloud: S3 / MinIO / SeaweedFS, elastic capacity and presigned URLs.</w:t>
      </w:r>
    </w:p>
    <w:p>
      <w:pPr>
        <w:pStyle w:val="ListBullet"/>
        <w:spacing w:after="60"/>
      </w:pPr>
      <w:r>
        <w:t>Hot-reloadable/configuration-driven provider selection.</w:t>
      </w:r>
    </w:p>
    <w:p>
      <w:pPr>
        <w:pStyle w:val="ListBullet"/>
        <w:spacing w:after="60"/>
      </w:pPr>
      <w:r>
        <w:t>Per-document storage provider can be retained for traceability.</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Storage is an infrastructure decision — not an application rewrite</w:t>
            </w:r>
          </w:p>
        </w:tc>
      </w:tr>
    </w:tbl>
    <w:p/>
    <w:p>
      <w:r>
        <w:rPr>
          <w:b/>
          <w:color w:val="F28C28"/>
        </w:rPr>
        <w:t>Speaker Notes</w:t>
      </w:r>
    </w:p>
    <w:p>
      <w:pPr>
        <w:spacing w:after="160"/>
        <w:ind w:left="288"/>
      </w:pPr>
      <w:r>
        <w:t>Storage is treated as an infrastructure policy. Local disk, NAS and cloud object storage can coexist through a common StorageService abstraction.</w:t>
      </w:r>
    </w:p>
    <w:p>
      <w:r>
        <w:br w:type="page"/>
      </w:r>
    </w:p>
    <w:p>
      <w:pPr>
        <w:spacing w:before="160"/>
      </w:pPr>
      <w:r>
        <w:rPr>
          <w:b/>
          <w:color w:val="1F2937"/>
          <w:sz w:val="40"/>
        </w:rPr>
        <w:t>SLIDE 7  |  Physical Repository Folder Hierarchy</w:t>
      </w:r>
    </w:p>
    <w:p>
      <w:pPr>
        <w:spacing w:after="160"/>
      </w:pPr>
      <w:r>
        <w:rPr>
          <w:color w:val="F28C28"/>
          <w:sz w:val="22"/>
        </w:rPr>
        <w:t>Human-readable organization with deterministic file retrieval</w:t>
      </w:r>
    </w:p>
    <w:p>
      <w:r>
        <w:rPr>
          <w:b/>
          <w:color w:val="F28C28"/>
        </w:rPr>
        <w:t>Visual Design &amp; Graphic Ideas</w:t>
      </w:r>
    </w:p>
    <w:p>
      <w:pPr>
        <w:ind w:left="288"/>
      </w:pPr>
      <w:r>
        <w:t>Show a directory tree: Repository / Medical Records / Patient-A / Laboratory / UUID_FileName.pdf. Contrast human-readable hierarchy with opaque date/hash-only structures.</w:t>
      </w:r>
    </w:p>
    <w:p>
      <w:r>
        <w:rPr>
          <w:b/>
          <w:color w:val="F28C28"/>
        </w:rPr>
        <w:t>Core Bullet Points</w:t>
      </w:r>
    </w:p>
    <w:p>
      <w:pPr>
        <w:pStyle w:val="ListBullet"/>
        <w:spacing w:after="60"/>
      </w:pPr>
      <w:r>
        <w:t>Business-oriented folder hierarchy.</w:t>
      </w:r>
    </w:p>
    <w:p>
      <w:pPr>
        <w:pStyle w:val="ListBullet"/>
        <w:spacing w:after="60"/>
      </w:pPr>
      <w:r>
        <w:t>UUID prevents filename collisions.</w:t>
      </w:r>
    </w:p>
    <w:p>
      <w:pPr>
        <w:pStyle w:val="ListBullet"/>
        <w:spacing w:after="60"/>
      </w:pPr>
      <w:r>
        <w:t>Original filename remains recognizable.</w:t>
      </w:r>
    </w:p>
    <w:p>
      <w:pPr>
        <w:pStyle w:val="ListBullet"/>
        <w:spacing w:after="60"/>
      </w:pPr>
      <w:r>
        <w:t>Database remains authoritative for metadata and authorization.</w:t>
      </w:r>
    </w:p>
    <w:p>
      <w:pPr>
        <w:pStyle w:val="ListBullet"/>
        <w:spacing w:after="60"/>
      </w:pPr>
      <w:r>
        <w:t>Physical repository remains understandable to infrastructure administrators.</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Repository/[Folder]/[UUID]_[OriginalFileName]</w:t>
            </w:r>
          </w:p>
        </w:tc>
      </w:tr>
    </w:tbl>
    <w:p/>
    <w:p>
      <w:r>
        <w:rPr>
          <w:b/>
          <w:color w:val="F28C28"/>
        </w:rPr>
        <w:t>Speaker Notes</w:t>
      </w:r>
    </w:p>
    <w:p>
      <w:pPr>
        <w:spacing w:after="160"/>
        <w:ind w:left="288"/>
      </w:pPr>
      <w:r>
        <w:t>The repository is intentionally understandable to operations teams. UUIDs provide uniqueness while preserving original filenames and business folder structure.</w:t>
      </w:r>
    </w:p>
    <w:p>
      <w:r>
        <w:br w:type="page"/>
      </w:r>
    </w:p>
    <w:p>
      <w:pPr>
        <w:spacing w:before="160"/>
      </w:pPr>
      <w:r>
        <w:rPr>
          <w:b/>
          <w:color w:val="1F2937"/>
          <w:sz w:val="40"/>
        </w:rPr>
        <w:t>SLIDE 8  |  Search &amp; Retrieval Experience</w:t>
      </w:r>
    </w:p>
    <w:p>
      <w:pPr>
        <w:spacing w:after="160"/>
      </w:pPr>
      <w:r>
        <w:rPr>
          <w:color w:val="F28C28"/>
          <w:sz w:val="22"/>
        </w:rPr>
        <w:t>Search what the document says — not just what it is called</w:t>
      </w:r>
    </w:p>
    <w:p>
      <w:r>
        <w:rPr>
          <w:b/>
          <w:color w:val="F28C28"/>
        </w:rPr>
        <w:t>Visual Design &amp; Graphic Ideas</w:t>
      </w:r>
    </w:p>
    <w:p>
      <w:pPr>
        <w:ind w:left="288"/>
      </w:pPr>
      <w:r>
        <w:t>Large search bar with 'diabetes'; result cards showing filename, matching page and OCR snippet; filters for folder, document type, date, uploader and patient.</w:t>
      </w:r>
    </w:p>
    <w:p>
      <w:r>
        <w:rPr>
          <w:b/>
          <w:color w:val="F28C28"/>
        </w:rPr>
        <w:t>Core Bullet Points</w:t>
      </w:r>
    </w:p>
    <w:p>
      <w:pPr>
        <w:pStyle w:val="ListBullet"/>
        <w:spacing w:after="60"/>
      </w:pPr>
      <w:r>
        <w:t>Page-level OpenSearch indexing.</w:t>
      </w:r>
    </w:p>
    <w:p>
      <w:pPr>
        <w:pStyle w:val="ListBullet"/>
        <w:spacing w:after="60"/>
      </w:pPr>
      <w:r>
        <w:t>OCR content becomes searchable.</w:t>
      </w:r>
    </w:p>
    <w:p>
      <w:pPr>
        <w:pStyle w:val="ListBullet"/>
        <w:spacing w:after="60"/>
      </w:pPr>
      <w:r>
        <w:t>Filename + metadata + full document content.</w:t>
      </w:r>
    </w:p>
    <w:p>
      <w:pPr>
        <w:pStyle w:val="ListBullet"/>
        <w:spacing w:after="60"/>
      </w:pPr>
      <w:r>
        <w:t>Search snippets with matching text.</w:t>
      </w:r>
    </w:p>
    <w:p>
      <w:pPr>
        <w:pStyle w:val="ListBullet"/>
        <w:spacing w:after="60"/>
      </w:pPr>
      <w:r>
        <w:t>Direct navigation to matching page.</w:t>
      </w:r>
    </w:p>
    <w:p>
      <w:pPr>
        <w:pStyle w:val="ListBullet"/>
        <w:spacing w:after="60"/>
      </w:pPr>
      <w:r>
        <w:t>Architecture ready for semantic/vector search.</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Search → Matching Page → Highlighted Content</w:t>
            </w:r>
          </w:p>
        </w:tc>
      </w:tr>
    </w:tbl>
    <w:p/>
    <w:p>
      <w:r>
        <w:rPr>
          <w:b/>
          <w:color w:val="F28C28"/>
        </w:rPr>
        <w:t>Speaker Notes</w:t>
      </w:r>
    </w:p>
    <w:p>
      <w:pPr>
        <w:spacing w:after="160"/>
        <w:ind w:left="288"/>
      </w:pPr>
      <w:r>
        <w:t>Search is page-level, so users can search for a disease, name, reference number or other content and jump directly to the matching page.</w:t>
      </w:r>
    </w:p>
    <w:p>
      <w:r>
        <w:br w:type="page"/>
      </w:r>
    </w:p>
    <w:p>
      <w:pPr>
        <w:spacing w:before="160"/>
      </w:pPr>
      <w:r>
        <w:rPr>
          <w:b/>
          <w:color w:val="1F2937"/>
          <w:sz w:val="40"/>
        </w:rPr>
        <w:t>SLIDE 9  |  High-Resolution Viewer &amp; Annotation Tools</w:t>
      </w:r>
    </w:p>
    <w:p>
      <w:pPr>
        <w:spacing w:after="160"/>
      </w:pPr>
      <w:r>
        <w:rPr>
          <w:color w:val="F28C28"/>
          <w:sz w:val="22"/>
        </w:rPr>
        <w:t>Secure document consumption without unnecessary file exposure</w:t>
      </w:r>
    </w:p>
    <w:p>
      <w:r>
        <w:rPr>
          <w:b/>
          <w:color w:val="F28C28"/>
        </w:rPr>
        <w:t>Visual Design &amp; Graphic Ideas</w:t>
      </w:r>
    </w:p>
    <w:p>
      <w:pPr>
        <w:ind w:left="288"/>
      </w:pPr>
      <w:r>
        <w:t>Large viewer mock-up with page navigation, zoom, rotation, print and download controls; side panel with metadata and permission status.</w:t>
      </w:r>
    </w:p>
    <w:p>
      <w:r>
        <w:rPr>
          <w:b/>
          <w:color w:val="F28C28"/>
        </w:rPr>
        <w:t>Core Bullet Points</w:t>
      </w:r>
    </w:p>
    <w:p>
      <w:pPr>
        <w:pStyle w:val="ListBullet"/>
        <w:spacing w:after="60"/>
      </w:pPr>
      <w:r>
        <w:t>High-resolution PDF/image rendering.</w:t>
      </w:r>
    </w:p>
    <w:p>
      <w:pPr>
        <w:pStyle w:val="ListBullet"/>
        <w:spacing w:after="60"/>
      </w:pPr>
      <w:r>
        <w:t>Page navigation, zoom and rotation.</w:t>
      </w:r>
    </w:p>
    <w:p>
      <w:pPr>
        <w:pStyle w:val="ListBullet"/>
        <w:spacing w:after="60"/>
      </w:pPr>
      <w:r>
        <w:t>Search within document.</w:t>
      </w:r>
    </w:p>
    <w:p>
      <w:pPr>
        <w:pStyle w:val="ListBullet"/>
        <w:spacing w:after="60"/>
      </w:pPr>
      <w:r>
        <w:t>Direct page navigation from search results.</w:t>
      </w:r>
    </w:p>
    <w:p>
      <w:pPr>
        <w:pStyle w:val="ListBullet"/>
        <w:spacing w:after="60"/>
      </w:pPr>
      <w:r>
        <w:t>Controlled print/download.</w:t>
      </w:r>
    </w:p>
    <w:p>
      <w:pPr>
        <w:pStyle w:val="ListBullet"/>
        <w:spacing w:after="60"/>
      </w:pPr>
      <w:r>
        <w:t>Secure streaming and permission-aware actions.</w:t>
      </w:r>
    </w:p>
    <w:p>
      <w:pPr>
        <w:pStyle w:val="ListBullet"/>
        <w:spacing w:after="60"/>
      </w:pPr>
      <w:r>
        <w:t>Future annotation capability.</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View, Print and Download are independent permissions</w:t>
            </w:r>
          </w:p>
        </w:tc>
      </w:tr>
    </w:tbl>
    <w:p/>
    <w:p>
      <w:r>
        <w:rPr>
          <w:b/>
          <w:color w:val="F28C28"/>
        </w:rPr>
        <w:t>Speaker Notes</w:t>
      </w:r>
    </w:p>
    <w:p>
      <w:pPr>
        <w:spacing w:after="160"/>
        <w:ind w:left="288"/>
      </w:pPr>
      <w:r>
        <w:t>Viewing, printing and downloading are intentionally separate permissions. A user can inspect a record without necessarily being able to download the original.</w:t>
      </w:r>
    </w:p>
    <w:p>
      <w:r>
        <w:br w:type="page"/>
      </w:r>
    </w:p>
    <w:p>
      <w:pPr>
        <w:spacing w:before="160"/>
      </w:pPr>
      <w:r>
        <w:rPr>
          <w:b/>
          <w:color w:val="1F2937"/>
          <w:sz w:val="40"/>
        </w:rPr>
        <w:t>SLIDE 10  |  Access Governance &amp; User Management (RBAC)</w:t>
      </w:r>
    </w:p>
    <w:p>
      <w:pPr>
        <w:spacing w:after="160"/>
      </w:pPr>
      <w:r>
        <w:rPr>
          <w:color w:val="F28C28"/>
          <w:sz w:val="22"/>
        </w:rPr>
        <w:t>Granular RBAC from menu level to individual document</w:t>
      </w:r>
    </w:p>
    <w:p>
      <w:r>
        <w:rPr>
          <w:b/>
          <w:color w:val="F28C28"/>
        </w:rPr>
        <w:t>Visual Design &amp; Graphic Ideas</w:t>
      </w:r>
    </w:p>
    <w:p>
      <w:pPr>
        <w:ind w:left="288"/>
      </w:pPr>
      <w:r>
        <w:t>Use an access matrix for Administrator, Records Staff, Doctor, Auditor and Temporary User. Below it show User → Role → Folder → Document → Temporary Access → Decision.</w:t>
      </w:r>
    </w:p>
    <w:p>
      <w:r>
        <w:rPr>
          <w:b/>
          <w:color w:val="F28C28"/>
        </w:rPr>
        <w:t>Core Bullet Points</w:t>
      </w:r>
    </w:p>
    <w:p>
      <w:pPr>
        <w:pStyle w:val="ListBullet"/>
        <w:spacing w:after="60"/>
      </w:pPr>
      <w:r>
        <w:t>Role-based access control.</w:t>
      </w:r>
    </w:p>
    <w:p>
      <w:pPr>
        <w:pStyle w:val="ListBullet"/>
        <w:spacing w:after="60"/>
      </w:pPr>
      <w:r>
        <w:t>Folder-level permissions and document-level overrides.</w:t>
      </w:r>
    </w:p>
    <w:p>
      <w:pPr>
        <w:pStyle w:val="ListBullet"/>
        <w:spacing w:after="60"/>
      </w:pPr>
      <w:r>
        <w:t>Independent View / Upload / Download / Delete / Share / Print permissions.</w:t>
      </w:r>
    </w:p>
    <w:p>
      <w:pPr>
        <w:pStyle w:val="ListBullet"/>
        <w:spacing w:after="60"/>
      </w:pPr>
      <w:r>
        <w:t>Temporary access with start and expiry timestamps.</w:t>
      </w:r>
    </w:p>
    <w:p>
      <w:pPr>
        <w:pStyle w:val="ListBullet"/>
        <w:spacing w:after="60"/>
      </w:pPr>
      <w:r>
        <w:t>Proactive expiry warnings.</w:t>
      </w:r>
    </w:p>
    <w:p>
      <w:pPr>
        <w:pStyle w:val="ListBullet"/>
        <w:spacing w:after="60"/>
      </w:pPr>
      <w:r>
        <w:t>Backend-enforced authorization for every sensitive API.</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RBAC + Resource-Level Permissions + Time-Bound Access</w:t>
            </w:r>
          </w:p>
        </w:tc>
      </w:tr>
    </w:tbl>
    <w:p/>
    <w:p>
      <w:r>
        <w:rPr>
          <w:b/>
          <w:color w:val="F28C28"/>
        </w:rPr>
        <w:t>Speaker Notes</w:t>
      </w:r>
    </w:p>
    <w:p>
      <w:pPr>
        <w:spacing w:after="160"/>
        <w:ind w:left="288"/>
      </w:pPr>
      <w:r>
        <w:t>Security is enforced at the backend, not merely by hiding buttons. Every sensitive operation evaluates role, resource permissions and validity period.</w:t>
      </w:r>
    </w:p>
    <w:p>
      <w:r>
        <w:br w:type="page"/>
      </w:r>
    </w:p>
    <w:p>
      <w:pPr>
        <w:spacing w:before="160"/>
      </w:pPr>
      <w:r>
        <w:rPr>
          <w:b/>
          <w:color w:val="1F2937"/>
          <w:sz w:val="40"/>
        </w:rPr>
        <w:t>SLIDE 11  |  Compliance &amp; Tamper-Evident Security Audit Trail</w:t>
      </w:r>
    </w:p>
    <w:p>
      <w:pPr>
        <w:spacing w:after="160"/>
      </w:pPr>
      <w:r>
        <w:rPr>
          <w:color w:val="F28C28"/>
          <w:sz w:val="22"/>
        </w:rPr>
        <w:t>Every sensitive document action leaves a trace</w:t>
      </w:r>
    </w:p>
    <w:p>
      <w:r>
        <w:rPr>
          <w:b/>
          <w:color w:val="F28C28"/>
        </w:rPr>
        <w:t>Visual Design &amp; Graphic Ideas</w:t>
      </w:r>
    </w:p>
    <w:p>
      <w:pPr>
        <w:ind w:left="288"/>
      </w:pPr>
      <w:r>
        <w:t>Show an event timeline: LOGIN, SEARCH, VIEW, DOWNLOAD, SHARE, REVOKE. Add an inspection panel with actor, session, client IP, timestamp, resource, result and raw JSON trace.</w:t>
      </w:r>
    </w:p>
    <w:p>
      <w:r>
        <w:rPr>
          <w:b/>
          <w:color w:val="F28C28"/>
        </w:rPr>
        <w:t>Core Bullet Points</w:t>
      </w:r>
    </w:p>
    <w:p>
      <w:pPr>
        <w:pStyle w:val="ListBullet"/>
        <w:spacing w:after="60"/>
      </w:pPr>
      <w:r>
        <w:t>Real-time audit capture.</w:t>
      </w:r>
    </w:p>
    <w:p>
      <w:pPr>
        <w:pStyle w:val="ListBullet"/>
        <w:spacing w:after="60"/>
      </w:pPr>
      <w:r>
        <w:t>Actor username and session type.</w:t>
      </w:r>
    </w:p>
    <w:p>
      <w:pPr>
        <w:pStyle w:val="ListBullet"/>
        <w:spacing w:after="60"/>
      </w:pPr>
      <w:r>
        <w:t>Client IP resolution and user-agent context.</w:t>
      </w:r>
    </w:p>
    <w:p>
      <w:pPr>
        <w:pStyle w:val="ListBullet"/>
        <w:spacing w:after="60"/>
      </w:pPr>
      <w:r>
        <w:t>Document/folder/resource context.</w:t>
      </w:r>
    </w:p>
    <w:p>
      <w:pPr>
        <w:pStyle w:val="ListBullet"/>
        <w:spacing w:after="60"/>
      </w:pPr>
      <w:r>
        <w:t>Action, result and structured JSON metadata.</w:t>
      </w:r>
    </w:p>
    <w:p>
      <w:pPr>
        <w:pStyle w:val="ListBullet"/>
        <w:spacing w:after="60"/>
      </w:pPr>
      <w:r>
        <w:t>Administrative inspection capability.</w:t>
      </w:r>
    </w:p>
    <w:p>
      <w:pPr>
        <w:pStyle w:val="ListBullet"/>
        <w:spacing w:after="60"/>
      </w:pPr>
      <w:r>
        <w:t>Tamper-evident audit architecture.</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Actor + Action + Time + Resource + Session Context</w:t>
            </w:r>
          </w:p>
        </w:tc>
      </w:tr>
    </w:tbl>
    <w:p/>
    <w:p>
      <w:r>
        <w:rPr>
          <w:b/>
          <w:color w:val="F28C28"/>
        </w:rPr>
        <w:t>Speaker Notes</w:t>
      </w:r>
    </w:p>
    <w:p>
      <w:pPr>
        <w:spacing w:after="160"/>
        <w:ind w:left="288"/>
      </w:pPr>
      <w:r>
        <w:t>Auditability is a first-class capability. Every sensitive action records actor, resource, time, session and structured metadata. Stronger WORM immutability can be added where required.</w:t>
      </w:r>
    </w:p>
    <w:p>
      <w:r>
        <w:br w:type="page"/>
      </w:r>
    </w:p>
    <w:p>
      <w:pPr>
        <w:spacing w:before="160"/>
      </w:pPr>
      <w:r>
        <w:rPr>
          <w:b/>
          <w:color w:val="1F2937"/>
          <w:sz w:val="40"/>
        </w:rPr>
        <w:t>SLIDE 12  |  External Secure Sharing</w:t>
      </w:r>
    </w:p>
    <w:p>
      <w:pPr>
        <w:spacing w:after="160"/>
      </w:pPr>
      <w:r>
        <w:rPr>
          <w:color w:val="F28C28"/>
          <w:sz w:val="22"/>
        </w:rPr>
        <w:t>Controlled collaboration without losing governance</w:t>
      </w:r>
    </w:p>
    <w:p>
      <w:r>
        <w:rPr>
          <w:b/>
          <w:color w:val="F28C28"/>
        </w:rPr>
        <w:t>Visual Design &amp; Graphic Ideas</w:t>
      </w:r>
    </w:p>
    <w:p>
      <w:pPr>
        <w:ind w:left="288"/>
      </w:pPr>
      <w:r>
        <w:t>Show Internal User → Secure Token → PIN + Expiry → External User. Add policy chips for Read-only, Download, Print, Watermark and Revoke.</w:t>
      </w:r>
    </w:p>
    <w:p>
      <w:r>
        <w:rPr>
          <w:b/>
          <w:color w:val="F28C28"/>
        </w:rPr>
        <w:t>Core Bullet Points</w:t>
      </w:r>
    </w:p>
    <w:p>
      <w:pPr>
        <w:pStyle w:val="ListBullet"/>
        <w:spacing w:after="60"/>
      </w:pPr>
      <w:r>
        <w:t>Tokenized document sharing.</w:t>
      </w:r>
    </w:p>
    <w:p>
      <w:pPr>
        <w:pStyle w:val="ListBullet"/>
        <w:spacing w:after="60"/>
      </w:pPr>
      <w:r>
        <w:t>PIN-protected access.</w:t>
      </w:r>
    </w:p>
    <w:p>
      <w:pPr>
        <w:pStyle w:val="ListBullet"/>
        <w:spacing w:after="60"/>
      </w:pPr>
      <w:r>
        <w:t>Time-limited links.</w:t>
      </w:r>
    </w:p>
    <w:p>
      <w:pPr>
        <w:pStyle w:val="ListBullet"/>
        <w:spacing w:after="60"/>
      </w:pPr>
      <w:r>
        <w:t>Read-only option.</w:t>
      </w:r>
    </w:p>
    <w:p>
      <w:pPr>
        <w:pStyle w:val="ListBullet"/>
        <w:spacing w:after="60"/>
      </w:pPr>
      <w:r>
        <w:t>Watermarking.</w:t>
      </w:r>
    </w:p>
    <w:p>
      <w:pPr>
        <w:pStyle w:val="ListBullet"/>
        <w:spacing w:after="60"/>
      </w:pPr>
      <w:r>
        <w:t>Download/print restrictions.</w:t>
      </w:r>
    </w:p>
    <w:p>
      <w:pPr>
        <w:pStyle w:val="ListBullet"/>
        <w:spacing w:after="60"/>
      </w:pPr>
      <w:r>
        <w:t>Access logging and immediate revocation.</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Secure Share = Token + PIN + Expiry + Policy</w:t>
            </w:r>
          </w:p>
        </w:tc>
      </w:tr>
    </w:tbl>
    <w:p/>
    <w:p>
      <w:r>
        <w:rPr>
          <w:b/>
          <w:color w:val="F28C28"/>
        </w:rPr>
        <w:t>Speaker Notes</w:t>
      </w:r>
    </w:p>
    <w:p>
      <w:pPr>
        <w:spacing w:after="160"/>
        <w:ind w:left="288"/>
      </w:pPr>
      <w:r>
        <w:t>External sharing should not require copying files into uncontrolled channels. A governed sharing layer preserves ownership and auditability.</w:t>
      </w:r>
    </w:p>
    <w:p>
      <w:r>
        <w:br w:type="page"/>
      </w:r>
    </w:p>
    <w:p>
      <w:pPr>
        <w:spacing w:before="160"/>
      </w:pPr>
      <w:r>
        <w:rPr>
          <w:b/>
          <w:color w:val="1F2937"/>
          <w:sz w:val="40"/>
        </w:rPr>
        <w:t>SLIDE 13  |  Enterprise Scalability, Security &amp; Production Deployment</w:t>
      </w:r>
    </w:p>
    <w:p>
      <w:pPr>
        <w:spacing w:after="160"/>
      </w:pPr>
      <w:r>
        <w:rPr>
          <w:color w:val="F28C28"/>
          <w:sz w:val="22"/>
        </w:rPr>
        <w:t>Designed to scale from departmental deployment to enterprise platform</w:t>
      </w:r>
    </w:p>
    <w:p>
      <w:r>
        <w:rPr>
          <w:b/>
          <w:color w:val="F28C28"/>
        </w:rPr>
        <w:t>Visual Design &amp; Graphic Ideas</w:t>
      </w:r>
    </w:p>
    <w:p>
      <w:pPr>
        <w:ind w:left="288"/>
      </w:pPr>
      <w:r>
        <w:t>Deployment diagram: Load Balancer/WAF → multiple stateless EDMS instances → PostgreSQL/OpenSearch/Queue → Local/NAS/Cloud. Add capability cards for scaling, security and operations.</w:t>
      </w:r>
    </w:p>
    <w:p>
      <w:r>
        <w:rPr>
          <w:b/>
          <w:color w:val="F28C28"/>
        </w:rPr>
        <w:t>Core Bullet Points</w:t>
      </w:r>
    </w:p>
    <w:p>
      <w:pPr>
        <w:pStyle w:val="ListBullet"/>
        <w:spacing w:after="60"/>
      </w:pPr>
      <w:r>
        <w:t>Stateless application tier and horizontal scaling.</w:t>
      </w:r>
    </w:p>
    <w:p>
      <w:pPr>
        <w:pStyle w:val="ListBullet"/>
        <w:spacing w:after="60"/>
      </w:pPr>
      <w:r>
        <w:t>Asynchronous OCR and processing.</w:t>
      </w:r>
    </w:p>
    <w:p>
      <w:pPr>
        <w:pStyle w:val="ListBullet"/>
        <w:spacing w:after="60"/>
      </w:pPr>
      <w:r>
        <w:t>Scalable search and object storage.</w:t>
      </w:r>
    </w:p>
    <w:p>
      <w:pPr>
        <w:pStyle w:val="ListBullet"/>
        <w:spacing w:after="60"/>
      </w:pPr>
      <w:r>
        <w:t>Docker/Kubernetes-ready deployment.</w:t>
      </w:r>
    </w:p>
    <w:p>
      <w:pPr>
        <w:pStyle w:val="ListBullet"/>
        <w:spacing w:after="60"/>
      </w:pPr>
      <w:r>
        <w:t>TLS, secure tokens, private storage, secrets management and SHA-256 verification.</w:t>
      </w:r>
    </w:p>
    <w:p>
      <w:pPr>
        <w:pStyle w:val="ListBullet"/>
        <w:spacing w:after="60"/>
      </w:pPr>
      <w:r>
        <w:t>Health checks, observability, backups and disaster recovery.</w:t>
      </w:r>
    </w:p>
    <w:p>
      <w:pPr>
        <w:pStyle w:val="ListBullet"/>
        <w:spacing w:after="60"/>
      </w:pPr>
      <w:r>
        <w:t>Rolling deployments and configuration-driven infrastructure changes.</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Stateless application + asynchronous processing + scalable storage/search</w:t>
            </w:r>
          </w:p>
        </w:tc>
      </w:tr>
    </w:tbl>
    <w:p/>
    <w:p>
      <w:r>
        <w:rPr>
          <w:b/>
          <w:color w:val="F28C28"/>
        </w:rPr>
        <w:t>Speaker Notes</w:t>
      </w:r>
    </w:p>
    <w:p>
      <w:pPr>
        <w:spacing w:after="160"/>
        <w:ind w:left="288"/>
      </w:pPr>
      <w:r>
        <w:t>Interactive API traffic is separated from heavy document processing. OCR and indexing workloads can scale independently, supporting enterprise bursts such as bulk digitization.</w:t>
      </w:r>
    </w:p>
    <w:p>
      <w:r>
        <w:br w:type="page"/>
      </w:r>
    </w:p>
    <w:p>
      <w:pPr>
        <w:spacing w:before="160"/>
      </w:pPr>
      <w:r>
        <w:rPr>
          <w:b/>
          <w:color w:val="1F2937"/>
          <w:sz w:val="40"/>
        </w:rPr>
        <w:t>SLIDE 14  |  Conclusion, Business Value &amp; Roadmap</w:t>
      </w:r>
    </w:p>
    <w:p>
      <w:pPr>
        <w:spacing w:after="160"/>
      </w:pPr>
      <w:r>
        <w:rPr>
          <w:color w:val="F28C28"/>
          <w:sz w:val="22"/>
        </w:rPr>
        <w:t>From document repository to enterprise information platform</w:t>
      </w:r>
    </w:p>
    <w:p>
      <w:r>
        <w:rPr>
          <w:b/>
          <w:color w:val="F28C28"/>
        </w:rPr>
        <w:t>Visual Design &amp; Graphic Ideas</w:t>
      </w:r>
    </w:p>
    <w:p>
      <w:pPr>
        <w:ind w:left="288"/>
      </w:pPr>
      <w:r>
        <w:t>Use three horizons: TODAY, NEXT, FUTURE. Finish with a full-width business-value banner.</w:t>
      </w:r>
    </w:p>
    <w:p>
      <w:r>
        <w:rPr>
          <w:b/>
          <w:color w:val="F28C28"/>
        </w:rPr>
        <w:t>Core Bullet Points</w:t>
      </w:r>
    </w:p>
    <w:p>
      <w:pPr>
        <w:pStyle w:val="ListBullet"/>
        <w:spacing w:after="60"/>
      </w:pPr>
      <w:r>
        <w:t>TODAY: Core repository, folders, scanner/mobile capture, OCR, full-text search, governance and audit.</w:t>
      </w:r>
    </w:p>
    <w:p>
      <w:pPr>
        <w:pStyle w:val="ListBullet"/>
        <w:spacing w:after="60"/>
      </w:pPr>
      <w:r>
        <w:t>NEXT: Semantic search, advanced RBAC, secure sharing, DICOM/enterprise integrations and analytics.</w:t>
      </w:r>
    </w:p>
    <w:p>
      <w:pPr>
        <w:pStyle w:val="ListBullet"/>
        <w:spacing w:after="60"/>
      </w:pPr>
      <w:r>
        <w:t>FUTURE: AI document assistant, intelligent classification, automated metadata extraction, predictive retention and enterprise knowledge platform.</w:t>
      </w:r>
    </w:p>
    <w:p>
      <w:pPr>
        <w:pStyle w:val="ListBullet"/>
        <w:spacing w:after="60"/>
      </w:pPr>
      <w:r>
        <w:t>Business value: faster retrieval, lower manual handling, stronger governance, improved audit readiness and scalable digital foundation.</w:t>
      </w:r>
    </w:p>
    <w:tbl>
      <w:tblPr>
        <w:tblW w:type="auto" w:w="0"/>
        <w:jc w:val="center"/>
        <w:tblLook w:firstColumn="1" w:firstRow="1" w:lastColumn="0" w:lastRow="0" w:noHBand="0" w:noVBand="1" w:val="04A0"/>
      </w:tblPr>
      <w:tblGrid>
        <w:gridCol w:w="10080"/>
      </w:tblGrid>
      <w:tr>
        <w:tc>
          <w:tcPr>
            <w:tcW w:type="dxa" w:w="10080"/>
            <w:shd w:fill="FFF3E3"/>
          </w:tcPr>
          <w:p>
            <w:r>
              <w:rPr>
                <w:b/>
                <w:color w:val="F28C28"/>
              </w:rPr>
              <w:t xml:space="preserve">KEY TECHNICAL CALLOUT / METRIC  </w:t>
            </w:r>
            <w:r>
              <w:rPr>
                <w:b/>
                <w:color w:val="1F2937"/>
              </w:rPr>
              <w:t>Capture Anything • Find Anything • Control Everything</w:t>
            </w:r>
          </w:p>
        </w:tc>
      </w:tr>
    </w:tbl>
    <w:p/>
    <w:p>
      <w:r>
        <w:rPr>
          <w:b/>
          <w:color w:val="F28C28"/>
        </w:rPr>
        <w:t>Speaker Notes</w:t>
      </w:r>
    </w:p>
    <w:p>
      <w:pPr>
        <w:spacing w:after="160"/>
        <w:ind w:left="288"/>
      </w:pPr>
      <w:r>
        <w:t>EDMS is the foundation for an enterprise information platform. Immediate value comes from faster retrieval, better control and lower manual effort; the architecture creates a path toward semantic search, integrations and AI-assisted document intelligence.</w:t>
      </w:r>
    </w:p>
    <w:p>
      <w:r>
        <w:br w:type="page"/>
      </w:r>
    </w:p>
    <w:p>
      <w:r>
        <w:rPr>
          <w:b/>
          <w:color w:val="1F2937"/>
          <w:sz w:val="44"/>
        </w:rPr>
        <w:t>Technical Stack Reference</w:t>
      </w:r>
    </w:p>
    <w:tbl>
      <w:tblPr>
        <w:tblW w:type="auto" w:w="0"/>
        <w:jc w:val="center"/>
        <w:tblLook w:firstColumn="1" w:firstRow="1" w:lastColumn="0" w:lastRow="0" w:noHBand="0" w:noVBand="1" w:val="04A0"/>
      </w:tblPr>
      <w:tblGrid>
        <w:gridCol w:w="5040"/>
        <w:gridCol w:w="5040"/>
      </w:tblGrid>
      <w:tr>
        <w:tc>
          <w:tcPr>
            <w:tcW w:type="dxa" w:w="5040"/>
            <w:shd w:fill="F28C28"/>
            <w:vAlign w:val="center"/>
          </w:tcPr>
          <w:p>
            <w:r/>
            <w:r>
              <w:rPr>
                <w:rFonts w:ascii="Aptos" w:hAnsi="Aptos"/>
                <w:b/>
                <w:color w:val="FFFFFF"/>
                <w:sz w:val="20"/>
              </w:rPr>
              <w:t>Layer</w:t>
            </w:r>
          </w:p>
        </w:tc>
        <w:tc>
          <w:tcPr>
            <w:tcW w:type="dxa" w:w="5040"/>
            <w:shd w:fill="F28C28"/>
            <w:vAlign w:val="center"/>
          </w:tcPr>
          <w:p>
            <w:r/>
            <w:r>
              <w:rPr>
                <w:rFonts w:ascii="Aptos" w:hAnsi="Aptos"/>
                <w:b/>
                <w:color w:val="FFFFFF"/>
                <w:sz w:val="20"/>
              </w:rPr>
              <w:t>Technology</w:t>
            </w:r>
          </w:p>
        </w:tc>
      </w:tr>
      <w:tr>
        <w:tc>
          <w:tcPr>
            <w:tcW w:type="dxa" w:w="5040"/>
            <w:vAlign w:val="center"/>
            <w:shd w:fill="FFF3E3"/>
          </w:tcPr>
          <w:p>
            <w:r/>
            <w:r>
              <w:rPr>
                <w:rFonts w:ascii="Aptos" w:hAnsi="Aptos"/>
                <w:b/>
                <w:color w:val="1F2937"/>
                <w:sz w:val="19"/>
              </w:rPr>
              <w:t>Frontend</w:t>
            </w:r>
          </w:p>
        </w:tc>
        <w:tc>
          <w:tcPr>
            <w:tcW w:type="dxa" w:w="5040"/>
            <w:vAlign w:val="center"/>
          </w:tcPr>
          <w:p>
            <w:r/>
            <w:r>
              <w:rPr>
                <w:rFonts w:ascii="Aptos" w:hAnsi="Aptos"/>
                <w:b w:val="0"/>
                <w:color w:val="1F2937"/>
                <w:sz w:val="19"/>
              </w:rPr>
              <w:t>Next.js 14 (App Router), React, TypeScript, TailwindCSS / Vanilla CSS, Zustand</w:t>
            </w:r>
          </w:p>
        </w:tc>
      </w:tr>
      <w:tr>
        <w:tc>
          <w:tcPr>
            <w:tcW w:type="dxa" w:w="5040"/>
            <w:vAlign w:val="center"/>
            <w:shd w:fill="FFF3E3"/>
          </w:tcPr>
          <w:p>
            <w:r/>
            <w:r>
              <w:rPr>
                <w:rFonts w:ascii="Aptos" w:hAnsi="Aptos"/>
                <w:b/>
                <w:color w:val="1F2937"/>
                <w:sz w:val="19"/>
              </w:rPr>
              <w:t>Backend</w:t>
            </w:r>
          </w:p>
        </w:tc>
        <w:tc>
          <w:tcPr>
            <w:tcW w:type="dxa" w:w="5040"/>
            <w:vAlign w:val="center"/>
          </w:tcPr>
          <w:p>
            <w:r/>
            <w:r>
              <w:rPr>
                <w:rFonts w:ascii="Aptos" w:hAnsi="Aptos"/>
                <w:b w:val="0"/>
                <w:color w:val="1F2937"/>
                <w:sz w:val="19"/>
              </w:rPr>
              <w:t>Java 21, Spring Boot 3.3.x, Spring Data JPA, Hibernate</w:t>
            </w:r>
          </w:p>
        </w:tc>
      </w:tr>
      <w:tr>
        <w:tc>
          <w:tcPr>
            <w:tcW w:type="dxa" w:w="5040"/>
            <w:vAlign w:val="center"/>
            <w:shd w:fill="FFF3E3"/>
          </w:tcPr>
          <w:p>
            <w:r/>
            <w:r>
              <w:rPr>
                <w:rFonts w:ascii="Aptos" w:hAnsi="Aptos"/>
                <w:b/>
                <w:color w:val="1F2937"/>
                <w:sz w:val="19"/>
              </w:rPr>
              <w:t>Document Processing</w:t>
            </w:r>
          </w:p>
        </w:tc>
        <w:tc>
          <w:tcPr>
            <w:tcW w:type="dxa" w:w="5040"/>
            <w:vAlign w:val="center"/>
          </w:tcPr>
          <w:p>
            <w:r/>
            <w:r>
              <w:rPr>
                <w:rFonts w:ascii="Aptos" w:hAnsi="Aptos"/>
                <w:b w:val="0"/>
                <w:color w:val="1F2937"/>
                <w:sz w:val="19"/>
              </w:rPr>
              <w:t>Apache PDFBox, Apache Tika, Tesseract OCR</w:t>
            </w:r>
          </w:p>
        </w:tc>
      </w:tr>
      <w:tr>
        <w:tc>
          <w:tcPr>
            <w:tcW w:type="dxa" w:w="5040"/>
            <w:vAlign w:val="center"/>
            <w:shd w:fill="FFF3E3"/>
          </w:tcPr>
          <w:p>
            <w:r/>
            <w:r>
              <w:rPr>
                <w:rFonts w:ascii="Aptos" w:hAnsi="Aptos"/>
                <w:b/>
                <w:color w:val="1F2937"/>
                <w:sz w:val="19"/>
              </w:rPr>
              <w:t>Search &amp; Analytics</w:t>
            </w:r>
          </w:p>
        </w:tc>
        <w:tc>
          <w:tcPr>
            <w:tcW w:type="dxa" w:w="5040"/>
            <w:vAlign w:val="center"/>
          </w:tcPr>
          <w:p>
            <w:r/>
            <w:r>
              <w:rPr>
                <w:rFonts w:ascii="Aptos" w:hAnsi="Aptos"/>
                <w:b w:val="0"/>
                <w:color w:val="1F2937"/>
                <w:sz w:val="19"/>
              </w:rPr>
              <w:t>OpenSearch / Elasticsearch</w:t>
            </w:r>
          </w:p>
        </w:tc>
      </w:tr>
      <w:tr>
        <w:tc>
          <w:tcPr>
            <w:tcW w:type="dxa" w:w="5040"/>
            <w:vAlign w:val="center"/>
            <w:shd w:fill="FFF3E3"/>
          </w:tcPr>
          <w:p>
            <w:r/>
            <w:r>
              <w:rPr>
                <w:rFonts w:ascii="Aptos" w:hAnsi="Aptos"/>
                <w:b/>
                <w:color w:val="1F2937"/>
                <w:sz w:val="19"/>
              </w:rPr>
              <w:t>Database</w:t>
            </w:r>
          </w:p>
        </w:tc>
        <w:tc>
          <w:tcPr>
            <w:tcW w:type="dxa" w:w="5040"/>
            <w:vAlign w:val="center"/>
          </w:tcPr>
          <w:p>
            <w:r/>
            <w:r>
              <w:rPr>
                <w:rFonts w:ascii="Aptos" w:hAnsi="Aptos"/>
                <w:b w:val="0"/>
                <w:color w:val="1F2937"/>
                <w:sz w:val="19"/>
              </w:rPr>
              <w:t>PostgreSQL, Flyway migrations</w:t>
            </w:r>
          </w:p>
        </w:tc>
      </w:tr>
      <w:tr>
        <w:tc>
          <w:tcPr>
            <w:tcW w:type="dxa" w:w="5040"/>
            <w:vAlign w:val="center"/>
            <w:shd w:fill="FFF3E3"/>
          </w:tcPr>
          <w:p>
            <w:r/>
            <w:r>
              <w:rPr>
                <w:rFonts w:ascii="Aptos" w:hAnsi="Aptos"/>
                <w:b/>
                <w:color w:val="1F2937"/>
                <w:sz w:val="19"/>
              </w:rPr>
              <w:t>Scanner Agent</w:t>
            </w:r>
          </w:p>
        </w:tc>
        <w:tc>
          <w:tcPr>
            <w:tcW w:type="dxa" w:w="5040"/>
            <w:vAlign w:val="center"/>
          </w:tcPr>
          <w:p>
            <w:r/>
            <w:r>
              <w:rPr>
                <w:rFonts w:ascii="Aptos" w:hAnsi="Aptos"/>
                <w:b w:val="0"/>
                <w:color w:val="1F2937"/>
                <w:sz w:val="19"/>
              </w:rPr>
              <w:t>Go daemon, TWAIN / SANE</w:t>
            </w:r>
          </w:p>
        </w:tc>
      </w:tr>
      <w:tr>
        <w:tc>
          <w:tcPr>
            <w:tcW w:type="dxa" w:w="5040"/>
            <w:vAlign w:val="center"/>
            <w:shd w:fill="FFF3E3"/>
          </w:tcPr>
          <w:p>
            <w:r/>
            <w:r>
              <w:rPr>
                <w:rFonts w:ascii="Aptos" w:hAnsi="Aptos"/>
                <w:b/>
                <w:color w:val="1F2937"/>
                <w:sz w:val="19"/>
              </w:rPr>
              <w:t>Storage</w:t>
            </w:r>
          </w:p>
        </w:tc>
        <w:tc>
          <w:tcPr>
            <w:tcW w:type="dxa" w:w="5040"/>
            <w:vAlign w:val="center"/>
          </w:tcPr>
          <w:p>
            <w:r/>
            <w:r>
              <w:rPr>
                <w:rFonts w:ascii="Aptos" w:hAnsi="Aptos"/>
                <w:b w:val="0"/>
                <w:color w:val="1F2937"/>
                <w:sz w:val="19"/>
              </w:rPr>
              <w:t>Local Disk, NAS via NFS/SMB, S3 / MinIO / SeaweedFS</w:t>
            </w:r>
          </w:p>
        </w:tc>
      </w:tr>
      <w:tr>
        <w:tc>
          <w:tcPr>
            <w:tcW w:type="dxa" w:w="5040"/>
            <w:vAlign w:val="center"/>
            <w:shd w:fill="FFF3E3"/>
          </w:tcPr>
          <w:p>
            <w:r/>
            <w:r>
              <w:rPr>
                <w:rFonts w:ascii="Aptos" w:hAnsi="Aptos"/>
                <w:b/>
                <w:color w:val="1F2937"/>
                <w:sz w:val="19"/>
              </w:rPr>
              <w:t>Security &amp; Governance</w:t>
            </w:r>
          </w:p>
        </w:tc>
        <w:tc>
          <w:tcPr>
            <w:tcW w:type="dxa" w:w="5040"/>
            <w:vAlign w:val="center"/>
          </w:tcPr>
          <w:p>
            <w:r/>
            <w:r>
              <w:rPr>
                <w:rFonts w:ascii="Aptos" w:hAnsi="Aptos"/>
                <w:b w:val="0"/>
                <w:color w:val="1F2937"/>
                <w:sz w:val="19"/>
              </w:rPr>
              <w:t>RBAC, temporary sessions, tokenized sharing, PIN, audit trail</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F28C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F28C2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Arkaa Digital — EDMS Executive Document</dc:title>
  <dc:subject>White and Orange Executive Architecture &amp; Product Overview</dc:subject>
  <dc:creator>Arkaa Digital</dc:creator>
  <cp:keywords>EDMS, Enterprise Document Management, OCR, RBAC, OpenSearch, Storage, Scanner</cp:keywords>
  <dc:description>generated by python-docx</dc:description>
  <cp:lastModifiedBy/>
  <cp:revision>1</cp:revision>
  <dcterms:created xsi:type="dcterms:W3CDTF">2013-12-23T23:15:00Z</dcterms:created>
  <dcterms:modified xsi:type="dcterms:W3CDTF">2013-12-23T23:15:00Z</dcterms:modified>
  <cp:category/>
</cp:coreProperties>
</file>