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EF008" w14:textId="77777777" w:rsidR="00325101" w:rsidRPr="00325101" w:rsidRDefault="00325101" w:rsidP="00325101">
      <w:pPr>
        <w:shd w:val="clear" w:color="auto" w:fill="FFFFFF"/>
        <w:spacing w:line="240" w:lineRule="auto"/>
        <w:outlineLvl w:val="0"/>
        <w:rPr>
          <w:rFonts w:ascii="Salesforce Sans" w:eastAsia="Times New Roman" w:hAnsi="Salesforce Sans" w:cs="Times New Roman"/>
          <w:color w:val="555555"/>
          <w:kern w:val="36"/>
          <w:sz w:val="62"/>
          <w:szCs w:val="62"/>
        </w:rPr>
      </w:pPr>
      <w:r w:rsidRPr="00325101">
        <w:rPr>
          <w:rFonts w:ascii="Salesforce Sans" w:eastAsia="Times New Roman" w:hAnsi="Salesforce Sans" w:cs="Times New Roman"/>
          <w:color w:val="555555"/>
          <w:kern w:val="36"/>
          <w:sz w:val="62"/>
          <w:szCs w:val="62"/>
        </w:rPr>
        <w:t>Configuring Data Sources for Cards Components</w:t>
      </w:r>
    </w:p>
    <w:p w14:paraId="3B5B4224" w14:textId="77777777" w:rsidR="00325101" w:rsidRPr="00325101" w:rsidRDefault="00325101" w:rsidP="00325101">
      <w:pPr>
        <w:shd w:val="clear" w:color="auto" w:fill="FFFFFF"/>
        <w:spacing w:after="336" w:line="240" w:lineRule="auto"/>
        <w:rPr>
          <w:rFonts w:ascii="Salesforce Sans" w:eastAsia="Times New Roman" w:hAnsi="Salesforce Sans" w:cs="Times New Roman"/>
          <w:color w:val="555555"/>
          <w:sz w:val="24"/>
          <w:szCs w:val="24"/>
        </w:rPr>
      </w:pPr>
      <w:r w:rsidRPr="00325101">
        <w:rPr>
          <w:rFonts w:ascii="Salesforce Sans" w:eastAsia="Times New Roman" w:hAnsi="Salesforce Sans" w:cs="Times New Roman"/>
          <w:color w:val="555555"/>
          <w:sz w:val="24"/>
          <w:szCs w:val="24"/>
        </w:rPr>
        <w:t>Configure a data source on a card, layout, or flyout to retrieve data from a Salesforce object or an external database. Display the returned data on cards in a layout or flyout.</w:t>
      </w:r>
    </w:p>
    <w:p w14:paraId="370533BF" w14:textId="77777777" w:rsidR="00325101" w:rsidRPr="00325101" w:rsidRDefault="00325101" w:rsidP="00325101">
      <w:pPr>
        <w:shd w:val="clear" w:color="auto" w:fill="FFFFFF"/>
        <w:spacing w:after="336" w:line="240" w:lineRule="auto"/>
        <w:rPr>
          <w:rFonts w:ascii="Salesforce Sans" w:eastAsia="Times New Roman" w:hAnsi="Salesforce Sans" w:cs="Times New Roman"/>
          <w:color w:val="555555"/>
          <w:sz w:val="24"/>
          <w:szCs w:val="24"/>
        </w:rPr>
      </w:pPr>
      <w:r w:rsidRPr="00325101">
        <w:rPr>
          <w:rFonts w:ascii="Salesforce Sans" w:eastAsia="Times New Roman" w:hAnsi="Salesforce Sans" w:cs="Times New Roman"/>
          <w:color w:val="555555"/>
          <w:sz w:val="24"/>
          <w:szCs w:val="24"/>
        </w:rPr>
        <w:t>Cards can have data sources independent of the layout or flyout data source.</w:t>
      </w:r>
    </w:p>
    <w:p w14:paraId="212970A8" w14:textId="77777777" w:rsidR="00325101" w:rsidRDefault="00325101" w:rsidP="00325101">
      <w:pPr>
        <w:pStyle w:val="Heading2"/>
        <w:shd w:val="clear" w:color="auto" w:fill="FFFFFF"/>
        <w:spacing w:before="288" w:after="240"/>
        <w:rPr>
          <w:rFonts w:ascii="Salesforce Sans" w:hAnsi="Salesforce Sans"/>
          <w:color w:val="555555"/>
          <w:sz w:val="51"/>
          <w:szCs w:val="51"/>
        </w:rPr>
      </w:pPr>
      <w:r>
        <w:rPr>
          <w:rFonts w:ascii="Salesforce Sans" w:hAnsi="Salesforce Sans"/>
          <w:b/>
          <w:bCs/>
          <w:color w:val="555555"/>
          <w:sz w:val="51"/>
          <w:szCs w:val="51"/>
        </w:rPr>
        <w:t>Data Source Types</w:t>
      </w:r>
    </w:p>
    <w:p w14:paraId="4DD3A6E9" w14:textId="77777777" w:rsidR="00325101" w:rsidRDefault="00325101" w:rsidP="00325101">
      <w:pPr>
        <w:shd w:val="clear" w:color="auto" w:fill="FFFFFF"/>
        <w:spacing w:after="336"/>
        <w:rPr>
          <w:rFonts w:ascii="Salesforce Sans" w:hAnsi="Salesforce Sans"/>
          <w:color w:val="555555"/>
          <w:sz w:val="24"/>
          <w:szCs w:val="24"/>
        </w:rPr>
      </w:pPr>
      <w:r>
        <w:rPr>
          <w:rFonts w:ascii="Salesforce Sans" w:hAnsi="Salesforce Sans"/>
          <w:color w:val="555555"/>
        </w:rPr>
        <w:t>Data sources available for card, layouts, and flyouts include:</w:t>
      </w:r>
    </w:p>
    <w:tbl>
      <w:tblPr>
        <w:tblW w:w="0" w:type="auto"/>
        <w:tblCellMar>
          <w:top w:w="15" w:type="dxa"/>
          <w:left w:w="15" w:type="dxa"/>
          <w:bottom w:w="15" w:type="dxa"/>
          <w:right w:w="15" w:type="dxa"/>
        </w:tblCellMar>
        <w:tblLook w:val="04A0" w:firstRow="1" w:lastRow="0" w:firstColumn="1" w:lastColumn="0" w:noHBand="0" w:noVBand="1"/>
      </w:tblPr>
      <w:tblGrid>
        <w:gridCol w:w="1643"/>
        <w:gridCol w:w="6170"/>
        <w:gridCol w:w="1547"/>
      </w:tblGrid>
      <w:tr w:rsidR="00325101" w14:paraId="084D222A" w14:textId="77777777" w:rsidTr="00325101">
        <w:trPr>
          <w:tblHeader/>
        </w:trPr>
        <w:tc>
          <w:tcPr>
            <w:tcW w:w="0" w:type="auto"/>
            <w:tcBorders>
              <w:top w:val="single" w:sz="6" w:space="0" w:color="DDDDDD"/>
              <w:left w:val="nil"/>
              <w:bottom w:val="single" w:sz="12" w:space="0" w:color="DDDDDD"/>
              <w:right w:val="single" w:sz="6" w:space="0" w:color="DDDDDD"/>
            </w:tcBorders>
            <w:shd w:val="clear" w:color="auto" w:fill="auto"/>
            <w:tcMar>
              <w:top w:w="150" w:type="dxa"/>
              <w:left w:w="150" w:type="dxa"/>
              <w:bottom w:w="150" w:type="dxa"/>
              <w:right w:w="150" w:type="dxa"/>
            </w:tcMar>
            <w:hideMark/>
          </w:tcPr>
          <w:p w14:paraId="4BB7163B" w14:textId="77777777" w:rsidR="00325101" w:rsidRDefault="00325101">
            <w:pPr>
              <w:spacing w:after="0"/>
              <w:jc w:val="center"/>
              <w:rPr>
                <w:rFonts w:ascii="Salesforce Sans" w:hAnsi="Salesforce Sans"/>
                <w:b/>
                <w:bCs/>
              </w:rPr>
            </w:pPr>
            <w:r>
              <w:rPr>
                <w:rFonts w:ascii="Salesforce Sans" w:hAnsi="Salesforce Sans"/>
                <w:b/>
                <w:bCs/>
              </w:rPr>
              <w:t>Data Source 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50" w:type="dxa"/>
              <w:left w:w="150" w:type="dxa"/>
              <w:bottom w:w="150" w:type="dxa"/>
              <w:right w:w="150" w:type="dxa"/>
            </w:tcMar>
            <w:hideMark/>
          </w:tcPr>
          <w:p w14:paraId="49DCAA41" w14:textId="77777777" w:rsidR="00325101" w:rsidRDefault="00325101">
            <w:pPr>
              <w:jc w:val="center"/>
              <w:rPr>
                <w:rFonts w:ascii="Salesforce Sans" w:hAnsi="Salesforce Sans"/>
                <w:b/>
                <w:bCs/>
              </w:rPr>
            </w:pPr>
            <w:r>
              <w:rPr>
                <w:rFonts w:ascii="Salesforce Sans" w:hAnsi="Salesforce Sans"/>
                <w:b/>
                <w:bCs/>
              </w:rPr>
              <w:t>Description</w:t>
            </w:r>
          </w:p>
        </w:tc>
        <w:tc>
          <w:tcPr>
            <w:tcW w:w="0" w:type="auto"/>
            <w:tcBorders>
              <w:top w:val="single" w:sz="6" w:space="0" w:color="DDDDDD"/>
              <w:left w:val="single" w:sz="6" w:space="0" w:color="DDDDDD"/>
              <w:bottom w:val="single" w:sz="12" w:space="0" w:color="DDDDDD"/>
              <w:right w:val="nil"/>
            </w:tcBorders>
            <w:shd w:val="clear" w:color="auto" w:fill="auto"/>
            <w:tcMar>
              <w:top w:w="150" w:type="dxa"/>
              <w:left w:w="150" w:type="dxa"/>
              <w:bottom w:w="150" w:type="dxa"/>
              <w:right w:w="150" w:type="dxa"/>
            </w:tcMar>
            <w:hideMark/>
          </w:tcPr>
          <w:p w14:paraId="317C4AC4" w14:textId="77777777" w:rsidR="00325101" w:rsidRDefault="00325101">
            <w:pPr>
              <w:jc w:val="center"/>
              <w:rPr>
                <w:rFonts w:ascii="Salesforce Sans" w:hAnsi="Salesforce Sans"/>
                <w:b/>
                <w:bCs/>
              </w:rPr>
            </w:pPr>
            <w:r>
              <w:rPr>
                <w:rFonts w:ascii="Salesforce Sans" w:hAnsi="Salesforce Sans"/>
                <w:b/>
                <w:bCs/>
              </w:rPr>
              <w:t>Availability</w:t>
            </w:r>
          </w:p>
        </w:tc>
      </w:tr>
      <w:tr w:rsidR="00325101" w14:paraId="1EBDEAFF"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12245A63" w14:textId="77777777" w:rsidR="00325101" w:rsidRDefault="00325101">
            <w:pPr>
              <w:rPr>
                <w:rFonts w:ascii="Salesforce Sans" w:hAnsi="Salesforce Sans"/>
              </w:rPr>
            </w:pPr>
            <w:hyperlink r:id="rId5" w:tooltip="Configuring an Integration Procedure Data Source" w:history="1">
              <w:r>
                <w:rPr>
                  <w:rStyle w:val="Hyperlink"/>
                  <w:rFonts w:ascii="Salesforce Sans" w:hAnsi="Salesforce Sans"/>
                  <w:b/>
                  <w:bCs/>
                  <w:color w:val="0176D3"/>
                </w:rPr>
                <w:t>Integration Procedures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17AC3320" w14:textId="77777777" w:rsidR="00325101" w:rsidRDefault="00325101">
            <w:pPr>
              <w:spacing w:after="360"/>
              <w:rPr>
                <w:rFonts w:ascii="Salesforce Sans" w:hAnsi="Salesforce Sans"/>
              </w:rPr>
            </w:pPr>
            <w:r>
              <w:rPr>
                <w:rFonts w:ascii="Salesforce Sans" w:hAnsi="Salesforce Sans"/>
              </w:rPr>
              <w:t>Uses a Vlocity Integration Procedure to return data. Integration Procedures are declarative, server-side processes that execute multiple actions in a single server call. See </w:t>
            </w:r>
            <w:hyperlink r:id="rId6" w:tooltip="Integration Procedures" w:history="1">
              <w:r>
                <w:rPr>
                  <w:rStyle w:val="xreftitle"/>
                  <w:rFonts w:ascii="Salesforce Sans" w:hAnsi="Salesforce Sans"/>
                  <w:color w:val="0176D3"/>
                </w:rPr>
                <w:t>Integration Procedures</w:t>
              </w:r>
            </w:hyperlink>
            <w:r>
              <w:rPr>
                <w:rFonts w:ascii="Salesforce Sans" w:hAnsi="Salesforce Sans"/>
              </w:rPr>
              <w:t>.</w:t>
            </w:r>
          </w:p>
          <w:p w14:paraId="44321E14" w14:textId="77777777" w:rsidR="00325101" w:rsidRDefault="00325101" w:rsidP="00325101">
            <w:pPr>
              <w:pStyle w:val="Heading3"/>
              <w:spacing w:before="0" w:after="240"/>
              <w:rPr>
                <w:rFonts w:ascii="Salesforce Sans" w:hAnsi="Salesforce Sans"/>
                <w:sz w:val="29"/>
                <w:szCs w:val="29"/>
              </w:rPr>
            </w:pPr>
            <w:r>
              <w:rPr>
                <w:rFonts w:ascii="Salesforce Sans" w:hAnsi="Salesforce Sans"/>
                <w:b/>
                <w:bCs/>
                <w:sz w:val="29"/>
                <w:szCs w:val="29"/>
              </w:rPr>
              <w:t>Important</w:t>
            </w:r>
          </w:p>
          <w:p w14:paraId="51B8BBBB" w14:textId="77777777" w:rsidR="00325101" w:rsidRDefault="00325101" w:rsidP="00325101">
            <w:pPr>
              <w:spacing w:line="336" w:lineRule="atLeast"/>
              <w:rPr>
                <w:rFonts w:ascii="Salesforce Sans" w:hAnsi="Salesforce Sans"/>
                <w:sz w:val="24"/>
                <w:szCs w:val="24"/>
              </w:rPr>
            </w:pPr>
            <w:r>
              <w:rPr>
                <w:rFonts w:ascii="Salesforce Sans" w:hAnsi="Salesforce Sans"/>
              </w:rPr>
              <w:t>Vlocity recommends using a Vlocity Integration Procedure as a data source for optimal flexibility and easier implementation.</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3706E64D" w14:textId="77777777" w:rsidR="00325101" w:rsidRDefault="00325101">
            <w:pPr>
              <w:spacing w:line="240" w:lineRule="auto"/>
              <w:rPr>
                <w:rFonts w:ascii="Salesforce Sans" w:hAnsi="Salesforce Sans"/>
              </w:rPr>
            </w:pPr>
            <w:r>
              <w:rPr>
                <w:rFonts w:ascii="Salesforce Sans" w:hAnsi="Salesforce Sans"/>
              </w:rPr>
              <w:t>Cards and Layouts</w:t>
            </w:r>
          </w:p>
        </w:tc>
      </w:tr>
      <w:tr w:rsidR="00325101" w14:paraId="6C8A9ABF"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76ECF600" w14:textId="77777777" w:rsidR="00325101" w:rsidRDefault="00325101">
            <w:pPr>
              <w:rPr>
                <w:rFonts w:ascii="Salesforce Sans" w:hAnsi="Salesforce Sans"/>
              </w:rPr>
            </w:pPr>
            <w:hyperlink r:id="rId7" w:tooltip="Configuring an Apex Remote Data Source" w:history="1">
              <w:r>
                <w:rPr>
                  <w:rStyle w:val="Hyperlink"/>
                  <w:rFonts w:ascii="Salesforce Sans" w:hAnsi="Salesforce Sans"/>
                  <w:b/>
                  <w:bCs/>
                  <w:color w:val="0176D3"/>
                </w:rPr>
                <w:t>Apex Remote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7BA65522" w14:textId="77777777" w:rsidR="00325101" w:rsidRDefault="00325101">
            <w:pPr>
              <w:rPr>
                <w:rFonts w:ascii="Salesforce Sans" w:hAnsi="Salesforce Sans"/>
              </w:rPr>
            </w:pPr>
            <w:r>
              <w:rPr>
                <w:rFonts w:ascii="Salesforce Sans" w:hAnsi="Salesforce Sans"/>
              </w:rPr>
              <w:t xml:space="preserve">Uses an Apex Remote class and method to return data. An Apex Remote class is a standard Apex class that implements the </w:t>
            </w:r>
            <w:proofErr w:type="spellStart"/>
            <w:r>
              <w:rPr>
                <w:rFonts w:ascii="Salesforce Sans" w:hAnsi="Salesforce Sans"/>
              </w:rPr>
              <w:t>VlocityOpenInterface</w:t>
            </w:r>
            <w:proofErr w:type="spellEnd"/>
            <w:r>
              <w:rPr>
                <w:rFonts w:ascii="Salesforce Sans" w:hAnsi="Salesforce Sans"/>
              </w:rPr>
              <w:t>.</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371CF25D" w14:textId="77777777" w:rsidR="00325101" w:rsidRDefault="00325101">
            <w:pPr>
              <w:rPr>
                <w:rFonts w:ascii="Salesforce Sans" w:hAnsi="Salesforce Sans"/>
              </w:rPr>
            </w:pPr>
            <w:r>
              <w:rPr>
                <w:rFonts w:ascii="Salesforce Sans" w:hAnsi="Salesforce Sans"/>
              </w:rPr>
              <w:t>Cards and Layouts</w:t>
            </w:r>
          </w:p>
        </w:tc>
      </w:tr>
      <w:tr w:rsidR="00325101" w14:paraId="13CBD99A"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1C5F7DBC" w14:textId="77777777" w:rsidR="00325101" w:rsidRDefault="00325101">
            <w:pPr>
              <w:rPr>
                <w:rFonts w:ascii="Salesforce Sans" w:hAnsi="Salesforce Sans"/>
              </w:rPr>
            </w:pPr>
            <w:hyperlink r:id="rId8" w:tooltip="Configuring an Apex REST Data Source" w:history="1">
              <w:r>
                <w:rPr>
                  <w:rStyle w:val="Hyperlink"/>
                  <w:rFonts w:ascii="Salesforce Sans" w:hAnsi="Salesforce Sans"/>
                  <w:b/>
                  <w:bCs/>
                  <w:color w:val="0176D3"/>
                </w:rPr>
                <w:t>Apex REST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166761F4" w14:textId="77777777" w:rsidR="00325101" w:rsidRDefault="00325101">
            <w:pPr>
              <w:rPr>
                <w:rFonts w:ascii="Salesforce Sans" w:hAnsi="Salesforce Sans"/>
              </w:rPr>
            </w:pPr>
            <w:r>
              <w:rPr>
                <w:rFonts w:ascii="Salesforce Sans" w:hAnsi="Salesforce Sans"/>
              </w:rPr>
              <w:t>Uses a REST endpoint of an Apex class to return data.</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17257A27" w14:textId="77777777" w:rsidR="00325101" w:rsidRDefault="00325101">
            <w:pPr>
              <w:rPr>
                <w:rFonts w:ascii="Salesforce Sans" w:hAnsi="Salesforce Sans"/>
              </w:rPr>
            </w:pPr>
            <w:r>
              <w:rPr>
                <w:rFonts w:ascii="Salesforce Sans" w:hAnsi="Salesforce Sans"/>
              </w:rPr>
              <w:t>Cards and Layouts</w:t>
            </w:r>
          </w:p>
        </w:tc>
      </w:tr>
      <w:tr w:rsidR="00325101" w14:paraId="6924377A"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0E679B9A" w14:textId="77777777" w:rsidR="00325101" w:rsidRDefault="00325101">
            <w:pPr>
              <w:rPr>
                <w:rFonts w:ascii="Salesforce Sans" w:hAnsi="Salesforce Sans"/>
              </w:rPr>
            </w:pPr>
            <w:hyperlink r:id="rId9" w:tooltip="Configuring a DataRaptor Data Source" w:history="1">
              <w:r>
                <w:rPr>
                  <w:rStyle w:val="Hyperlink"/>
                  <w:rFonts w:ascii="Salesforce Sans" w:hAnsi="Salesforce Sans"/>
                  <w:b/>
                  <w:bCs/>
                  <w:color w:val="0176D3"/>
                </w:rPr>
                <w:t>DataRaptor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37C90E54" w14:textId="77777777" w:rsidR="00325101" w:rsidRDefault="00325101">
            <w:pPr>
              <w:rPr>
                <w:rFonts w:ascii="Salesforce Sans" w:hAnsi="Salesforce Sans"/>
              </w:rPr>
            </w:pPr>
            <w:r>
              <w:rPr>
                <w:rFonts w:ascii="Salesforce Sans" w:hAnsi="Salesforce Sans"/>
              </w:rPr>
              <w:t>Uses a Vlocity DataRaptor Extract interface to return data. Field-level security is fully supported. See </w:t>
            </w:r>
            <w:hyperlink r:id="rId10" w:tooltip="DataRaptors" w:history="1">
              <w:r>
                <w:rPr>
                  <w:rStyle w:val="xreftitle"/>
                  <w:rFonts w:ascii="Salesforce Sans" w:hAnsi="Salesforce Sans"/>
                  <w:color w:val="0176D3"/>
                </w:rPr>
                <w:t>DataRaptors</w:t>
              </w:r>
            </w:hyperlink>
            <w:r>
              <w:rPr>
                <w:rFonts w:ascii="Salesforce Sans" w:hAnsi="Salesforce Sans"/>
              </w:rPr>
              <w:t>.</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37378CE0" w14:textId="77777777" w:rsidR="00325101" w:rsidRDefault="00325101">
            <w:pPr>
              <w:rPr>
                <w:rFonts w:ascii="Salesforce Sans" w:hAnsi="Salesforce Sans"/>
              </w:rPr>
            </w:pPr>
            <w:r>
              <w:rPr>
                <w:rFonts w:ascii="Salesforce Sans" w:hAnsi="Salesforce Sans"/>
              </w:rPr>
              <w:t>Cards and Layouts</w:t>
            </w:r>
          </w:p>
        </w:tc>
      </w:tr>
      <w:tr w:rsidR="00325101" w14:paraId="4A08E843"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2D7135D0" w14:textId="77777777" w:rsidR="00325101" w:rsidRDefault="00325101">
            <w:pPr>
              <w:rPr>
                <w:rFonts w:ascii="Salesforce Sans" w:hAnsi="Salesforce Sans"/>
              </w:rPr>
            </w:pPr>
            <w:hyperlink r:id="rId11" w:tooltip="Configuring Dual Data Sources" w:history="1">
              <w:r>
                <w:rPr>
                  <w:rStyle w:val="Hyperlink"/>
                  <w:rFonts w:ascii="Salesforce Sans" w:hAnsi="Salesforce Sans"/>
                  <w:b/>
                  <w:bCs/>
                  <w:color w:val="0176D3"/>
                </w:rPr>
                <w:t>Dual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6B2A3504" w14:textId="77777777" w:rsidR="00325101" w:rsidRDefault="00325101">
            <w:pPr>
              <w:rPr>
                <w:rFonts w:ascii="Salesforce Sans" w:hAnsi="Salesforce Sans"/>
              </w:rPr>
            </w:pPr>
            <w:r>
              <w:rPr>
                <w:rFonts w:ascii="Salesforce Sans" w:hAnsi="Salesforce Sans"/>
              </w:rPr>
              <w:t>Combines Apex Remote and Apex REST technologies to support hybrid applications available for both web and mobile usage. For example, the Salesforce web environment uses Apex Remote technology while its parallel mobile App uses the Apex REST API, requiring configuration for multiple environments.</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4D40CD18" w14:textId="77777777" w:rsidR="00325101" w:rsidRDefault="00325101">
            <w:pPr>
              <w:rPr>
                <w:rFonts w:ascii="Salesforce Sans" w:hAnsi="Salesforce Sans"/>
              </w:rPr>
            </w:pPr>
            <w:r>
              <w:rPr>
                <w:rFonts w:ascii="Salesforce Sans" w:hAnsi="Salesforce Sans"/>
              </w:rPr>
              <w:t>Cards and Layouts</w:t>
            </w:r>
          </w:p>
        </w:tc>
      </w:tr>
      <w:tr w:rsidR="00325101" w14:paraId="261E2336"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52C32450" w14:textId="77777777" w:rsidR="00325101" w:rsidRDefault="00325101">
            <w:pPr>
              <w:rPr>
                <w:rFonts w:ascii="Salesforce Sans" w:hAnsi="Salesforce Sans"/>
              </w:rPr>
            </w:pPr>
            <w:r>
              <w:rPr>
                <w:rStyle w:val="guilabel"/>
                <w:rFonts w:ascii="Salesforce Sans" w:hAnsi="Salesforce Sans"/>
                <w:b/>
                <w:bCs/>
              </w:rPr>
              <w:t>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2354DFF7" w14:textId="77777777" w:rsidR="00325101" w:rsidRDefault="00325101">
            <w:pPr>
              <w:rPr>
                <w:rFonts w:ascii="Salesforce Sans" w:hAnsi="Salesforce Sans"/>
              </w:rPr>
            </w:pPr>
            <w:r>
              <w:rPr>
                <w:rFonts w:ascii="Salesforce Sans" w:hAnsi="Salesforce Sans"/>
              </w:rPr>
              <w:t>On the card or card layout of a flyout, the Parent data source uses data from the parent card or card layout that a flyout is assigned. See </w:t>
            </w:r>
            <w:hyperlink r:id="rId12" w:tooltip="Creating a Flyout" w:history="1">
              <w:r>
                <w:rPr>
                  <w:rStyle w:val="xreftitle"/>
                  <w:rFonts w:ascii="Salesforce Sans" w:hAnsi="Salesforce Sans"/>
                  <w:color w:val="0176D3"/>
                </w:rPr>
                <w:t>Creating a Flyout</w:t>
              </w:r>
            </w:hyperlink>
            <w:r>
              <w:rPr>
                <w:rFonts w:ascii="Salesforce Sans" w:hAnsi="Salesforce Sans"/>
              </w:rPr>
              <w:t>.</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0A20C47A" w14:textId="77777777" w:rsidR="00325101" w:rsidRDefault="00325101">
            <w:pPr>
              <w:rPr>
                <w:rFonts w:ascii="Salesforce Sans" w:hAnsi="Salesforce Sans"/>
              </w:rPr>
            </w:pPr>
            <w:r>
              <w:rPr>
                <w:rFonts w:ascii="Salesforce Sans" w:hAnsi="Salesforce Sans"/>
              </w:rPr>
              <w:t>Flyouts</w:t>
            </w:r>
          </w:p>
        </w:tc>
      </w:tr>
      <w:tr w:rsidR="00325101" w14:paraId="7CB66897"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6D398C81" w14:textId="77777777" w:rsidR="00325101" w:rsidRDefault="00325101">
            <w:pPr>
              <w:rPr>
                <w:rFonts w:ascii="Salesforce Sans" w:hAnsi="Salesforce Sans"/>
              </w:rPr>
            </w:pPr>
            <w:r>
              <w:rPr>
                <w:rStyle w:val="guilabel"/>
                <w:rFonts w:ascii="Salesforce Sans" w:hAnsi="Salesforce Sans"/>
                <w:b/>
                <w:bCs/>
              </w:rPr>
              <w:t>REST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53D0326A" w14:textId="77777777" w:rsidR="00325101" w:rsidRDefault="00325101">
            <w:pPr>
              <w:spacing w:after="360"/>
              <w:rPr>
                <w:rFonts w:ascii="Salesforce Sans" w:hAnsi="Salesforce Sans"/>
              </w:rPr>
            </w:pPr>
            <w:r>
              <w:rPr>
                <w:rFonts w:ascii="Salesforce Sans" w:hAnsi="Salesforce Sans"/>
              </w:rPr>
              <w:t>Uses the standard REST API call to return data. The Vlocity Rest types include:</w:t>
            </w:r>
          </w:p>
          <w:p w14:paraId="752AE897" w14:textId="77777777" w:rsidR="00325101" w:rsidRDefault="00325101" w:rsidP="00325101">
            <w:pPr>
              <w:pStyle w:val="listitem"/>
              <w:numPr>
                <w:ilvl w:val="0"/>
                <w:numId w:val="1"/>
              </w:numPr>
              <w:spacing w:before="0" w:beforeAutospacing="0" w:after="0" w:afterAutospacing="0"/>
              <w:ind w:left="0"/>
              <w:rPr>
                <w:rFonts w:ascii="Salesforce Sans" w:hAnsi="Salesforce Sans"/>
              </w:rPr>
            </w:pPr>
            <w:hyperlink r:id="rId13" w:tooltip="Configuring a REST Web Data Source" w:history="1">
              <w:r>
                <w:rPr>
                  <w:rStyle w:val="Hyperlink"/>
                  <w:rFonts w:ascii="Salesforce Sans" w:hAnsi="Salesforce Sans"/>
                  <w:b/>
                  <w:bCs/>
                  <w:color w:val="0176D3"/>
                </w:rPr>
                <w:t>Web</w:t>
              </w:r>
            </w:hyperlink>
            <w:r>
              <w:rPr>
                <w:rFonts w:ascii="Salesforce Sans" w:hAnsi="Salesforce Sans"/>
              </w:rPr>
              <w:t>: Standard request from the URL of a callout endpoint.</w:t>
            </w:r>
          </w:p>
          <w:p w14:paraId="0A29F221" w14:textId="77777777" w:rsidR="00325101" w:rsidRDefault="00325101" w:rsidP="00325101">
            <w:pPr>
              <w:pStyle w:val="listitem"/>
              <w:numPr>
                <w:ilvl w:val="0"/>
                <w:numId w:val="1"/>
              </w:numPr>
              <w:spacing w:before="0" w:beforeAutospacing="0" w:after="0" w:afterAutospacing="0"/>
              <w:ind w:left="0"/>
              <w:rPr>
                <w:rFonts w:ascii="Salesforce Sans" w:hAnsi="Salesforce Sans"/>
              </w:rPr>
            </w:pPr>
            <w:hyperlink r:id="rId14" w:tooltip="Configuring a REST Data Source Using Named Credentials" w:history="1">
              <w:r>
                <w:rPr>
                  <w:rStyle w:val="Hyperlink"/>
                  <w:rFonts w:ascii="Salesforce Sans" w:hAnsi="Salesforce Sans"/>
                  <w:b/>
                  <w:bCs/>
                  <w:color w:val="0176D3"/>
                </w:rPr>
                <w:t>Named Credentials</w:t>
              </w:r>
            </w:hyperlink>
            <w:r>
              <w:rPr>
                <w:rFonts w:ascii="Salesforce Sans" w:hAnsi="Salesforce Sans"/>
              </w:rPr>
              <w:t>: Specifies the URL of a callout endpoint and its required authentication parameters in one definition.</w:t>
            </w:r>
          </w:p>
          <w:p w14:paraId="063A867A" w14:textId="77777777" w:rsidR="00325101" w:rsidRDefault="00325101" w:rsidP="00325101">
            <w:pPr>
              <w:pStyle w:val="Heading3"/>
              <w:spacing w:before="0" w:after="240"/>
              <w:rPr>
                <w:rFonts w:ascii="Salesforce Sans" w:hAnsi="Salesforce Sans"/>
                <w:sz w:val="29"/>
                <w:szCs w:val="29"/>
              </w:rPr>
            </w:pPr>
            <w:r>
              <w:rPr>
                <w:rFonts w:ascii="Salesforce Sans" w:hAnsi="Salesforce Sans"/>
                <w:b/>
                <w:bCs/>
                <w:sz w:val="29"/>
                <w:szCs w:val="29"/>
              </w:rPr>
              <w:t>Note</w:t>
            </w:r>
          </w:p>
          <w:p w14:paraId="0E45A96D" w14:textId="77777777" w:rsidR="00325101" w:rsidRDefault="00325101" w:rsidP="00325101">
            <w:pPr>
              <w:spacing w:line="336" w:lineRule="atLeast"/>
              <w:rPr>
                <w:rFonts w:ascii="Salesforce Sans" w:hAnsi="Salesforce Sans"/>
                <w:sz w:val="24"/>
                <w:szCs w:val="24"/>
              </w:rPr>
            </w:pPr>
            <w:r>
              <w:rPr>
                <w:rFonts w:ascii="Salesforce Sans" w:hAnsi="Salesforce Sans"/>
              </w:rPr>
              <w:t>Use +Add Header Variables to add any request headers. Most third-party APIs expect various headers such as tokens, public keys, and content-type.</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2181696E" w14:textId="77777777" w:rsidR="00325101" w:rsidRDefault="00325101">
            <w:pPr>
              <w:spacing w:line="240" w:lineRule="auto"/>
              <w:rPr>
                <w:rFonts w:ascii="Salesforce Sans" w:hAnsi="Salesforce Sans"/>
              </w:rPr>
            </w:pPr>
            <w:r>
              <w:rPr>
                <w:rFonts w:ascii="Salesforce Sans" w:hAnsi="Salesforce Sans"/>
              </w:rPr>
              <w:t>Cards and Layouts</w:t>
            </w:r>
          </w:p>
        </w:tc>
      </w:tr>
      <w:tr w:rsidR="00325101" w14:paraId="696DC258"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7CD75B91" w14:textId="77777777" w:rsidR="00325101" w:rsidRDefault="00325101">
            <w:pPr>
              <w:rPr>
                <w:rFonts w:ascii="Salesforce Sans" w:hAnsi="Salesforce Sans"/>
              </w:rPr>
            </w:pPr>
            <w:hyperlink r:id="rId15" w:tooltip="Configuring a SOQL Query Data Source" w:history="1">
              <w:r>
                <w:rPr>
                  <w:rStyle w:val="Hyperlink"/>
                  <w:rFonts w:ascii="Salesforce Sans" w:hAnsi="Salesforce Sans"/>
                  <w:b/>
                  <w:bCs/>
                  <w:color w:val="0176D3"/>
                </w:rPr>
                <w:t>SOQL Query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6CE0CD79" w14:textId="77777777" w:rsidR="00325101" w:rsidRDefault="00325101">
            <w:pPr>
              <w:spacing w:after="360"/>
              <w:rPr>
                <w:rFonts w:ascii="Salesforce Sans" w:hAnsi="Salesforce Sans"/>
              </w:rPr>
            </w:pPr>
            <w:r>
              <w:rPr>
                <w:rFonts w:ascii="Salesforce Sans" w:hAnsi="Salesforce Sans"/>
              </w:rPr>
              <w:t>Uses a </w:t>
            </w:r>
            <w:hyperlink r:id="rId16" w:tgtFrame="_blank" w:history="1">
              <w:r>
                <w:rPr>
                  <w:rStyle w:val="Hyperlink"/>
                  <w:rFonts w:ascii="Salesforce Sans" w:hAnsi="Salesforce Sans"/>
                  <w:color w:val="0176D3"/>
                </w:rPr>
                <w:t>Salesforce Object Query Language (SOQL)</w:t>
              </w:r>
            </w:hyperlink>
            <w:r>
              <w:rPr>
                <w:rFonts w:ascii="Salesforce Sans" w:hAnsi="Salesforce Sans"/>
              </w:rPr>
              <w:t> to search an org's Salesforce data for specific information. For example, </w:t>
            </w:r>
            <w:r>
              <w:rPr>
                <w:rStyle w:val="HTMLCode"/>
                <w:rFonts w:eastAsiaTheme="minorHAnsi"/>
                <w:color w:val="000000"/>
                <w:sz w:val="24"/>
                <w:szCs w:val="24"/>
                <w:bdr w:val="none" w:sz="0" w:space="0" w:color="auto" w:frame="1"/>
              </w:rPr>
              <w:t xml:space="preserve">SELECT </w:t>
            </w:r>
            <w:proofErr w:type="spellStart"/>
            <w:proofErr w:type="gramStart"/>
            <w:r>
              <w:rPr>
                <w:rStyle w:val="HTMLCode"/>
                <w:rFonts w:eastAsiaTheme="minorHAnsi"/>
                <w:color w:val="000000"/>
                <w:sz w:val="24"/>
                <w:szCs w:val="24"/>
                <w:bdr w:val="none" w:sz="0" w:space="0" w:color="auto" w:frame="1"/>
              </w:rPr>
              <w:t>Name,Id</w:t>
            </w:r>
            <w:proofErr w:type="spellEnd"/>
            <w:proofErr w:type="gramEnd"/>
            <w:r>
              <w:rPr>
                <w:rStyle w:val="HTMLCode"/>
                <w:rFonts w:eastAsiaTheme="minorHAnsi"/>
                <w:color w:val="000000"/>
                <w:sz w:val="24"/>
                <w:szCs w:val="24"/>
                <w:bdr w:val="none" w:sz="0" w:space="0" w:color="auto" w:frame="1"/>
              </w:rPr>
              <w:t xml:space="preserve"> FROM Account LIMIT 5</w:t>
            </w:r>
            <w:r>
              <w:rPr>
                <w:rFonts w:ascii="Salesforce Sans" w:hAnsi="Salesforce Sans"/>
              </w:rPr>
              <w:t>.</w:t>
            </w:r>
          </w:p>
          <w:p w14:paraId="07378848" w14:textId="77777777" w:rsidR="00325101" w:rsidRDefault="00325101" w:rsidP="00325101">
            <w:pPr>
              <w:pStyle w:val="Heading3"/>
              <w:spacing w:before="0" w:after="240"/>
              <w:rPr>
                <w:rFonts w:ascii="Salesforce Sans" w:hAnsi="Salesforce Sans"/>
                <w:sz w:val="29"/>
                <w:szCs w:val="29"/>
              </w:rPr>
            </w:pPr>
            <w:r>
              <w:rPr>
                <w:rFonts w:ascii="Salesforce Sans" w:hAnsi="Salesforce Sans"/>
                <w:b/>
                <w:bCs/>
                <w:sz w:val="29"/>
                <w:szCs w:val="29"/>
              </w:rPr>
              <w:t>Note</w:t>
            </w:r>
          </w:p>
          <w:p w14:paraId="7873E63A" w14:textId="77777777" w:rsidR="00325101" w:rsidRDefault="00325101" w:rsidP="00325101">
            <w:pPr>
              <w:spacing w:line="336" w:lineRule="atLeast"/>
              <w:rPr>
                <w:rFonts w:ascii="Salesforce Sans" w:hAnsi="Salesforce Sans"/>
                <w:sz w:val="24"/>
                <w:szCs w:val="24"/>
              </w:rPr>
            </w:pPr>
            <w:r>
              <w:rPr>
                <w:rFonts w:ascii="Salesforce Sans" w:hAnsi="Salesforce Sans"/>
              </w:rPr>
              <w:t>If security is a concern, use a DataRaptor instead of a SOQL query, because DataRaptors fully support field-level security.</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1154487E" w14:textId="77777777" w:rsidR="00325101" w:rsidRDefault="00325101">
            <w:pPr>
              <w:spacing w:line="240" w:lineRule="auto"/>
              <w:rPr>
                <w:rFonts w:ascii="Salesforce Sans" w:hAnsi="Salesforce Sans"/>
              </w:rPr>
            </w:pPr>
            <w:r>
              <w:rPr>
                <w:rFonts w:ascii="Salesforce Sans" w:hAnsi="Salesforce Sans"/>
              </w:rPr>
              <w:t>Cards and Layouts</w:t>
            </w:r>
          </w:p>
        </w:tc>
      </w:tr>
      <w:tr w:rsidR="00325101" w14:paraId="64C9C50A"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32C58921" w14:textId="77777777" w:rsidR="00325101" w:rsidRDefault="00325101">
            <w:pPr>
              <w:rPr>
                <w:rFonts w:ascii="Salesforce Sans" w:hAnsi="Salesforce Sans"/>
              </w:rPr>
            </w:pPr>
            <w:hyperlink r:id="rId17" w:tooltip="Configuring a SOSL Search Data Source" w:history="1">
              <w:r>
                <w:rPr>
                  <w:rStyle w:val="Hyperlink"/>
                  <w:rFonts w:ascii="Salesforce Sans" w:hAnsi="Salesforce Sans"/>
                  <w:b/>
                  <w:bCs/>
                  <w:color w:val="0176D3"/>
                </w:rPr>
                <w:t>SOSL Query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5F2A84B0" w14:textId="77777777" w:rsidR="00325101" w:rsidRDefault="00325101">
            <w:pPr>
              <w:rPr>
                <w:rFonts w:ascii="Salesforce Sans" w:hAnsi="Salesforce Sans"/>
              </w:rPr>
            </w:pPr>
            <w:r>
              <w:rPr>
                <w:rFonts w:ascii="Salesforce Sans" w:hAnsi="Salesforce Sans"/>
              </w:rPr>
              <w:t>Uses a </w:t>
            </w:r>
            <w:hyperlink r:id="rId18" w:tgtFrame="_blank" w:history="1">
              <w:r>
                <w:rPr>
                  <w:rStyle w:val="Hyperlink"/>
                  <w:rFonts w:ascii="Salesforce Sans" w:hAnsi="Salesforce Sans"/>
                  <w:color w:val="0176D3"/>
                </w:rPr>
                <w:t>Salesforce Object Search Language (SOSL)</w:t>
              </w:r>
            </w:hyperlink>
            <w:r>
              <w:rPr>
                <w:rFonts w:ascii="Salesforce Sans" w:hAnsi="Salesforce Sans"/>
              </w:rPr>
              <w:t> to construct text-based search queries against the search index.</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7D313BA3" w14:textId="77777777" w:rsidR="00325101" w:rsidRDefault="00325101">
            <w:pPr>
              <w:rPr>
                <w:rFonts w:ascii="Salesforce Sans" w:hAnsi="Salesforce Sans"/>
              </w:rPr>
            </w:pPr>
            <w:r>
              <w:rPr>
                <w:rFonts w:ascii="Salesforce Sans" w:hAnsi="Salesforce Sans"/>
              </w:rPr>
              <w:t>Cards and Layouts</w:t>
            </w:r>
          </w:p>
        </w:tc>
      </w:tr>
      <w:tr w:rsidR="00325101" w14:paraId="5AF62421" w14:textId="77777777" w:rsidTr="00325101">
        <w:tc>
          <w:tcPr>
            <w:tcW w:w="0" w:type="auto"/>
            <w:tcBorders>
              <w:top w:val="single" w:sz="6" w:space="0" w:color="DDDDDD"/>
              <w:left w:val="nil"/>
              <w:bottom w:val="single" w:sz="6" w:space="0" w:color="DDDDDD"/>
              <w:right w:val="single" w:sz="6" w:space="0" w:color="DDDDDD"/>
            </w:tcBorders>
            <w:shd w:val="clear" w:color="auto" w:fill="auto"/>
            <w:tcMar>
              <w:top w:w="150" w:type="dxa"/>
              <w:left w:w="150" w:type="dxa"/>
              <w:bottom w:w="150" w:type="dxa"/>
              <w:right w:w="150" w:type="dxa"/>
            </w:tcMar>
            <w:hideMark/>
          </w:tcPr>
          <w:p w14:paraId="2B98EEF8" w14:textId="77777777" w:rsidR="00325101" w:rsidRDefault="00325101">
            <w:pPr>
              <w:rPr>
                <w:rFonts w:ascii="Salesforce Sans" w:hAnsi="Salesforce Sans"/>
              </w:rPr>
            </w:pPr>
            <w:r>
              <w:rPr>
                <w:rStyle w:val="guilabel"/>
                <w:rFonts w:ascii="Salesforce Sans" w:hAnsi="Salesforce Sans"/>
                <w:b/>
                <w:bCs/>
              </w:rPr>
              <w:t>Sample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50" w:type="dxa"/>
              <w:left w:w="150" w:type="dxa"/>
              <w:bottom w:w="150" w:type="dxa"/>
              <w:right w:w="150" w:type="dxa"/>
            </w:tcMar>
            <w:hideMark/>
          </w:tcPr>
          <w:p w14:paraId="25146DDF" w14:textId="77777777" w:rsidR="00325101" w:rsidRDefault="00325101">
            <w:pPr>
              <w:rPr>
                <w:rFonts w:ascii="Salesforce Sans" w:hAnsi="Salesforce Sans"/>
              </w:rPr>
            </w:pPr>
            <w:r>
              <w:rPr>
                <w:rFonts w:ascii="Salesforce Sans" w:hAnsi="Salesforce Sans"/>
              </w:rPr>
              <w:t>Uses sample JSON to set up a card with a temporary data source, which will eventually be replaced with another data source. This allows you to embed the custom JSON directly into the layout without depending on external data.</w:t>
            </w:r>
          </w:p>
        </w:tc>
        <w:tc>
          <w:tcPr>
            <w:tcW w:w="0" w:type="auto"/>
            <w:tcBorders>
              <w:top w:val="single" w:sz="6" w:space="0" w:color="DDDDDD"/>
              <w:left w:val="single" w:sz="6" w:space="0" w:color="DDDDDD"/>
              <w:bottom w:val="single" w:sz="6" w:space="0" w:color="DDDDDD"/>
              <w:right w:val="nil"/>
            </w:tcBorders>
            <w:shd w:val="clear" w:color="auto" w:fill="auto"/>
            <w:tcMar>
              <w:top w:w="150" w:type="dxa"/>
              <w:left w:w="150" w:type="dxa"/>
              <w:bottom w:w="150" w:type="dxa"/>
              <w:right w:w="150" w:type="dxa"/>
            </w:tcMar>
            <w:hideMark/>
          </w:tcPr>
          <w:p w14:paraId="1BC7CC52" w14:textId="77777777" w:rsidR="00325101" w:rsidRDefault="00325101">
            <w:pPr>
              <w:rPr>
                <w:rFonts w:ascii="Salesforce Sans" w:hAnsi="Salesforce Sans"/>
              </w:rPr>
            </w:pPr>
            <w:r>
              <w:rPr>
                <w:rFonts w:ascii="Salesforce Sans" w:hAnsi="Salesforce Sans"/>
              </w:rPr>
              <w:t>Cards and Layouts</w:t>
            </w:r>
          </w:p>
        </w:tc>
      </w:tr>
      <w:tr w:rsidR="00325101" w14:paraId="4BCD2DD5" w14:textId="77777777" w:rsidTr="00325101">
        <w:tc>
          <w:tcPr>
            <w:tcW w:w="0" w:type="auto"/>
            <w:tcBorders>
              <w:top w:val="single" w:sz="6" w:space="0" w:color="DDDDDD"/>
              <w:left w:val="nil"/>
              <w:bottom w:val="nil"/>
              <w:right w:val="single" w:sz="6" w:space="0" w:color="DDDDDD"/>
            </w:tcBorders>
            <w:shd w:val="clear" w:color="auto" w:fill="auto"/>
            <w:tcMar>
              <w:top w:w="150" w:type="dxa"/>
              <w:left w:w="150" w:type="dxa"/>
              <w:bottom w:w="150" w:type="dxa"/>
              <w:right w:w="150" w:type="dxa"/>
            </w:tcMar>
            <w:hideMark/>
          </w:tcPr>
          <w:p w14:paraId="2FD4E4A0" w14:textId="77777777" w:rsidR="00325101" w:rsidRDefault="00325101">
            <w:pPr>
              <w:rPr>
                <w:rFonts w:ascii="Salesforce Sans" w:hAnsi="Salesforce Sans"/>
              </w:rPr>
            </w:pPr>
            <w:r>
              <w:rPr>
                <w:rStyle w:val="guilabel"/>
                <w:rFonts w:ascii="Salesforce Sans" w:hAnsi="Salesforce Sans"/>
                <w:b/>
                <w:bCs/>
              </w:rPr>
              <w:t>Streaming API</w:t>
            </w:r>
          </w:p>
        </w:tc>
        <w:tc>
          <w:tcPr>
            <w:tcW w:w="0" w:type="auto"/>
            <w:tcBorders>
              <w:top w:val="single" w:sz="6" w:space="0" w:color="DDDDDD"/>
              <w:left w:val="single" w:sz="6" w:space="0" w:color="DDDDDD"/>
              <w:bottom w:val="nil"/>
              <w:right w:val="single" w:sz="6" w:space="0" w:color="DDDDDD"/>
            </w:tcBorders>
            <w:shd w:val="clear" w:color="auto" w:fill="auto"/>
            <w:tcMar>
              <w:top w:w="150" w:type="dxa"/>
              <w:left w:w="150" w:type="dxa"/>
              <w:bottom w:w="150" w:type="dxa"/>
              <w:right w:w="150" w:type="dxa"/>
            </w:tcMar>
            <w:hideMark/>
          </w:tcPr>
          <w:p w14:paraId="1553916A" w14:textId="77777777" w:rsidR="00325101" w:rsidRDefault="00325101">
            <w:pPr>
              <w:spacing w:after="360"/>
              <w:rPr>
                <w:rFonts w:ascii="Salesforce Sans" w:hAnsi="Salesforce Sans"/>
              </w:rPr>
            </w:pPr>
            <w:r>
              <w:rPr>
                <w:rFonts w:ascii="Salesforce Sans" w:hAnsi="Salesforce Sans"/>
              </w:rPr>
              <w:t>Uses the </w:t>
            </w:r>
            <w:hyperlink r:id="rId19" w:tgtFrame="_blank" w:history="1">
              <w:r>
                <w:rPr>
                  <w:rStyle w:val="Hyperlink"/>
                  <w:rFonts w:ascii="Salesforce Sans" w:hAnsi="Salesforce Sans"/>
                  <w:color w:val="0176D3"/>
                </w:rPr>
                <w:t>Salesforce Streaming API</w:t>
              </w:r>
            </w:hyperlink>
            <w:r>
              <w:rPr>
                <w:rFonts w:ascii="Salesforce Sans" w:hAnsi="Salesforce Sans"/>
              </w:rPr>
              <w:t> to push notifications from the server to the client based on criteria that you define. The Vlocity Streaming API types include:</w:t>
            </w:r>
          </w:p>
          <w:p w14:paraId="41FE4754" w14:textId="77777777" w:rsidR="00325101" w:rsidRDefault="00325101" w:rsidP="00325101">
            <w:pPr>
              <w:pStyle w:val="listitem"/>
              <w:numPr>
                <w:ilvl w:val="0"/>
                <w:numId w:val="2"/>
              </w:numPr>
              <w:spacing w:before="0" w:beforeAutospacing="0" w:after="0" w:afterAutospacing="0"/>
              <w:ind w:left="0"/>
              <w:rPr>
                <w:rFonts w:ascii="Salesforce Sans" w:hAnsi="Salesforce Sans"/>
              </w:rPr>
            </w:pPr>
            <w:hyperlink r:id="rId20" w:tooltip="Configuring a Streaming Channel Data Source" w:history="1">
              <w:r>
                <w:rPr>
                  <w:rStyle w:val="Hyperlink"/>
                  <w:rFonts w:ascii="Salesforce Sans" w:hAnsi="Salesforce Sans"/>
                  <w:b/>
                  <w:bCs/>
                  <w:color w:val="0176D3"/>
                </w:rPr>
                <w:t>Streaming Channel</w:t>
              </w:r>
            </w:hyperlink>
            <w:r>
              <w:rPr>
                <w:rFonts w:ascii="Salesforce Sans" w:hAnsi="Salesforce Sans"/>
              </w:rPr>
              <w:t>: Sends notifications of general events that are not tied to Salesforce data changes.</w:t>
            </w:r>
          </w:p>
          <w:p w14:paraId="530347B8" w14:textId="77777777" w:rsidR="00325101" w:rsidRDefault="00325101" w:rsidP="00325101">
            <w:pPr>
              <w:pStyle w:val="listitem"/>
              <w:numPr>
                <w:ilvl w:val="0"/>
                <w:numId w:val="2"/>
              </w:numPr>
              <w:spacing w:before="0" w:beforeAutospacing="0" w:after="0" w:afterAutospacing="0"/>
              <w:ind w:left="0"/>
              <w:rPr>
                <w:rFonts w:ascii="Salesforce Sans" w:hAnsi="Salesforce Sans"/>
              </w:rPr>
            </w:pPr>
            <w:hyperlink r:id="rId21" w:tooltip="Configuring a PushTopic Data Source" w:history="1">
              <w:proofErr w:type="spellStart"/>
              <w:r>
                <w:rPr>
                  <w:rStyle w:val="Hyperlink"/>
                  <w:rFonts w:ascii="Salesforce Sans" w:hAnsi="Salesforce Sans"/>
                  <w:b/>
                  <w:bCs/>
                  <w:color w:val="0176D3"/>
                </w:rPr>
                <w:t>PushTopic</w:t>
              </w:r>
              <w:proofErr w:type="spellEnd"/>
            </w:hyperlink>
            <w:r>
              <w:rPr>
                <w:rFonts w:ascii="Salesforce Sans" w:hAnsi="Salesforce Sans"/>
              </w:rPr>
              <w:t>: Uses an SOQL query to return a result that notifies listeners of changes to records in a Salesforce organization.</w:t>
            </w:r>
          </w:p>
          <w:p w14:paraId="3FE32E64" w14:textId="77777777" w:rsidR="00325101" w:rsidRDefault="00325101" w:rsidP="00325101">
            <w:pPr>
              <w:pStyle w:val="listitem"/>
              <w:numPr>
                <w:ilvl w:val="0"/>
                <w:numId w:val="2"/>
              </w:numPr>
              <w:spacing w:before="0" w:beforeAutospacing="0" w:after="0" w:afterAutospacing="0"/>
              <w:ind w:left="0"/>
              <w:rPr>
                <w:rFonts w:ascii="Salesforce Sans" w:hAnsi="Salesforce Sans"/>
              </w:rPr>
            </w:pPr>
            <w:hyperlink r:id="rId22" w:tooltip="Configuring a Platform Event Data Source" w:history="1">
              <w:r>
                <w:rPr>
                  <w:rStyle w:val="Hyperlink"/>
                  <w:rFonts w:ascii="Salesforce Sans" w:hAnsi="Salesforce Sans"/>
                  <w:b/>
                  <w:bCs/>
                  <w:color w:val="0176D3"/>
                </w:rPr>
                <w:t>Platform Event</w:t>
              </w:r>
            </w:hyperlink>
            <w:r>
              <w:rPr>
                <w:rFonts w:ascii="Salesforce Sans" w:hAnsi="Salesforce Sans"/>
              </w:rPr>
              <w:t>: Uses </w:t>
            </w:r>
            <w:hyperlink r:id="rId23" w:tgtFrame="_blank" w:history="1">
              <w:r>
                <w:rPr>
                  <w:rStyle w:val="Hyperlink"/>
                  <w:rFonts w:ascii="Salesforce Sans" w:hAnsi="Salesforce Sans"/>
                  <w:color w:val="0176D3"/>
                </w:rPr>
                <w:t>Salesforce's Platform Events</w:t>
              </w:r>
            </w:hyperlink>
            <w:r>
              <w:rPr>
                <w:rFonts w:ascii="Salesforce Sans" w:hAnsi="Salesforce Sans"/>
              </w:rPr>
              <w:t xml:space="preserve"> enterprise messaging platform, which combines </w:t>
            </w:r>
            <w:proofErr w:type="spellStart"/>
            <w:r>
              <w:rPr>
                <w:rFonts w:ascii="Salesforce Sans" w:hAnsi="Salesforce Sans"/>
              </w:rPr>
              <w:t>PushTopic</w:t>
            </w:r>
            <w:proofErr w:type="spellEnd"/>
            <w:r>
              <w:rPr>
                <w:rFonts w:ascii="Salesforce Sans" w:hAnsi="Salesforce Sans"/>
              </w:rPr>
              <w:t xml:space="preserve"> and Streaming Channel to enable apps to communicate inside and outside of Salesforce.</w:t>
            </w:r>
          </w:p>
        </w:tc>
        <w:tc>
          <w:tcPr>
            <w:tcW w:w="0" w:type="auto"/>
            <w:tcBorders>
              <w:top w:val="single" w:sz="6" w:space="0" w:color="DDDDDD"/>
              <w:left w:val="single" w:sz="6" w:space="0" w:color="DDDDDD"/>
              <w:bottom w:val="nil"/>
              <w:right w:val="nil"/>
            </w:tcBorders>
            <w:shd w:val="clear" w:color="auto" w:fill="auto"/>
            <w:tcMar>
              <w:top w:w="150" w:type="dxa"/>
              <w:left w:w="150" w:type="dxa"/>
              <w:bottom w:w="150" w:type="dxa"/>
              <w:right w:w="150" w:type="dxa"/>
            </w:tcMar>
            <w:hideMark/>
          </w:tcPr>
          <w:p w14:paraId="09779649" w14:textId="77777777" w:rsidR="00325101" w:rsidRDefault="00325101">
            <w:pPr>
              <w:rPr>
                <w:rFonts w:ascii="Salesforce Sans" w:hAnsi="Salesforce Sans"/>
              </w:rPr>
            </w:pPr>
            <w:r>
              <w:rPr>
                <w:rFonts w:ascii="Salesforce Sans" w:hAnsi="Salesforce Sans"/>
              </w:rPr>
              <w:t>Cards and Layouts</w:t>
            </w:r>
          </w:p>
        </w:tc>
      </w:tr>
    </w:tbl>
    <w:p w14:paraId="475DA972" w14:textId="77777777" w:rsidR="00502136" w:rsidRDefault="00502136"/>
    <w:sectPr w:rsidR="0050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lesforc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6000"/>
    <w:multiLevelType w:val="multilevel"/>
    <w:tmpl w:val="301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3919C8"/>
    <w:multiLevelType w:val="multilevel"/>
    <w:tmpl w:val="A94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01"/>
    <w:rsid w:val="00325101"/>
    <w:rsid w:val="0050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1B90"/>
  <w15:chartTrackingRefBased/>
  <w15:docId w15:val="{1B4C0CEF-31CE-4723-B248-2C78DA5C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5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5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51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5101"/>
    <w:rPr>
      <w:rFonts w:asciiTheme="majorHAnsi" w:eastAsiaTheme="majorEastAsia" w:hAnsiTheme="majorHAnsi" w:cstheme="majorBidi"/>
      <w:color w:val="1F3763" w:themeColor="accent1" w:themeShade="7F"/>
      <w:sz w:val="24"/>
      <w:szCs w:val="24"/>
    </w:rPr>
  </w:style>
  <w:style w:type="character" w:customStyle="1" w:styleId="guilabel">
    <w:name w:val="guilabel"/>
    <w:basedOn w:val="DefaultParagraphFont"/>
    <w:rsid w:val="00325101"/>
  </w:style>
  <w:style w:type="character" w:styleId="Hyperlink">
    <w:name w:val="Hyperlink"/>
    <w:basedOn w:val="DefaultParagraphFont"/>
    <w:uiPriority w:val="99"/>
    <w:semiHidden/>
    <w:unhideWhenUsed/>
    <w:rsid w:val="00325101"/>
    <w:rPr>
      <w:color w:val="0000FF"/>
      <w:u w:val="single"/>
    </w:rPr>
  </w:style>
  <w:style w:type="character" w:customStyle="1" w:styleId="xreftitle">
    <w:name w:val="xreftitle"/>
    <w:basedOn w:val="DefaultParagraphFont"/>
    <w:rsid w:val="00325101"/>
  </w:style>
  <w:style w:type="paragraph" w:customStyle="1" w:styleId="listitem">
    <w:name w:val="listitem"/>
    <w:basedOn w:val="Normal"/>
    <w:rsid w:val="003251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5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89211">
      <w:bodyDiv w:val="1"/>
      <w:marLeft w:val="0"/>
      <w:marRight w:val="0"/>
      <w:marTop w:val="0"/>
      <w:marBottom w:val="0"/>
      <w:divBdr>
        <w:top w:val="none" w:sz="0" w:space="0" w:color="auto"/>
        <w:left w:val="none" w:sz="0" w:space="0" w:color="auto"/>
        <w:bottom w:val="none" w:sz="0" w:space="0" w:color="auto"/>
        <w:right w:val="none" w:sz="0" w:space="0" w:color="auto"/>
      </w:divBdr>
      <w:divsChild>
        <w:div w:id="990137707">
          <w:marLeft w:val="0"/>
          <w:marRight w:val="0"/>
          <w:marTop w:val="0"/>
          <w:marBottom w:val="0"/>
          <w:divBdr>
            <w:top w:val="none" w:sz="0" w:space="0" w:color="auto"/>
            <w:left w:val="none" w:sz="0" w:space="0" w:color="auto"/>
            <w:bottom w:val="none" w:sz="0" w:space="0" w:color="auto"/>
            <w:right w:val="none" w:sz="0" w:space="0" w:color="auto"/>
          </w:divBdr>
          <w:divsChild>
            <w:div w:id="559482712">
              <w:marLeft w:val="0"/>
              <w:marRight w:val="0"/>
              <w:marTop w:val="0"/>
              <w:marBottom w:val="0"/>
              <w:divBdr>
                <w:top w:val="none" w:sz="0" w:space="0" w:color="auto"/>
                <w:left w:val="none" w:sz="0" w:space="0" w:color="auto"/>
                <w:bottom w:val="none" w:sz="0" w:space="0" w:color="auto"/>
                <w:right w:val="none" w:sz="0" w:space="0" w:color="auto"/>
              </w:divBdr>
              <w:divsChild>
                <w:div w:id="11880571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57086345">
      <w:bodyDiv w:val="1"/>
      <w:marLeft w:val="0"/>
      <w:marRight w:val="0"/>
      <w:marTop w:val="0"/>
      <w:marBottom w:val="0"/>
      <w:divBdr>
        <w:top w:val="none" w:sz="0" w:space="0" w:color="auto"/>
        <w:left w:val="none" w:sz="0" w:space="0" w:color="auto"/>
        <w:bottom w:val="none" w:sz="0" w:space="0" w:color="auto"/>
        <w:right w:val="none" w:sz="0" w:space="0" w:color="auto"/>
      </w:divBdr>
      <w:divsChild>
        <w:div w:id="1699818502">
          <w:marLeft w:val="0"/>
          <w:marRight w:val="0"/>
          <w:marTop w:val="0"/>
          <w:marBottom w:val="0"/>
          <w:divBdr>
            <w:top w:val="none" w:sz="0" w:space="0" w:color="auto"/>
            <w:left w:val="none" w:sz="0" w:space="0" w:color="auto"/>
            <w:bottom w:val="none" w:sz="0" w:space="0" w:color="auto"/>
            <w:right w:val="none" w:sz="0" w:space="0" w:color="auto"/>
          </w:divBdr>
          <w:divsChild>
            <w:div w:id="1403530239">
              <w:marLeft w:val="0"/>
              <w:marRight w:val="0"/>
              <w:marTop w:val="0"/>
              <w:marBottom w:val="0"/>
              <w:divBdr>
                <w:top w:val="none" w:sz="0" w:space="0" w:color="auto"/>
                <w:left w:val="none" w:sz="0" w:space="0" w:color="auto"/>
                <w:bottom w:val="none" w:sz="0" w:space="0" w:color="auto"/>
                <w:right w:val="none" w:sz="0" w:space="0" w:color="auto"/>
              </w:divBdr>
              <w:divsChild>
                <w:div w:id="48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691">
          <w:marLeft w:val="0"/>
          <w:marRight w:val="0"/>
          <w:marTop w:val="0"/>
          <w:marBottom w:val="300"/>
          <w:divBdr>
            <w:top w:val="none" w:sz="0" w:space="0" w:color="auto"/>
            <w:left w:val="none" w:sz="0" w:space="0" w:color="auto"/>
            <w:bottom w:val="none" w:sz="0" w:space="0" w:color="auto"/>
            <w:right w:val="none" w:sz="0" w:space="0" w:color="auto"/>
          </w:divBdr>
          <w:divsChild>
            <w:div w:id="2108184838">
              <w:marLeft w:val="0"/>
              <w:marRight w:val="0"/>
              <w:marTop w:val="270"/>
              <w:marBottom w:val="270"/>
              <w:divBdr>
                <w:top w:val="none" w:sz="0" w:space="0" w:color="auto"/>
                <w:left w:val="single" w:sz="36" w:space="31" w:color="2AB27B"/>
                <w:bottom w:val="none" w:sz="0" w:space="0" w:color="auto"/>
                <w:right w:val="none" w:sz="0" w:space="0" w:color="auto"/>
              </w:divBdr>
            </w:div>
            <w:div w:id="1837921484">
              <w:marLeft w:val="0"/>
              <w:marRight w:val="0"/>
              <w:marTop w:val="0"/>
              <w:marBottom w:val="0"/>
              <w:divBdr>
                <w:top w:val="none" w:sz="0" w:space="0" w:color="auto"/>
                <w:left w:val="none" w:sz="0" w:space="0" w:color="auto"/>
                <w:bottom w:val="none" w:sz="0" w:space="0" w:color="auto"/>
                <w:right w:val="none" w:sz="0" w:space="0" w:color="auto"/>
              </w:divBdr>
            </w:div>
            <w:div w:id="1525248488">
              <w:marLeft w:val="0"/>
              <w:marRight w:val="0"/>
              <w:marTop w:val="270"/>
              <w:marBottom w:val="270"/>
              <w:divBdr>
                <w:top w:val="none" w:sz="0" w:space="0" w:color="auto"/>
                <w:left w:val="single" w:sz="36" w:space="31" w:color="2AB27B"/>
                <w:bottom w:val="none" w:sz="0" w:space="0" w:color="auto"/>
                <w:right w:val="none" w:sz="0" w:space="0" w:color="auto"/>
              </w:divBdr>
            </w:div>
            <w:div w:id="1759446804">
              <w:marLeft w:val="0"/>
              <w:marRight w:val="0"/>
              <w:marTop w:val="270"/>
              <w:marBottom w:val="270"/>
              <w:divBdr>
                <w:top w:val="none" w:sz="0" w:space="0" w:color="auto"/>
                <w:left w:val="single" w:sz="36" w:space="31" w:color="2AB27B"/>
                <w:bottom w:val="none" w:sz="0" w:space="0" w:color="auto"/>
                <w:right w:val="none" w:sz="0" w:space="0" w:color="auto"/>
              </w:divBdr>
            </w:div>
            <w:div w:id="6046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locity.com/en/Configuring-an-Apex-REST-Data-Source.html" TargetMode="External"/><Relationship Id="rId13" Type="http://schemas.openxmlformats.org/officeDocument/2006/relationships/hyperlink" Target="https://docs.vlocity.com/en/Configuring-a-REST-Web-Data-Source.html" TargetMode="External"/><Relationship Id="rId18" Type="http://schemas.openxmlformats.org/officeDocument/2006/relationships/hyperlink" Target="https://developer.salesforce.com/docs/atlas.en-us.soql_sosl.meta/api/sforce_api_calls_sosl.htm"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docs.vlocity.com/en/Configuring-a-Push-Topic-Data-Source.html" TargetMode="External"/><Relationship Id="rId7" Type="http://schemas.openxmlformats.org/officeDocument/2006/relationships/hyperlink" Target="https://docs.vlocity.com/en/Configuring-an-Apex-Remote-Data-Source.html" TargetMode="External"/><Relationship Id="rId12" Type="http://schemas.openxmlformats.org/officeDocument/2006/relationships/hyperlink" Target="https://docs.vlocity.com/en/Creating-a-Flyout.html" TargetMode="External"/><Relationship Id="rId17" Type="http://schemas.openxmlformats.org/officeDocument/2006/relationships/hyperlink" Target="https://docs.vlocity.com/en/Configuring-a-SOSL-Search-Data-Sourc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alesforce.com/docs/atlas.en-us.soql_sosl.meta/soql_sosl/sforce_api_calls_soql.htm" TargetMode="External"/><Relationship Id="rId20" Type="http://schemas.openxmlformats.org/officeDocument/2006/relationships/hyperlink" Target="https://docs.vlocity.com/en/Configuring-a-Streaming-Channel-Data-Source.html" TargetMode="External"/><Relationship Id="rId1" Type="http://schemas.openxmlformats.org/officeDocument/2006/relationships/numbering" Target="numbering.xml"/><Relationship Id="rId6" Type="http://schemas.openxmlformats.org/officeDocument/2006/relationships/hyperlink" Target="https://docs.vlocity.com/en/Integration-Procedures.html" TargetMode="External"/><Relationship Id="rId11" Type="http://schemas.openxmlformats.org/officeDocument/2006/relationships/hyperlink" Target="https://docs.vlocity.com/en/Configuring-Dual-Data-Sources.html" TargetMode="External"/><Relationship Id="rId24" Type="http://schemas.openxmlformats.org/officeDocument/2006/relationships/fontTable" Target="fontTable.xml"/><Relationship Id="rId5" Type="http://schemas.openxmlformats.org/officeDocument/2006/relationships/hyperlink" Target="https://docs.vlocity.com/en/Configuring-an-Integration-Procedure-Data-Source.html" TargetMode="External"/><Relationship Id="rId15" Type="http://schemas.openxmlformats.org/officeDocument/2006/relationships/hyperlink" Target="https://docs.vlocity.com/en/Configuring-a-SOQL-Query-Data-Source.html" TargetMode="External"/><Relationship Id="rId23" Type="http://schemas.openxmlformats.org/officeDocument/2006/relationships/hyperlink" Target="https://developer.salesforce.com/docs/atlas.en-us.platform_events.meta/platform_events/platform_events_intro.htm" TargetMode="External"/><Relationship Id="rId28" Type="http://schemas.openxmlformats.org/officeDocument/2006/relationships/customXml" Target="../customXml/item3.xml"/><Relationship Id="rId10" Type="http://schemas.openxmlformats.org/officeDocument/2006/relationships/hyperlink" Target="https://docs.vlocity.com/en/DataRaptor.html" TargetMode="External"/><Relationship Id="rId19" Type="http://schemas.openxmlformats.org/officeDocument/2006/relationships/hyperlink" Target="https://developer.salesforce.com/docs/atlas.en-us.api_streaming.meta/api_streaming/intro_stream.htm" TargetMode="External"/><Relationship Id="rId4" Type="http://schemas.openxmlformats.org/officeDocument/2006/relationships/webSettings" Target="webSettings.xml"/><Relationship Id="rId9" Type="http://schemas.openxmlformats.org/officeDocument/2006/relationships/hyperlink" Target="https://docs.vlocity.com/en/Configuring-a-DataRaptor-Data-Source.html" TargetMode="External"/><Relationship Id="rId14" Type="http://schemas.openxmlformats.org/officeDocument/2006/relationships/hyperlink" Target="https://docs.vlocity.com/en/Configuring-a-REST-Data-Source-Using-Named-Credentials.html" TargetMode="External"/><Relationship Id="rId22" Type="http://schemas.openxmlformats.org/officeDocument/2006/relationships/hyperlink" Target="https://docs.vlocity.com/en/Configuring-a-Platform-Event-Data-Source.html"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B01A14-ED66-4DE6-9D0A-448090BA27BA}"/>
</file>

<file path=customXml/itemProps2.xml><?xml version="1.0" encoding="utf-8"?>
<ds:datastoreItem xmlns:ds="http://schemas.openxmlformats.org/officeDocument/2006/customXml" ds:itemID="{1E8D8406-5D67-466E-A579-79D7BAF755CA}"/>
</file>

<file path=customXml/itemProps3.xml><?xml version="1.0" encoding="utf-8"?>
<ds:datastoreItem xmlns:ds="http://schemas.openxmlformats.org/officeDocument/2006/customXml" ds:itemID="{07D333A4-26D0-4B7B-AE63-10AC1304720F}"/>
</file>

<file path=docProps/app.xml><?xml version="1.0" encoding="utf-8"?>
<Properties xmlns="http://schemas.openxmlformats.org/officeDocument/2006/extended-properties" xmlns:vt="http://schemas.openxmlformats.org/officeDocument/2006/docPropsVTypes">
  <Template>Normal</Template>
  <TotalTime>2</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1</cp:revision>
  <dcterms:created xsi:type="dcterms:W3CDTF">2021-01-28T09:42:00Z</dcterms:created>
  <dcterms:modified xsi:type="dcterms:W3CDTF">2021-01-28T09:44:00Z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2021-01-28T09:42:59Z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99007264-ace5-487a-a80c-cff55881996f</vt:lpwstr>
  </property>
  <property fmtid="{D5CDD505-2E9C-101B-9397-08002B2CF9AE}" pid="8" name="MSIP_Label_1bc0f418-96a4-4caf-9d7c-ccc5ec7f9d91_ContentBits">
    <vt:lpwstr>0</vt:lpwstr>
  </property>
  <property fmtid="{D5CDD505-2E9C-101B-9397-08002B2CF9AE}" pid="9" name="ContentTypeId">
    <vt:lpwstr>0x01010025EC667E64F3664AA9FF84395B73BBB2</vt:lpwstr>
  </property>
</Properties>
</file>