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2B881F" w14:textId="77777777" w:rsidR="00420218" w:rsidRPr="00420218" w:rsidRDefault="00420218" w:rsidP="00420218">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420218">
        <w:rPr>
          <w:rFonts w:ascii="Segoe UI" w:eastAsia="Times New Roman" w:hAnsi="Segoe UI" w:cs="Segoe UI"/>
          <w:b/>
          <w:bCs/>
          <w:color w:val="333333"/>
          <w:sz w:val="36"/>
          <w:szCs w:val="36"/>
        </w:rPr>
        <w:t>Introducing Integration Procedures</w:t>
      </w:r>
    </w:p>
    <w:p w14:paraId="0E0F0976"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proofErr w:type="gramStart"/>
      <w:r w:rsidRPr="007315B6">
        <w:rPr>
          <w:rFonts w:ascii="Segoe UI" w:eastAsia="Times New Roman" w:hAnsi="Segoe UI" w:cs="Segoe UI"/>
          <w:color w:val="1E1E1E"/>
          <w:sz w:val="24"/>
          <w:szCs w:val="24"/>
        </w:rPr>
        <w:t>So</w:t>
      </w:r>
      <w:proofErr w:type="gramEnd"/>
      <w:r w:rsidRPr="007315B6">
        <w:rPr>
          <w:rFonts w:ascii="Segoe UI" w:eastAsia="Times New Roman" w:hAnsi="Segoe UI" w:cs="Segoe UI"/>
          <w:color w:val="1E1E1E"/>
          <w:sz w:val="24"/>
          <w:szCs w:val="24"/>
        </w:rPr>
        <w:t xml:space="preserve"> what exactly are OmniStudio Integration Procedures? They are applications used to read and write data from Salesforce and from external systems. An Integration Procedure can be called from an OmniStudio component such as an OmniScript or FlexCard, an API, or even from an Apex method. </w:t>
      </w:r>
    </w:p>
    <w:p w14:paraId="71EABE91"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Think of it this way: When you need to access and transform data from third-party sources and no user interaction is required, and when moving the workload from client to server is desirable, then that's when you want to use an OmniStudio Integration Procedure. </w:t>
      </w:r>
    </w:p>
    <w:p w14:paraId="559DC48C"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OmniStudio Integration Procedures are declarative, server-side processes that execute multiple actions in a single server call. Let’s break this down to better understand what it means. </w:t>
      </w:r>
    </w:p>
    <w:p w14:paraId="208A2313" w14:textId="77777777" w:rsidR="007315B6" w:rsidRPr="007315B6" w:rsidRDefault="007315B6" w:rsidP="007315B6">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Declarative: </w:t>
      </w:r>
      <w:r w:rsidRPr="007315B6">
        <w:rPr>
          <w:rFonts w:ascii="Segoe UI" w:eastAsia="Times New Roman" w:hAnsi="Segoe UI" w:cs="Segoe UI"/>
          <w:color w:val="1E1E1E"/>
          <w:sz w:val="24"/>
          <w:szCs w:val="24"/>
        </w:rPr>
        <w:t>Use drag-and-drop elements in the Integration Procedure Designer to build the process structure.</w:t>
      </w:r>
    </w:p>
    <w:p w14:paraId="6E705F2D" w14:textId="77777777" w:rsidR="007315B6" w:rsidRPr="007315B6" w:rsidRDefault="007315B6" w:rsidP="007315B6">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Server-side processing:</w:t>
      </w:r>
      <w:r w:rsidRPr="007315B6">
        <w:rPr>
          <w:rFonts w:ascii="Segoe UI" w:eastAsia="Times New Roman" w:hAnsi="Segoe UI" w:cs="Segoe UI"/>
          <w:color w:val="1E1E1E"/>
          <w:sz w:val="24"/>
          <w:szCs w:val="24"/>
        </w:rPr>
        <w:t xml:space="preserve"> This enables faster </w:t>
      </w:r>
      <w:proofErr w:type="gramStart"/>
      <w:r w:rsidRPr="007315B6">
        <w:rPr>
          <w:rFonts w:ascii="Segoe UI" w:eastAsia="Times New Roman" w:hAnsi="Segoe UI" w:cs="Segoe UI"/>
          <w:color w:val="1E1E1E"/>
          <w:sz w:val="24"/>
          <w:szCs w:val="24"/>
        </w:rPr>
        <w:t>performance, because</w:t>
      </w:r>
      <w:proofErr w:type="gramEnd"/>
      <w:r w:rsidRPr="007315B6">
        <w:rPr>
          <w:rFonts w:ascii="Segoe UI" w:eastAsia="Times New Roman" w:hAnsi="Segoe UI" w:cs="Segoe UI"/>
          <w:color w:val="1E1E1E"/>
          <w:sz w:val="24"/>
          <w:szCs w:val="24"/>
        </w:rPr>
        <w:t xml:space="preserve"> the server, in most cases, is faster than the client at processing data.</w:t>
      </w:r>
    </w:p>
    <w:p w14:paraId="680021EE" w14:textId="77777777" w:rsidR="007315B6" w:rsidRPr="007315B6" w:rsidRDefault="007315B6" w:rsidP="007315B6">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Multiple actions in a single server call:</w:t>
      </w:r>
      <w:r w:rsidRPr="007315B6">
        <w:rPr>
          <w:rFonts w:ascii="Segoe UI" w:eastAsia="Times New Roman" w:hAnsi="Segoe UI" w:cs="Segoe UI"/>
          <w:color w:val="1E1E1E"/>
          <w:sz w:val="24"/>
          <w:szCs w:val="24"/>
        </w:rPr>
        <w:t> This prevents round trips to the server. Minimizing client/server calls is beneficial, as more round trips mean slower performance.</w:t>
      </w:r>
    </w:p>
    <w:p w14:paraId="6822868B"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More simply, Integration Procedures are a way to get, save, and manipulate data behind the scenes. They’re especially useful in the following scenarios.</w:t>
      </w:r>
    </w:p>
    <w:p w14:paraId="0F906F98" w14:textId="77777777" w:rsidR="007315B6" w:rsidRPr="007315B6" w:rsidRDefault="007315B6" w:rsidP="007315B6">
      <w:pPr>
        <w:numPr>
          <w:ilvl w:val="0"/>
          <w:numId w:val="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You need to access and transform data from third-party sources.</w:t>
      </w:r>
    </w:p>
    <w:p w14:paraId="3315DFAE" w14:textId="77777777" w:rsidR="007315B6" w:rsidRPr="007315B6" w:rsidRDefault="007315B6" w:rsidP="007315B6">
      <w:pPr>
        <w:numPr>
          <w:ilvl w:val="0"/>
          <w:numId w:val="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No user interaction is required.</w:t>
      </w:r>
    </w:p>
    <w:p w14:paraId="6932D84C" w14:textId="77777777" w:rsidR="007315B6" w:rsidRPr="007315B6" w:rsidRDefault="007315B6" w:rsidP="007315B6">
      <w:pPr>
        <w:numPr>
          <w:ilvl w:val="0"/>
          <w:numId w:val="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Moving the workload from client to server is preferable.</w:t>
      </w:r>
    </w:p>
    <w:p w14:paraId="5EA0BD64"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Integration Procedures do what they do thanks to a host of awesome capabilities.</w:t>
      </w:r>
    </w:p>
    <w:p w14:paraId="43B1DE7A"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Integration Procedures handle multiple data sources.</w:t>
      </w:r>
      <w:r w:rsidRPr="007315B6">
        <w:rPr>
          <w:rFonts w:ascii="Segoe UI" w:eastAsia="Times New Roman" w:hAnsi="Segoe UI" w:cs="Segoe UI"/>
          <w:color w:val="1E1E1E"/>
          <w:sz w:val="24"/>
          <w:szCs w:val="24"/>
        </w:rPr>
        <w:t> They read data from Salesforce, external systems (using representational state transfer [REST]/application programming interface [API] calls), and Apex classes. It looks a little something like this:</w:t>
      </w:r>
    </w:p>
    <w:p w14:paraId="19B0B954" w14:textId="6BC2E065"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noProof/>
          <w:color w:val="1E1E1E"/>
          <w:sz w:val="24"/>
          <w:szCs w:val="24"/>
        </w:rPr>
        <w:lastRenderedPageBreak/>
        <w:drawing>
          <wp:inline distT="0" distB="0" distL="0" distR="0" wp14:anchorId="5BC0C6ED" wp14:editId="13A2E89F">
            <wp:extent cx="5314950" cy="3714750"/>
            <wp:effectExtent l="0" t="0" r="0" b="0"/>
            <wp:docPr id="2" name="Picture 2" descr="Integration Procedures handle multiple 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gration Procedures handle multiple data sourc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14950" cy="3714750"/>
                    </a:xfrm>
                    <a:prstGeom prst="rect">
                      <a:avLst/>
                    </a:prstGeom>
                    <a:noFill/>
                    <a:ln>
                      <a:noFill/>
                    </a:ln>
                  </pic:spPr>
                </pic:pic>
              </a:graphicData>
            </a:graphic>
          </wp:inline>
        </w:drawing>
      </w:r>
    </w:p>
    <w:p w14:paraId="2BC2782D"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Integration Procedures serve as data sources for multiple technologies.</w:t>
      </w:r>
      <w:r w:rsidRPr="007315B6">
        <w:rPr>
          <w:rFonts w:ascii="Segoe UI" w:eastAsia="Times New Roman" w:hAnsi="Segoe UI" w:cs="Segoe UI"/>
          <w:color w:val="1E1E1E"/>
          <w:sz w:val="24"/>
          <w:szCs w:val="24"/>
        </w:rPr>
        <w:t> They are called from and return data to OmniScripts and OmniStudio FlexCards. They also serve as data sources for APIs and Apex code. Check it out: </w:t>
      </w:r>
    </w:p>
    <w:p w14:paraId="5E8913B6" w14:textId="7E278EB2"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noProof/>
          <w:color w:val="1E1E1E"/>
          <w:sz w:val="24"/>
          <w:szCs w:val="24"/>
        </w:rPr>
        <w:lastRenderedPageBreak/>
        <w:drawing>
          <wp:inline distT="0" distB="0" distL="0" distR="0" wp14:anchorId="0D9C63EB" wp14:editId="0D11C7B8">
            <wp:extent cx="5480050" cy="4019550"/>
            <wp:effectExtent l="0" t="0" r="6350" b="0"/>
            <wp:docPr id="1" name="Picture 1" descr="Integration Procedures serve as data sources for multiple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gration Procedures serve as data sources for multiple technologi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0050" cy="4019550"/>
                    </a:xfrm>
                    <a:prstGeom prst="rect">
                      <a:avLst/>
                    </a:prstGeom>
                    <a:noFill/>
                    <a:ln>
                      <a:noFill/>
                    </a:ln>
                  </pic:spPr>
                </pic:pic>
              </a:graphicData>
            </a:graphic>
          </wp:inline>
        </w:drawing>
      </w:r>
    </w:p>
    <w:p w14:paraId="4BC62441"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Integration Procedures are portable.</w:t>
      </w:r>
      <w:r w:rsidRPr="007315B6">
        <w:rPr>
          <w:rFonts w:ascii="Segoe UI" w:eastAsia="Times New Roman" w:hAnsi="Segoe UI" w:cs="Segoe UI"/>
          <w:color w:val="1E1E1E"/>
          <w:sz w:val="24"/>
          <w:szCs w:val="24"/>
        </w:rPr>
        <w:t> This means you build an Integration Procedure once and use it everywhere. You can use the same one in a FlexCard as well as in an OmniScript. </w:t>
      </w:r>
    </w:p>
    <w:p w14:paraId="0B69A41D"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Integration Procedures only send and receive the data you need.</w:t>
      </w:r>
      <w:r w:rsidRPr="007315B6">
        <w:rPr>
          <w:rFonts w:ascii="Segoe UI" w:eastAsia="Times New Roman" w:hAnsi="Segoe UI" w:cs="Segoe UI"/>
          <w:color w:val="1E1E1E"/>
          <w:sz w:val="24"/>
          <w:szCs w:val="24"/>
        </w:rPr>
        <w:t xml:space="preserve"> An </w:t>
      </w:r>
      <w:proofErr w:type="gramStart"/>
      <w:r w:rsidRPr="007315B6">
        <w:rPr>
          <w:rFonts w:ascii="Segoe UI" w:eastAsia="Times New Roman" w:hAnsi="Segoe UI" w:cs="Segoe UI"/>
          <w:color w:val="1E1E1E"/>
          <w:sz w:val="24"/>
          <w:szCs w:val="24"/>
        </w:rPr>
        <w:t>often overlooked</w:t>
      </w:r>
      <w:proofErr w:type="gramEnd"/>
      <w:r w:rsidRPr="007315B6">
        <w:rPr>
          <w:rFonts w:ascii="Segoe UI" w:eastAsia="Times New Roman" w:hAnsi="Segoe UI" w:cs="Segoe UI"/>
          <w:color w:val="1E1E1E"/>
          <w:sz w:val="24"/>
          <w:szCs w:val="24"/>
        </w:rPr>
        <w:t xml:space="preserve"> performance factor is the amount of data being sent between the browser and the server. The Integration Procedure’s Response action allows you to trim the data returning to the browser from the server. This minimizes client/server data transfer, which is a key factor if you’re on a slow network or using a mobile connection. </w:t>
      </w:r>
    </w:p>
    <w:p w14:paraId="6806D86C"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Integration Procedures perform batch processing.</w:t>
      </w:r>
      <w:r w:rsidRPr="007315B6">
        <w:rPr>
          <w:rFonts w:ascii="Segoe UI" w:eastAsia="Times New Roman" w:hAnsi="Segoe UI" w:cs="Segoe UI"/>
          <w:color w:val="1E1E1E"/>
          <w:sz w:val="24"/>
          <w:szCs w:val="24"/>
        </w:rPr>
        <w:t> They process large amounts of data without causing a Salesforce timeout. </w:t>
      </w:r>
    </w:p>
    <w:p w14:paraId="69A984AB"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As you can see, Integration Procedures have some fantastic capabilities. Next, let's examine how they make working with data management easier.</w:t>
      </w:r>
    </w:p>
    <w:p w14:paraId="2753815E" w14:textId="77777777" w:rsidR="007315B6" w:rsidRPr="007315B6" w:rsidRDefault="007315B6" w:rsidP="007315B6">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7315B6">
        <w:rPr>
          <w:rFonts w:ascii="Segoe UI" w:eastAsia="Times New Roman" w:hAnsi="Segoe UI" w:cs="Segoe UI"/>
          <w:b/>
          <w:bCs/>
          <w:color w:val="333333"/>
          <w:sz w:val="36"/>
          <w:szCs w:val="36"/>
        </w:rPr>
        <w:t>Integration Procedure Advantages</w:t>
      </w:r>
    </w:p>
    <w:p w14:paraId="4996C68B"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lastRenderedPageBreak/>
        <w:t>We recommend using Integration Procedures as much as possible as a data source. Why? Because they have a streamlined structure that’s efficient and consistent. They’re adaptable to use with all your data sources and easy to navigate. </w:t>
      </w:r>
    </w:p>
    <w:p w14:paraId="384BA2B4"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But that’s not all—they give developers a lot more control over the data going back and forth and:  </w:t>
      </w:r>
    </w:p>
    <w:p w14:paraId="48ADB5EC" w14:textId="77777777" w:rsidR="007315B6" w:rsidRPr="007315B6" w:rsidRDefault="007315B6" w:rsidP="007315B6">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Provide optimal flexibility.</w:t>
      </w:r>
    </w:p>
    <w:p w14:paraId="4B28F31A" w14:textId="77777777" w:rsidR="007315B6" w:rsidRPr="007315B6" w:rsidRDefault="007315B6" w:rsidP="007315B6">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Make implementations easier.</w:t>
      </w:r>
    </w:p>
    <w:p w14:paraId="7D031A83" w14:textId="77777777" w:rsidR="007315B6" w:rsidRPr="007315B6" w:rsidRDefault="007315B6" w:rsidP="007315B6">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Greatly improve the performance of FlexCards and OmniScripts.</w:t>
      </w:r>
    </w:p>
    <w:p w14:paraId="7B1D0D45"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 xml:space="preserve">Another huge advantage of using Integration Procedures is that they </w:t>
      </w:r>
      <w:proofErr w:type="gramStart"/>
      <w:r w:rsidRPr="007315B6">
        <w:rPr>
          <w:rFonts w:ascii="Segoe UI" w:eastAsia="Times New Roman" w:hAnsi="Segoe UI" w:cs="Segoe UI"/>
          <w:color w:val="1E1E1E"/>
          <w:sz w:val="24"/>
          <w:szCs w:val="24"/>
        </w:rPr>
        <w:t>future-proof</w:t>
      </w:r>
      <w:proofErr w:type="gramEnd"/>
      <w:r w:rsidRPr="007315B6">
        <w:rPr>
          <w:rFonts w:ascii="Segoe UI" w:eastAsia="Times New Roman" w:hAnsi="Segoe UI" w:cs="Segoe UI"/>
          <w:color w:val="1E1E1E"/>
          <w:sz w:val="24"/>
          <w:szCs w:val="24"/>
        </w:rPr>
        <w:t xml:space="preserve"> your design. </w:t>
      </w:r>
    </w:p>
    <w:p w14:paraId="24930FAC"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For example, when you design a FlexCard, you need some data from the server. However, you might not yet be entirely sure what that data looks like or how to get it. Here’s how Integration Procedures provide a solution.</w:t>
      </w:r>
    </w:p>
    <w:p w14:paraId="38CCF9D9" w14:textId="77777777" w:rsidR="007315B6" w:rsidRPr="007315B6" w:rsidRDefault="007315B6" w:rsidP="007315B6">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 xml:space="preserve">You create your Integration Procedure with sample (mock) </w:t>
      </w:r>
      <w:proofErr w:type="gramStart"/>
      <w:r w:rsidRPr="007315B6">
        <w:rPr>
          <w:rFonts w:ascii="Segoe UI" w:eastAsia="Times New Roman" w:hAnsi="Segoe UI" w:cs="Segoe UI"/>
          <w:color w:val="1E1E1E"/>
          <w:sz w:val="24"/>
          <w:szCs w:val="24"/>
        </w:rPr>
        <w:t>data, and</w:t>
      </w:r>
      <w:proofErr w:type="gramEnd"/>
      <w:r w:rsidRPr="007315B6">
        <w:rPr>
          <w:rFonts w:ascii="Segoe UI" w:eastAsia="Times New Roman" w:hAnsi="Segoe UI" w:cs="Segoe UI"/>
          <w:color w:val="1E1E1E"/>
          <w:sz w:val="24"/>
          <w:szCs w:val="24"/>
        </w:rPr>
        <w:t xml:space="preserve"> call the Integration Procedure from the FlexCard. You move forward in your card design, even if the backend system is not yet ready.</w:t>
      </w:r>
    </w:p>
    <w:p w14:paraId="2A99D4CC" w14:textId="77777777" w:rsidR="007315B6" w:rsidRPr="007315B6" w:rsidRDefault="007315B6" w:rsidP="007315B6">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When that backend system becomes ready, you simply make the changes to the Integration Procedure, and you’re up and running. You no longer have to touch your FlexCard. This approach is a good way to separate your development work on the front end from your development work on the back end.</w:t>
      </w:r>
    </w:p>
    <w:p w14:paraId="6A855D37"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In addition to these benefits, replacing Apex classes with Integration Procedures has several perks. For example, Integration Procedures:</w:t>
      </w:r>
    </w:p>
    <w:p w14:paraId="1955EF49" w14:textId="77777777" w:rsidR="007315B6" w:rsidRPr="007315B6" w:rsidRDefault="007315B6" w:rsidP="007315B6">
      <w:pPr>
        <w:numPr>
          <w:ilvl w:val="0"/>
          <w:numId w:val="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Require no Apex test code coverage, which is a time- and cost-saving technical advantage.</w:t>
      </w:r>
    </w:p>
    <w:p w14:paraId="10C97101" w14:textId="77777777" w:rsidR="007315B6" w:rsidRPr="007315B6" w:rsidRDefault="007315B6" w:rsidP="007315B6">
      <w:pPr>
        <w:numPr>
          <w:ilvl w:val="0"/>
          <w:numId w:val="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Are much easier to maintain and update.</w:t>
      </w:r>
    </w:p>
    <w:p w14:paraId="1B00F0A8" w14:textId="77777777" w:rsidR="007315B6" w:rsidRPr="007315B6" w:rsidRDefault="007315B6" w:rsidP="007315B6">
      <w:pPr>
        <w:numPr>
          <w:ilvl w:val="0"/>
          <w:numId w:val="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Take up to 97% less development time.</w:t>
      </w:r>
    </w:p>
    <w:p w14:paraId="0E1D26D7"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Let’s take a closer look at that last one. Here’s a comparison of development times with OmniStudio implementations when using custom Apex classes versus using Integration Procedures.</w:t>
      </w:r>
    </w:p>
    <w:tbl>
      <w:tblPr>
        <w:tblW w:w="0" w:type="auto"/>
        <w:tblCellMar>
          <w:top w:w="15" w:type="dxa"/>
          <w:left w:w="15" w:type="dxa"/>
          <w:bottom w:w="15" w:type="dxa"/>
          <w:right w:w="15" w:type="dxa"/>
        </w:tblCellMar>
        <w:tblLook w:val="04A0" w:firstRow="1" w:lastRow="0" w:firstColumn="1" w:lastColumn="0" w:noHBand="0" w:noVBand="1"/>
      </w:tblPr>
      <w:tblGrid>
        <w:gridCol w:w="1974"/>
        <w:gridCol w:w="1124"/>
        <w:gridCol w:w="2238"/>
        <w:gridCol w:w="4008"/>
      </w:tblGrid>
      <w:tr w:rsidR="007315B6" w:rsidRPr="007315B6" w14:paraId="47C9977A" w14:textId="77777777" w:rsidTr="007315B6">
        <w:tc>
          <w:tcPr>
            <w:tcW w:w="0" w:type="auto"/>
            <w:tcBorders>
              <w:left w:val="single" w:sz="6" w:space="0" w:color="DEDEDE"/>
              <w:bottom w:val="single" w:sz="6" w:space="0" w:color="DEDEDE"/>
              <w:right w:val="single" w:sz="6" w:space="0" w:color="DEDEDE"/>
            </w:tcBorders>
            <w:shd w:val="clear" w:color="auto" w:fill="FFFFFF"/>
            <w:hideMark/>
          </w:tcPr>
          <w:p w14:paraId="0F67B65D"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b/>
                <w:bCs/>
                <w:color w:val="1E1E1C"/>
                <w:sz w:val="24"/>
                <w:szCs w:val="24"/>
              </w:rPr>
              <w:t>Backend Service Complexity</w:t>
            </w:r>
          </w:p>
        </w:tc>
        <w:tc>
          <w:tcPr>
            <w:tcW w:w="0" w:type="auto"/>
            <w:tcBorders>
              <w:bottom w:val="single" w:sz="6" w:space="0" w:color="DEDEDE"/>
              <w:right w:val="single" w:sz="6" w:space="0" w:color="DEDEDE"/>
            </w:tcBorders>
            <w:shd w:val="clear" w:color="auto" w:fill="FFFFFF"/>
            <w:hideMark/>
          </w:tcPr>
          <w:p w14:paraId="18CBC05D"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b/>
                <w:bCs/>
                <w:color w:val="1E1E1C"/>
                <w:sz w:val="24"/>
                <w:szCs w:val="24"/>
              </w:rPr>
              <w:t>Build Time Apex</w:t>
            </w:r>
          </w:p>
        </w:tc>
        <w:tc>
          <w:tcPr>
            <w:tcW w:w="0" w:type="auto"/>
            <w:tcBorders>
              <w:bottom w:val="single" w:sz="6" w:space="0" w:color="DEDEDE"/>
              <w:right w:val="single" w:sz="6" w:space="0" w:color="DEDEDE"/>
            </w:tcBorders>
            <w:shd w:val="clear" w:color="auto" w:fill="FFFFFF"/>
            <w:hideMark/>
          </w:tcPr>
          <w:p w14:paraId="5B9F7A90"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b/>
                <w:bCs/>
                <w:color w:val="1E1E1C"/>
                <w:sz w:val="24"/>
                <w:szCs w:val="24"/>
              </w:rPr>
              <w:t>Build Time Integration Procedures</w:t>
            </w:r>
          </w:p>
        </w:tc>
        <w:tc>
          <w:tcPr>
            <w:tcW w:w="0" w:type="auto"/>
            <w:tcBorders>
              <w:bottom w:val="single" w:sz="6" w:space="0" w:color="DEDEDE"/>
              <w:right w:val="single" w:sz="6" w:space="0" w:color="DEDEDE"/>
            </w:tcBorders>
            <w:shd w:val="clear" w:color="auto" w:fill="FFFFFF"/>
            <w:hideMark/>
          </w:tcPr>
          <w:p w14:paraId="102DCACB"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b/>
                <w:bCs/>
                <w:color w:val="1E1E1C"/>
                <w:sz w:val="24"/>
                <w:szCs w:val="24"/>
              </w:rPr>
              <w:t>% Reduction in Level of Effort and Duration Using Integration Procedures</w:t>
            </w:r>
          </w:p>
        </w:tc>
      </w:tr>
      <w:tr w:rsidR="007315B6" w:rsidRPr="007315B6" w14:paraId="1A32F1DC" w14:textId="77777777" w:rsidTr="007315B6">
        <w:tc>
          <w:tcPr>
            <w:tcW w:w="0" w:type="auto"/>
            <w:vAlign w:val="center"/>
            <w:hideMark/>
          </w:tcPr>
          <w:p w14:paraId="1BC4F2F9" w14:textId="77777777" w:rsidR="007315B6" w:rsidRPr="007315B6" w:rsidRDefault="007315B6" w:rsidP="007315B6">
            <w:pPr>
              <w:spacing w:after="0" w:line="240" w:lineRule="auto"/>
              <w:rPr>
                <w:rFonts w:ascii="Times New Roman" w:eastAsia="Times New Roman" w:hAnsi="Times New Roman" w:cs="Times New Roman"/>
                <w:color w:val="1E1E1C"/>
                <w:sz w:val="24"/>
                <w:szCs w:val="24"/>
              </w:rPr>
            </w:pPr>
          </w:p>
        </w:tc>
        <w:tc>
          <w:tcPr>
            <w:tcW w:w="0" w:type="auto"/>
            <w:vAlign w:val="center"/>
            <w:hideMark/>
          </w:tcPr>
          <w:p w14:paraId="6DA9F127" w14:textId="77777777" w:rsidR="007315B6" w:rsidRPr="007315B6" w:rsidRDefault="007315B6" w:rsidP="007315B6">
            <w:pPr>
              <w:spacing w:after="0" w:line="240" w:lineRule="auto"/>
              <w:rPr>
                <w:rFonts w:ascii="Times New Roman" w:eastAsia="Times New Roman" w:hAnsi="Times New Roman" w:cs="Times New Roman"/>
                <w:sz w:val="20"/>
                <w:szCs w:val="20"/>
              </w:rPr>
            </w:pPr>
          </w:p>
        </w:tc>
        <w:tc>
          <w:tcPr>
            <w:tcW w:w="0" w:type="auto"/>
            <w:vAlign w:val="center"/>
            <w:hideMark/>
          </w:tcPr>
          <w:p w14:paraId="2B9555F0" w14:textId="77777777" w:rsidR="007315B6" w:rsidRPr="007315B6" w:rsidRDefault="007315B6" w:rsidP="007315B6">
            <w:pPr>
              <w:spacing w:after="0" w:line="240" w:lineRule="auto"/>
              <w:rPr>
                <w:rFonts w:ascii="Times New Roman" w:eastAsia="Times New Roman" w:hAnsi="Times New Roman" w:cs="Times New Roman"/>
                <w:sz w:val="20"/>
                <w:szCs w:val="20"/>
              </w:rPr>
            </w:pPr>
          </w:p>
        </w:tc>
        <w:tc>
          <w:tcPr>
            <w:tcW w:w="0" w:type="auto"/>
            <w:vAlign w:val="center"/>
            <w:hideMark/>
          </w:tcPr>
          <w:p w14:paraId="1B0E99E7" w14:textId="77777777" w:rsidR="007315B6" w:rsidRPr="007315B6" w:rsidRDefault="007315B6" w:rsidP="007315B6">
            <w:pPr>
              <w:spacing w:after="0" w:line="240" w:lineRule="auto"/>
              <w:rPr>
                <w:rFonts w:ascii="Times New Roman" w:eastAsia="Times New Roman" w:hAnsi="Times New Roman" w:cs="Times New Roman"/>
                <w:sz w:val="20"/>
                <w:szCs w:val="20"/>
              </w:rPr>
            </w:pPr>
          </w:p>
        </w:tc>
      </w:tr>
      <w:tr w:rsidR="007315B6" w:rsidRPr="007315B6" w14:paraId="02716933" w14:textId="77777777" w:rsidTr="007315B6">
        <w:tc>
          <w:tcPr>
            <w:tcW w:w="0" w:type="auto"/>
            <w:tcBorders>
              <w:left w:val="single" w:sz="6" w:space="0" w:color="DEDEDE"/>
              <w:bottom w:val="single" w:sz="6" w:space="0" w:color="DEDEDE"/>
              <w:right w:val="single" w:sz="6" w:space="0" w:color="DEDEDE"/>
            </w:tcBorders>
            <w:shd w:val="clear" w:color="auto" w:fill="FFFFFF"/>
            <w:hideMark/>
          </w:tcPr>
          <w:p w14:paraId="2F754E94"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lastRenderedPageBreak/>
              <w:t>Easy</w:t>
            </w:r>
          </w:p>
        </w:tc>
        <w:tc>
          <w:tcPr>
            <w:tcW w:w="0" w:type="auto"/>
            <w:tcBorders>
              <w:bottom w:val="single" w:sz="6" w:space="0" w:color="DEDEDE"/>
              <w:right w:val="single" w:sz="6" w:space="0" w:color="DEDEDE"/>
            </w:tcBorders>
            <w:shd w:val="clear" w:color="auto" w:fill="FFFFFF"/>
            <w:hideMark/>
          </w:tcPr>
          <w:p w14:paraId="42544C72"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t>2 hours</w:t>
            </w:r>
          </w:p>
        </w:tc>
        <w:tc>
          <w:tcPr>
            <w:tcW w:w="0" w:type="auto"/>
            <w:tcBorders>
              <w:bottom w:val="single" w:sz="6" w:space="0" w:color="DEDEDE"/>
              <w:right w:val="single" w:sz="6" w:space="0" w:color="DEDEDE"/>
            </w:tcBorders>
            <w:shd w:val="clear" w:color="auto" w:fill="FFFFFF"/>
            <w:hideMark/>
          </w:tcPr>
          <w:p w14:paraId="37059299"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t>30 minutes</w:t>
            </w:r>
          </w:p>
        </w:tc>
        <w:tc>
          <w:tcPr>
            <w:tcW w:w="0" w:type="auto"/>
            <w:tcBorders>
              <w:bottom w:val="single" w:sz="6" w:space="0" w:color="DEDEDE"/>
              <w:right w:val="single" w:sz="6" w:space="0" w:color="DEDEDE"/>
            </w:tcBorders>
            <w:shd w:val="clear" w:color="auto" w:fill="FFFFFF"/>
            <w:hideMark/>
          </w:tcPr>
          <w:p w14:paraId="6BD5C19C"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t>75%</w:t>
            </w:r>
          </w:p>
        </w:tc>
      </w:tr>
      <w:tr w:rsidR="007315B6" w:rsidRPr="007315B6" w14:paraId="1DEFAF02" w14:textId="77777777" w:rsidTr="007315B6">
        <w:tc>
          <w:tcPr>
            <w:tcW w:w="0" w:type="auto"/>
            <w:tcBorders>
              <w:left w:val="single" w:sz="6" w:space="0" w:color="DEDEDE"/>
              <w:bottom w:val="single" w:sz="6" w:space="0" w:color="DEDEDE"/>
              <w:right w:val="single" w:sz="6" w:space="0" w:color="DEDEDE"/>
            </w:tcBorders>
            <w:shd w:val="clear" w:color="auto" w:fill="FFFFFF"/>
            <w:hideMark/>
          </w:tcPr>
          <w:p w14:paraId="53DD6FD1"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t>Difficult</w:t>
            </w:r>
          </w:p>
        </w:tc>
        <w:tc>
          <w:tcPr>
            <w:tcW w:w="0" w:type="auto"/>
            <w:tcBorders>
              <w:bottom w:val="single" w:sz="6" w:space="0" w:color="DEDEDE"/>
              <w:right w:val="single" w:sz="6" w:space="0" w:color="DEDEDE"/>
            </w:tcBorders>
            <w:shd w:val="clear" w:color="auto" w:fill="FFFFFF"/>
            <w:hideMark/>
          </w:tcPr>
          <w:p w14:paraId="711777CC"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t>6 weeks</w:t>
            </w:r>
          </w:p>
        </w:tc>
        <w:tc>
          <w:tcPr>
            <w:tcW w:w="0" w:type="auto"/>
            <w:tcBorders>
              <w:bottom w:val="single" w:sz="6" w:space="0" w:color="DEDEDE"/>
              <w:right w:val="single" w:sz="6" w:space="0" w:color="DEDEDE"/>
            </w:tcBorders>
            <w:shd w:val="clear" w:color="auto" w:fill="FFFFFF"/>
            <w:hideMark/>
          </w:tcPr>
          <w:p w14:paraId="2C5BB9E8"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t>1 day</w:t>
            </w:r>
          </w:p>
        </w:tc>
        <w:tc>
          <w:tcPr>
            <w:tcW w:w="0" w:type="auto"/>
            <w:tcBorders>
              <w:bottom w:val="single" w:sz="6" w:space="0" w:color="DEDEDE"/>
              <w:right w:val="single" w:sz="6" w:space="0" w:color="DEDEDE"/>
            </w:tcBorders>
            <w:shd w:val="clear" w:color="auto" w:fill="FFFFFF"/>
            <w:hideMark/>
          </w:tcPr>
          <w:p w14:paraId="55F7C93B"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t>97%</w:t>
            </w:r>
          </w:p>
        </w:tc>
      </w:tr>
    </w:tbl>
    <w:p w14:paraId="47B4D0AC" w14:textId="49802C16" w:rsidR="00BD0F82" w:rsidRDefault="00BD0F82"/>
    <w:p w14:paraId="0B1C2421" w14:textId="77777777" w:rsidR="00357BB4" w:rsidRDefault="00357BB4" w:rsidP="00357BB4">
      <w:pPr>
        <w:pStyle w:val="Heading2"/>
        <w:shd w:val="clear" w:color="auto" w:fill="F5F5F5"/>
        <w:rPr>
          <w:rFonts w:ascii="Segoe UI" w:hAnsi="Segoe UI" w:cs="Segoe UI"/>
          <w:color w:val="333333"/>
        </w:rPr>
      </w:pPr>
      <w:r>
        <w:rPr>
          <w:rFonts w:ascii="Segoe UI" w:hAnsi="Segoe UI" w:cs="Segoe UI"/>
          <w:color w:val="333333"/>
        </w:rPr>
        <w:t>Meet the Integration Procedure Designer</w:t>
      </w:r>
    </w:p>
    <w:p w14:paraId="51A2C899" w14:textId="77777777" w:rsidR="00357BB4" w:rsidRDefault="00357BB4" w:rsidP="00357BB4">
      <w:pPr>
        <w:pStyle w:val="NormalWeb"/>
        <w:shd w:val="clear" w:color="auto" w:fill="F5F5F5"/>
        <w:rPr>
          <w:rFonts w:ascii="Segoe UI" w:hAnsi="Segoe UI" w:cs="Segoe UI"/>
          <w:color w:val="1E1E1E"/>
        </w:rPr>
      </w:pPr>
      <w:r>
        <w:rPr>
          <w:rFonts w:ascii="Segoe UI" w:hAnsi="Segoe UI" w:cs="Segoe UI"/>
          <w:color w:val="1E1E1E"/>
        </w:rPr>
        <w:t>The OmniStudio Integration Procedure Designer allows you to quickly configure your Integration Procedure by dragging different elements into the Structure panel and configuring the properties for that element on the same screen.</w:t>
      </w:r>
    </w:p>
    <w:p w14:paraId="64B16CE1"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t>Available Components Panel</w:t>
      </w:r>
    </w:p>
    <w:p w14:paraId="05AAE4E2"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The Available Components panel contains Groups and Actions elements.</w:t>
      </w:r>
    </w:p>
    <w:p w14:paraId="081B7039" w14:textId="6C4B95EF"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noProof/>
          <w:color w:val="1E1E1E"/>
          <w:sz w:val="24"/>
          <w:szCs w:val="24"/>
        </w:rPr>
        <w:drawing>
          <wp:inline distT="0" distB="0" distL="0" distR="0" wp14:anchorId="53C6EB28" wp14:editId="2DCEA98F">
            <wp:extent cx="5943600" cy="2233295"/>
            <wp:effectExtent l="0" t="0" r="0" b="0"/>
            <wp:docPr id="5" name="Picture 5" descr="The Available Component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Available Components pan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33295"/>
                    </a:xfrm>
                    <a:prstGeom prst="rect">
                      <a:avLst/>
                    </a:prstGeom>
                    <a:noFill/>
                    <a:ln>
                      <a:noFill/>
                    </a:ln>
                  </pic:spPr>
                </pic:pic>
              </a:graphicData>
            </a:graphic>
          </wp:inline>
        </w:drawing>
      </w:r>
    </w:p>
    <w:p w14:paraId="1FACDE13"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t>Structure Panel</w:t>
      </w:r>
    </w:p>
    <w:p w14:paraId="45D04E8D"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Drag and drop elements from the Available Components panel to the Structure panel.</w:t>
      </w:r>
    </w:p>
    <w:p w14:paraId="63625448" w14:textId="30364A7E"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noProof/>
          <w:color w:val="1E1E1E"/>
          <w:sz w:val="24"/>
          <w:szCs w:val="24"/>
        </w:rPr>
        <w:drawing>
          <wp:inline distT="0" distB="0" distL="0" distR="0" wp14:anchorId="11384DB4" wp14:editId="0306A00A">
            <wp:extent cx="5943600" cy="2217420"/>
            <wp:effectExtent l="0" t="0" r="0" b="0"/>
            <wp:docPr id="4" name="Picture 4" descr="The Structur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tructure pan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p>
    <w:p w14:paraId="4E483EEC" w14:textId="3A935B11"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lastRenderedPageBreak/>
        <w:t>Element Properties Pane</w:t>
      </w:r>
    </w:p>
    <w:p w14:paraId="44A2CBBC"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Each element has a Properties pane with a link to edit the JavaScript object notation (JSON) of each element.</w:t>
      </w:r>
    </w:p>
    <w:p w14:paraId="346EC9A2" w14:textId="45033B8F"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noProof/>
          <w:color w:val="1E1E1E"/>
          <w:sz w:val="24"/>
          <w:szCs w:val="24"/>
        </w:rPr>
        <w:drawing>
          <wp:inline distT="0" distB="0" distL="0" distR="0" wp14:anchorId="3809A2A5" wp14:editId="12864B4B">
            <wp:extent cx="5943600" cy="2197100"/>
            <wp:effectExtent l="0" t="0" r="0" b="0"/>
            <wp:docPr id="3" name="Picture 3" descr="The Properties pane and the Edit as JSON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Properties pane and the Edit as JSON fea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197100"/>
                    </a:xfrm>
                    <a:prstGeom prst="rect">
                      <a:avLst/>
                    </a:prstGeom>
                    <a:noFill/>
                    <a:ln>
                      <a:noFill/>
                    </a:ln>
                  </pic:spPr>
                </pic:pic>
              </a:graphicData>
            </a:graphic>
          </wp:inline>
        </w:drawing>
      </w:r>
    </w:p>
    <w:p w14:paraId="193A19A1"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t>Preview Pane</w:t>
      </w:r>
    </w:p>
    <w:p w14:paraId="64F5FDCB"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The Preview pane allows you to input parameters and execute the Integration Procedure to confirm it has been configured correctly. You can use the Errors/Debug Output to troubleshoot.</w:t>
      </w:r>
    </w:p>
    <w:p w14:paraId="4C163973"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p>
    <w:p w14:paraId="1ADFF0A3" w14:textId="77777777" w:rsidR="00357BB4" w:rsidRPr="00357BB4" w:rsidRDefault="00357BB4" w:rsidP="00357BB4">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357BB4">
        <w:rPr>
          <w:rFonts w:ascii="Segoe UI" w:eastAsia="Times New Roman" w:hAnsi="Segoe UI" w:cs="Segoe UI"/>
          <w:b/>
          <w:bCs/>
          <w:color w:val="333333"/>
          <w:sz w:val="36"/>
          <w:szCs w:val="36"/>
        </w:rPr>
        <w:t>Integration Procedure Elements</w:t>
      </w:r>
    </w:p>
    <w:p w14:paraId="1C1F5DA8"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You might be familiar with using elements in OmniScripts and OmniStudio FlexCards. Integration Procedure elements are a little different. They work behind the scenes—there are no elements for user interaction.</w:t>
      </w:r>
    </w:p>
    <w:p w14:paraId="7A58B199"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Let’s see what they do instead. Integration Procedure elements are either Groups or Actions. </w:t>
      </w:r>
    </w:p>
    <w:p w14:paraId="37A223EF"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t>Groups</w:t>
      </w:r>
    </w:p>
    <w:p w14:paraId="62494A49"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Integration Procedures allow you to group related steps as a unit inside a block. Integration Procedures provide the following block types.</w:t>
      </w:r>
    </w:p>
    <w:tbl>
      <w:tblPr>
        <w:tblW w:w="13543" w:type="dxa"/>
        <w:tblInd w:w="137" w:type="dxa"/>
        <w:tblCellMar>
          <w:top w:w="15" w:type="dxa"/>
          <w:left w:w="15" w:type="dxa"/>
          <w:bottom w:w="15" w:type="dxa"/>
          <w:right w:w="15" w:type="dxa"/>
        </w:tblCellMar>
        <w:tblLook w:val="04A0" w:firstRow="1" w:lastRow="0" w:firstColumn="1" w:lastColumn="0" w:noHBand="0" w:noVBand="1"/>
      </w:tblPr>
      <w:tblGrid>
        <w:gridCol w:w="2225"/>
        <w:gridCol w:w="5181"/>
        <w:gridCol w:w="6137"/>
      </w:tblGrid>
      <w:tr w:rsidR="00357BB4" w:rsidRPr="00357BB4" w14:paraId="4AC1F55C" w14:textId="77777777" w:rsidTr="00357BB4">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30B3B0C8" w14:textId="77777777" w:rsidR="00357BB4" w:rsidRPr="00357BB4" w:rsidRDefault="00357BB4" w:rsidP="00357BB4">
            <w:pPr>
              <w:spacing w:after="0" w:line="240" w:lineRule="auto"/>
              <w:rPr>
                <w:rFonts w:ascii="Times New Roman" w:eastAsia="Times New Roman" w:hAnsi="Times New Roman" w:cs="Times New Roman"/>
                <w:b/>
                <w:bCs/>
                <w:color w:val="1E1E1C"/>
                <w:sz w:val="24"/>
                <w:szCs w:val="24"/>
              </w:rPr>
            </w:pPr>
            <w:r w:rsidRPr="00357BB4">
              <w:rPr>
                <w:rFonts w:ascii="Times New Roman" w:eastAsia="Times New Roman" w:hAnsi="Times New Roman" w:cs="Times New Roman"/>
                <w:b/>
                <w:bCs/>
                <w:color w:val="1E1E1C"/>
                <w:sz w:val="24"/>
                <w:szCs w:val="24"/>
              </w:rPr>
              <w:lastRenderedPageBreak/>
              <w:t>What It Is</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7891AF76" w14:textId="77777777" w:rsidR="00357BB4" w:rsidRPr="00357BB4" w:rsidRDefault="00357BB4" w:rsidP="00357BB4">
            <w:pPr>
              <w:spacing w:after="0" w:line="240" w:lineRule="auto"/>
              <w:rPr>
                <w:rFonts w:ascii="Times New Roman" w:eastAsia="Times New Roman" w:hAnsi="Times New Roman" w:cs="Times New Roman"/>
                <w:b/>
                <w:bCs/>
                <w:color w:val="1E1E1C"/>
                <w:sz w:val="24"/>
                <w:szCs w:val="24"/>
              </w:rPr>
            </w:pPr>
            <w:r w:rsidRPr="00357BB4">
              <w:rPr>
                <w:rFonts w:ascii="Times New Roman" w:eastAsia="Times New Roman" w:hAnsi="Times New Roman" w:cs="Times New Roman"/>
                <w:b/>
                <w:bCs/>
                <w:color w:val="1E1E1C"/>
                <w:sz w:val="24"/>
                <w:szCs w:val="24"/>
              </w:rPr>
              <w:t>What It Does</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080534A9" w14:textId="77777777" w:rsidR="00357BB4" w:rsidRPr="00357BB4" w:rsidRDefault="00357BB4" w:rsidP="00357BB4">
            <w:pPr>
              <w:spacing w:after="0" w:line="240" w:lineRule="auto"/>
              <w:rPr>
                <w:rFonts w:ascii="Times New Roman" w:eastAsia="Times New Roman" w:hAnsi="Times New Roman" w:cs="Times New Roman"/>
                <w:b/>
                <w:bCs/>
                <w:color w:val="1E1E1C"/>
                <w:sz w:val="24"/>
                <w:szCs w:val="24"/>
              </w:rPr>
            </w:pPr>
            <w:r w:rsidRPr="00357BB4">
              <w:rPr>
                <w:rFonts w:ascii="Times New Roman" w:eastAsia="Times New Roman" w:hAnsi="Times New Roman" w:cs="Times New Roman"/>
                <w:b/>
                <w:bCs/>
                <w:color w:val="1E1E1C"/>
                <w:sz w:val="24"/>
                <w:szCs w:val="24"/>
              </w:rPr>
              <w:t>Examples</w:t>
            </w:r>
          </w:p>
        </w:tc>
      </w:tr>
      <w:tr w:rsidR="00357BB4" w:rsidRPr="00357BB4" w14:paraId="0D381A95" w14:textId="77777777" w:rsidTr="00357BB4">
        <w:tc>
          <w:tcPr>
            <w:tcW w:w="0" w:type="auto"/>
            <w:tcBorders>
              <w:left w:val="single" w:sz="6" w:space="0" w:color="DEDEDE"/>
              <w:bottom w:val="single" w:sz="6" w:space="0" w:color="DEDEDE"/>
              <w:right w:val="single" w:sz="6" w:space="0" w:color="DEDEDE"/>
            </w:tcBorders>
            <w:shd w:val="clear" w:color="auto" w:fill="FFFFFF"/>
            <w:hideMark/>
          </w:tcPr>
          <w:p w14:paraId="0DEEAC95"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b/>
                <w:bCs/>
                <w:color w:val="1E1E1C"/>
                <w:sz w:val="24"/>
                <w:szCs w:val="24"/>
              </w:rPr>
              <w:t>Cache Block</w:t>
            </w:r>
            <w:r w:rsidRPr="00357BB4">
              <w:rPr>
                <w:rFonts w:ascii="Times New Roman" w:eastAsia="Times New Roman" w:hAnsi="Times New Roman" w:cs="Times New Roman"/>
                <w:color w:val="1E1E1C"/>
                <w:sz w:val="24"/>
                <w:szCs w:val="24"/>
              </w:rPr>
              <w:t> </w:t>
            </w:r>
          </w:p>
        </w:tc>
        <w:tc>
          <w:tcPr>
            <w:tcW w:w="0" w:type="auto"/>
            <w:tcBorders>
              <w:bottom w:val="single" w:sz="6" w:space="0" w:color="DEDEDE"/>
              <w:right w:val="single" w:sz="6" w:space="0" w:color="DEDEDE"/>
            </w:tcBorders>
            <w:shd w:val="clear" w:color="auto" w:fill="FFFFFF"/>
            <w:hideMark/>
          </w:tcPr>
          <w:p w14:paraId="185F81A9" w14:textId="77777777" w:rsidR="00357BB4" w:rsidRPr="00357BB4" w:rsidRDefault="00357BB4" w:rsidP="00357BB4">
            <w:pPr>
              <w:numPr>
                <w:ilvl w:val="0"/>
                <w:numId w:val="6"/>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Saves the output of the steps within it to a session or org cache for quick retrieval</w:t>
            </w:r>
          </w:p>
          <w:p w14:paraId="22FDE658" w14:textId="77777777" w:rsidR="00357BB4" w:rsidRPr="00357BB4" w:rsidRDefault="00357BB4" w:rsidP="00357BB4">
            <w:pPr>
              <w:numPr>
                <w:ilvl w:val="0"/>
                <w:numId w:val="6"/>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Stores frequently accessed and infrequently updated data, which saves round trips to the database and improves performance</w:t>
            </w:r>
          </w:p>
          <w:p w14:paraId="017A8F6C" w14:textId="77777777" w:rsidR="00357BB4" w:rsidRPr="00357BB4" w:rsidRDefault="00357BB4" w:rsidP="00357BB4">
            <w:pPr>
              <w:numPr>
                <w:ilvl w:val="0"/>
                <w:numId w:val="6"/>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Allows data updates without caching</w:t>
            </w:r>
          </w:p>
          <w:p w14:paraId="55DCC05B" w14:textId="77777777" w:rsidR="00357BB4" w:rsidRPr="00357BB4" w:rsidRDefault="00357BB4" w:rsidP="00357BB4">
            <w:pPr>
              <w:numPr>
                <w:ilvl w:val="0"/>
                <w:numId w:val="6"/>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Allows different cached data to expire at different times</w:t>
            </w:r>
          </w:p>
        </w:tc>
        <w:tc>
          <w:tcPr>
            <w:tcW w:w="0" w:type="auto"/>
            <w:tcBorders>
              <w:bottom w:val="single" w:sz="6" w:space="0" w:color="DEDEDE"/>
              <w:right w:val="single" w:sz="6" w:space="0" w:color="DEDEDE"/>
            </w:tcBorders>
            <w:shd w:val="clear" w:color="auto" w:fill="FFFFFF"/>
            <w:hideMark/>
          </w:tcPr>
          <w:p w14:paraId="10CC3DA7"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An Integration Procedure caches weekly sales numbers but does not cache stock prices.</w:t>
            </w:r>
          </w:p>
          <w:p w14:paraId="0665DF67" w14:textId="77777777" w:rsidR="00357BB4" w:rsidRPr="00357BB4" w:rsidRDefault="00357BB4" w:rsidP="00357BB4">
            <w:pPr>
              <w:spacing w:after="0" w:line="240" w:lineRule="auto"/>
              <w:rPr>
                <w:rFonts w:ascii="Times New Roman" w:eastAsia="Times New Roman" w:hAnsi="Times New Roman" w:cs="Times New Roman"/>
                <w:color w:val="1E1E1C"/>
                <w:sz w:val="24"/>
                <w:szCs w:val="24"/>
              </w:rPr>
            </w:pPr>
          </w:p>
        </w:tc>
      </w:tr>
      <w:tr w:rsidR="00357BB4" w:rsidRPr="00357BB4" w14:paraId="087FBF24" w14:textId="77777777" w:rsidTr="00357BB4">
        <w:tc>
          <w:tcPr>
            <w:tcW w:w="0" w:type="auto"/>
            <w:tcBorders>
              <w:left w:val="single" w:sz="6" w:space="0" w:color="DEDEDE"/>
              <w:bottom w:val="single" w:sz="6" w:space="0" w:color="DEDEDE"/>
              <w:right w:val="single" w:sz="6" w:space="0" w:color="DEDEDE"/>
            </w:tcBorders>
            <w:shd w:val="clear" w:color="auto" w:fill="FFFFFF"/>
            <w:hideMark/>
          </w:tcPr>
          <w:p w14:paraId="3C608764"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b/>
                <w:bCs/>
                <w:color w:val="1E1E1C"/>
                <w:sz w:val="24"/>
                <w:szCs w:val="24"/>
              </w:rPr>
              <w:t>Conditional Block</w:t>
            </w:r>
            <w:r w:rsidRPr="00357BB4">
              <w:rPr>
                <w:rFonts w:ascii="Times New Roman" w:eastAsia="Times New Roman" w:hAnsi="Times New Roman" w:cs="Times New Roman"/>
                <w:color w:val="1E1E1C"/>
                <w:sz w:val="24"/>
                <w:szCs w:val="24"/>
              </w:rPr>
              <w:t> (This is the most basic block type.)</w:t>
            </w:r>
          </w:p>
        </w:tc>
        <w:tc>
          <w:tcPr>
            <w:tcW w:w="0" w:type="auto"/>
            <w:tcBorders>
              <w:bottom w:val="single" w:sz="6" w:space="0" w:color="DEDEDE"/>
              <w:right w:val="single" w:sz="6" w:space="0" w:color="DEDEDE"/>
            </w:tcBorders>
            <w:shd w:val="clear" w:color="auto" w:fill="FFFFFF"/>
            <w:hideMark/>
          </w:tcPr>
          <w:p w14:paraId="5E36E92F" w14:textId="77777777" w:rsidR="00357BB4" w:rsidRPr="00357BB4" w:rsidRDefault="00357BB4" w:rsidP="00357BB4">
            <w:pPr>
              <w:numPr>
                <w:ilvl w:val="0"/>
                <w:numId w:val="7"/>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Executes if a specified condition is true or treats the steps within it as a series of mutually exclusive alternatives</w:t>
            </w:r>
          </w:p>
          <w:p w14:paraId="7B9C9274" w14:textId="77777777" w:rsidR="00357BB4" w:rsidRPr="00357BB4" w:rsidRDefault="00357BB4" w:rsidP="00357BB4">
            <w:pPr>
              <w:numPr>
                <w:ilvl w:val="0"/>
                <w:numId w:val="7"/>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Supports branching workflows, which function like conditional views in an OmniScript</w:t>
            </w:r>
          </w:p>
        </w:tc>
        <w:tc>
          <w:tcPr>
            <w:tcW w:w="0" w:type="auto"/>
            <w:tcBorders>
              <w:bottom w:val="single" w:sz="6" w:space="0" w:color="DEDEDE"/>
              <w:right w:val="single" w:sz="6" w:space="0" w:color="DEDEDE"/>
            </w:tcBorders>
            <w:shd w:val="clear" w:color="auto" w:fill="FFFFFF"/>
            <w:hideMark/>
          </w:tcPr>
          <w:p w14:paraId="40AB58F0"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Based on a price and a state code, an Integration Procedure calculates the sales tax and reports the total price. </w:t>
            </w:r>
          </w:p>
        </w:tc>
      </w:tr>
      <w:tr w:rsidR="00357BB4" w:rsidRPr="00357BB4" w14:paraId="5BFA31B4" w14:textId="77777777" w:rsidTr="00357BB4">
        <w:tc>
          <w:tcPr>
            <w:tcW w:w="0" w:type="auto"/>
            <w:tcBorders>
              <w:left w:val="single" w:sz="6" w:space="0" w:color="DEDEDE"/>
              <w:bottom w:val="single" w:sz="6" w:space="0" w:color="DEDEDE"/>
              <w:right w:val="single" w:sz="6" w:space="0" w:color="DEDEDE"/>
            </w:tcBorders>
            <w:shd w:val="clear" w:color="auto" w:fill="FFFFFF"/>
            <w:hideMark/>
          </w:tcPr>
          <w:p w14:paraId="27D4744A"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b/>
                <w:bCs/>
                <w:color w:val="1E1E1C"/>
                <w:sz w:val="24"/>
                <w:szCs w:val="24"/>
              </w:rPr>
              <w:t>Loop Block</w:t>
            </w:r>
          </w:p>
        </w:tc>
        <w:tc>
          <w:tcPr>
            <w:tcW w:w="0" w:type="auto"/>
            <w:tcBorders>
              <w:bottom w:val="single" w:sz="6" w:space="0" w:color="DEDEDE"/>
              <w:right w:val="single" w:sz="6" w:space="0" w:color="DEDEDE"/>
            </w:tcBorders>
            <w:shd w:val="clear" w:color="auto" w:fill="FFFFFF"/>
            <w:hideMark/>
          </w:tcPr>
          <w:p w14:paraId="1C7DF4CE" w14:textId="77777777" w:rsidR="00357BB4" w:rsidRPr="00357BB4" w:rsidRDefault="00357BB4" w:rsidP="00357BB4">
            <w:pPr>
              <w:numPr>
                <w:ilvl w:val="0"/>
                <w:numId w:val="8"/>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Iterates over the items in a data array, enabling the Actions within it to repeat for each item rather than requiring separate Action elements for each item</w:t>
            </w:r>
          </w:p>
        </w:tc>
        <w:tc>
          <w:tcPr>
            <w:tcW w:w="0" w:type="auto"/>
            <w:tcBorders>
              <w:bottom w:val="single" w:sz="6" w:space="0" w:color="DEDEDE"/>
              <w:right w:val="single" w:sz="6" w:space="0" w:color="DEDEDE"/>
            </w:tcBorders>
            <w:shd w:val="clear" w:color="auto" w:fill="FFFFFF"/>
            <w:hideMark/>
          </w:tcPr>
          <w:p w14:paraId="272545F9"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In a scenario where a user is adding products to a cart, one Remote Action within a Loop Block can add all four products. Without a Loop Block, adding four products to a cart would require running four separate Remote Actions.</w:t>
            </w:r>
          </w:p>
        </w:tc>
      </w:tr>
      <w:tr w:rsidR="00357BB4" w:rsidRPr="00357BB4" w14:paraId="2E173657" w14:textId="77777777" w:rsidTr="00357BB4">
        <w:tc>
          <w:tcPr>
            <w:tcW w:w="0" w:type="auto"/>
            <w:tcBorders>
              <w:left w:val="single" w:sz="6" w:space="0" w:color="DEDEDE"/>
              <w:bottom w:val="single" w:sz="6" w:space="0" w:color="DEDEDE"/>
              <w:right w:val="single" w:sz="6" w:space="0" w:color="DEDEDE"/>
            </w:tcBorders>
            <w:shd w:val="clear" w:color="auto" w:fill="FFFFFF"/>
            <w:hideMark/>
          </w:tcPr>
          <w:p w14:paraId="2851B4D6"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b/>
                <w:bCs/>
                <w:color w:val="1E1E1C"/>
                <w:sz w:val="24"/>
                <w:szCs w:val="24"/>
              </w:rPr>
              <w:t>Try-Catch Block</w:t>
            </w:r>
          </w:p>
        </w:tc>
        <w:tc>
          <w:tcPr>
            <w:tcW w:w="0" w:type="auto"/>
            <w:tcBorders>
              <w:bottom w:val="single" w:sz="6" w:space="0" w:color="DEDEDE"/>
              <w:right w:val="single" w:sz="6" w:space="0" w:color="DEDEDE"/>
            </w:tcBorders>
            <w:shd w:val="clear" w:color="auto" w:fill="FFFFFF"/>
            <w:hideMark/>
          </w:tcPr>
          <w:p w14:paraId="6193458A" w14:textId="77777777" w:rsidR="00357BB4" w:rsidRPr="00357BB4" w:rsidRDefault="00357BB4" w:rsidP="00357BB4">
            <w:pPr>
              <w:numPr>
                <w:ilvl w:val="0"/>
                <w:numId w:val="9"/>
              </w:numPr>
              <w:spacing w:before="100" w:beforeAutospacing="1" w:after="100" w:afterAutospacing="1" w:line="240" w:lineRule="auto"/>
              <w:rPr>
                <w:rFonts w:ascii="Times New Roman" w:eastAsia="Times New Roman" w:hAnsi="Times New Roman" w:cs="Times New Roman"/>
                <w:color w:val="1E1E1C"/>
                <w:sz w:val="24"/>
                <w:szCs w:val="24"/>
              </w:rPr>
            </w:pPr>
            <w:proofErr w:type="spellStart"/>
            <w:r w:rsidRPr="00357BB4">
              <w:rPr>
                <w:rFonts w:ascii="Times New Roman" w:eastAsia="Times New Roman" w:hAnsi="Times New Roman" w:cs="Times New Roman"/>
                <w:color w:val="1E1E1C"/>
                <w:sz w:val="24"/>
                <w:szCs w:val="24"/>
              </w:rPr>
              <w:t>Lets</w:t>
            </w:r>
            <w:proofErr w:type="spellEnd"/>
            <w:r w:rsidRPr="00357BB4">
              <w:rPr>
                <w:rFonts w:ascii="Times New Roman" w:eastAsia="Times New Roman" w:hAnsi="Times New Roman" w:cs="Times New Roman"/>
                <w:color w:val="1E1E1C"/>
                <w:sz w:val="24"/>
                <w:szCs w:val="24"/>
              </w:rPr>
              <w:t xml:space="preserve"> you “try” running the steps inside the block and then “catch” the error if a step fails</w:t>
            </w:r>
          </w:p>
          <w:p w14:paraId="69DFAA21" w14:textId="77777777" w:rsidR="00357BB4" w:rsidRPr="00357BB4" w:rsidRDefault="00357BB4" w:rsidP="00357BB4">
            <w:pPr>
              <w:numPr>
                <w:ilvl w:val="0"/>
                <w:numId w:val="9"/>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Returns specified output or calls an Apex class if a step within it fails</w:t>
            </w:r>
          </w:p>
        </w:tc>
        <w:tc>
          <w:tcPr>
            <w:tcW w:w="0" w:type="auto"/>
            <w:tcBorders>
              <w:bottom w:val="single" w:sz="6" w:space="0" w:color="DEDEDE"/>
              <w:right w:val="single" w:sz="6" w:space="0" w:color="DEDEDE"/>
            </w:tcBorders>
            <w:shd w:val="clear" w:color="auto" w:fill="FFFFFF"/>
            <w:hideMark/>
          </w:tcPr>
          <w:p w14:paraId="448E9C83"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 xml:space="preserve">An Integration Procedure creates and deletes a Contact with a specified </w:t>
            </w:r>
            <w:proofErr w:type="spellStart"/>
            <w:r w:rsidRPr="00357BB4">
              <w:rPr>
                <w:rFonts w:ascii="Times New Roman" w:eastAsia="Times New Roman" w:hAnsi="Times New Roman" w:cs="Times New Roman"/>
                <w:color w:val="1E1E1C"/>
                <w:sz w:val="24"/>
                <w:szCs w:val="24"/>
              </w:rPr>
              <w:t>LastName</w:t>
            </w:r>
            <w:proofErr w:type="spellEnd"/>
            <w:r w:rsidRPr="00357BB4">
              <w:rPr>
                <w:rFonts w:ascii="Times New Roman" w:eastAsia="Times New Roman" w:hAnsi="Times New Roman" w:cs="Times New Roman"/>
                <w:color w:val="1E1E1C"/>
                <w:sz w:val="24"/>
                <w:szCs w:val="24"/>
              </w:rPr>
              <w:t xml:space="preserve"> and returns an error message if the </w:t>
            </w:r>
            <w:proofErr w:type="spellStart"/>
            <w:r w:rsidRPr="00357BB4">
              <w:rPr>
                <w:rFonts w:ascii="Times New Roman" w:eastAsia="Times New Roman" w:hAnsi="Times New Roman" w:cs="Times New Roman"/>
                <w:color w:val="1E1E1C"/>
                <w:sz w:val="24"/>
                <w:szCs w:val="24"/>
              </w:rPr>
              <w:t>LastName</w:t>
            </w:r>
            <w:proofErr w:type="spellEnd"/>
            <w:r w:rsidRPr="00357BB4">
              <w:rPr>
                <w:rFonts w:ascii="Times New Roman" w:eastAsia="Times New Roman" w:hAnsi="Times New Roman" w:cs="Times New Roman"/>
                <w:color w:val="1E1E1C"/>
                <w:sz w:val="24"/>
                <w:szCs w:val="24"/>
              </w:rPr>
              <w:t xml:space="preserve"> field is blank.</w:t>
            </w:r>
          </w:p>
        </w:tc>
      </w:tr>
    </w:tbl>
    <w:p w14:paraId="520B5816"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You can nest blocks within other blocks. For example, you can nest a Loop Block within a Try Catch Block or a Cache Block.</w:t>
      </w:r>
    </w:p>
    <w:p w14:paraId="183F1332"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All blocks have one property in common—an </w:t>
      </w:r>
      <w:r w:rsidRPr="00357BB4">
        <w:rPr>
          <w:rFonts w:ascii="Segoe UI" w:eastAsia="Times New Roman" w:hAnsi="Segoe UI" w:cs="Segoe UI"/>
          <w:b/>
          <w:bCs/>
          <w:color w:val="1E1E1E"/>
          <w:sz w:val="24"/>
          <w:szCs w:val="24"/>
        </w:rPr>
        <w:t>Execution Conditional Formula</w:t>
      </w:r>
      <w:r w:rsidRPr="00357BB4">
        <w:rPr>
          <w:rFonts w:ascii="Segoe UI" w:eastAsia="Times New Roman" w:hAnsi="Segoe UI" w:cs="Segoe UI"/>
          <w:color w:val="1E1E1E"/>
          <w:sz w:val="24"/>
          <w:szCs w:val="24"/>
        </w:rPr>
        <w:t>. </w:t>
      </w:r>
    </w:p>
    <w:p w14:paraId="46D0186A" w14:textId="77777777" w:rsidR="00357BB4" w:rsidRPr="00357BB4" w:rsidRDefault="00357BB4" w:rsidP="00357BB4">
      <w:pPr>
        <w:numPr>
          <w:ilvl w:val="0"/>
          <w:numId w:val="1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If this formula evaluates to true or is not defined, the block is executed.</w:t>
      </w:r>
    </w:p>
    <w:p w14:paraId="38457DA4" w14:textId="77777777" w:rsidR="00357BB4" w:rsidRPr="00357BB4" w:rsidRDefault="00357BB4" w:rsidP="00357BB4">
      <w:pPr>
        <w:numPr>
          <w:ilvl w:val="0"/>
          <w:numId w:val="1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If it evaluates to false, the block is skipped.</w:t>
      </w:r>
    </w:p>
    <w:p w14:paraId="5CF1BBF7"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t>Actions</w:t>
      </w:r>
    </w:p>
    <w:p w14:paraId="40C4E632"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 xml:space="preserve">Next, let’s see what Action elements </w:t>
      </w:r>
      <w:proofErr w:type="gramStart"/>
      <w:r w:rsidRPr="00357BB4">
        <w:rPr>
          <w:rFonts w:ascii="Segoe UI" w:eastAsia="Times New Roman" w:hAnsi="Segoe UI" w:cs="Segoe UI"/>
          <w:color w:val="1E1E1E"/>
          <w:sz w:val="24"/>
          <w:szCs w:val="24"/>
        </w:rPr>
        <w:t>are all</w:t>
      </w:r>
      <w:proofErr w:type="gramEnd"/>
      <w:r w:rsidRPr="00357BB4">
        <w:rPr>
          <w:rFonts w:ascii="Segoe UI" w:eastAsia="Times New Roman" w:hAnsi="Segoe UI" w:cs="Segoe UI"/>
          <w:color w:val="1E1E1E"/>
          <w:sz w:val="24"/>
          <w:szCs w:val="24"/>
        </w:rPr>
        <w:t xml:space="preserve"> about.</w:t>
      </w:r>
    </w:p>
    <w:p w14:paraId="5CBFE27B"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Action elements are essential building blocks of every Integration Procedure. These actions can set data values, perform functions, call DataRaptors, invoke Apex classes, send emails, invoke REST endpoints, run other Integration Procedures, and more.</w:t>
      </w:r>
    </w:p>
    <w:p w14:paraId="48606C1D"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lastRenderedPageBreak/>
        <w:t>You can also use blocks to group actions for conditional execution, caching, list processing, and error handling. To add an action, drag it from the palette (shown below) into the Integration Procedure Structure panel.</w:t>
      </w:r>
    </w:p>
    <w:p w14:paraId="366384CC"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The data source determines which element you use, and you should always use a Response Action at the end if needed. The Response Action element tells the Integration Procedure what data to pass back to the tool that called it. </w:t>
      </w:r>
    </w:p>
    <w:p w14:paraId="22EA45CD"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In the following example, the Response Action limits what is sent back, only sending what is in the DataRaptor Transform Action’s node.</w:t>
      </w:r>
    </w:p>
    <w:p w14:paraId="10848C16" w14:textId="363BDCCF"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noProof/>
          <w:color w:val="1E1E1E"/>
          <w:sz w:val="24"/>
          <w:szCs w:val="24"/>
        </w:rPr>
        <w:drawing>
          <wp:inline distT="0" distB="0" distL="0" distR="0" wp14:anchorId="348A3D6E" wp14:editId="1AE74B2E">
            <wp:extent cx="5943600" cy="2781300"/>
            <wp:effectExtent l="0" t="0" r="0" b="0"/>
            <wp:docPr id="6" name="Picture 6" descr="The Response Action only sends what is in the DataRaptor Transform Action’s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Response Action only sends what is in the DataRaptor Transform Action’s no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55281671" w14:textId="65ABC292" w:rsidR="007315B6" w:rsidRDefault="007315B6"/>
    <w:p w14:paraId="067F6CDB" w14:textId="77777777" w:rsidR="00357BB4" w:rsidRDefault="00357BB4" w:rsidP="00357BB4">
      <w:pPr>
        <w:pStyle w:val="Heading2"/>
        <w:shd w:val="clear" w:color="auto" w:fill="F5F5F5"/>
        <w:rPr>
          <w:rFonts w:ascii="Segoe UI" w:hAnsi="Segoe UI" w:cs="Segoe UI"/>
          <w:color w:val="333333"/>
        </w:rPr>
      </w:pPr>
      <w:r>
        <w:rPr>
          <w:rFonts w:ascii="Segoe UI" w:hAnsi="Segoe UI" w:cs="Segoe UI"/>
          <w:color w:val="333333"/>
        </w:rPr>
        <w:t>Data Input and Data Output</w:t>
      </w:r>
    </w:p>
    <w:p w14:paraId="44F15549"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t>Data Input</w:t>
      </w:r>
    </w:p>
    <w:p w14:paraId="7961B15A"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Remember, the data source determines which element you use.</w:t>
      </w:r>
    </w:p>
    <w:tbl>
      <w:tblPr>
        <w:tblW w:w="13680" w:type="dxa"/>
        <w:tblCellMar>
          <w:top w:w="15" w:type="dxa"/>
          <w:left w:w="15" w:type="dxa"/>
          <w:bottom w:w="15" w:type="dxa"/>
          <w:right w:w="15" w:type="dxa"/>
        </w:tblCellMar>
        <w:tblLook w:val="04A0" w:firstRow="1" w:lastRow="0" w:firstColumn="1" w:lastColumn="0" w:noHBand="0" w:noVBand="1"/>
      </w:tblPr>
      <w:tblGrid>
        <w:gridCol w:w="4895"/>
        <w:gridCol w:w="8785"/>
      </w:tblGrid>
      <w:tr w:rsidR="00357BB4" w:rsidRPr="00357BB4" w14:paraId="17A8445D" w14:textId="77777777" w:rsidTr="00357BB4">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33DDAFC0" w14:textId="77777777" w:rsidR="00357BB4" w:rsidRPr="00357BB4" w:rsidRDefault="00357BB4" w:rsidP="00357BB4">
            <w:pPr>
              <w:spacing w:after="0" w:line="240" w:lineRule="auto"/>
              <w:rPr>
                <w:rFonts w:ascii="Times New Roman" w:eastAsia="Times New Roman" w:hAnsi="Times New Roman" w:cs="Times New Roman"/>
                <w:b/>
                <w:bCs/>
                <w:color w:val="1E1E1C"/>
                <w:sz w:val="24"/>
                <w:szCs w:val="24"/>
              </w:rPr>
            </w:pPr>
            <w:r w:rsidRPr="00357BB4">
              <w:rPr>
                <w:rFonts w:ascii="Times New Roman" w:eastAsia="Times New Roman" w:hAnsi="Times New Roman" w:cs="Times New Roman"/>
                <w:b/>
                <w:bCs/>
                <w:color w:val="1E1E1C"/>
                <w:sz w:val="24"/>
                <w:szCs w:val="24"/>
              </w:rPr>
              <w:t>For This Data Input Source</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5AAC1B83" w14:textId="77777777" w:rsidR="00357BB4" w:rsidRPr="00357BB4" w:rsidRDefault="00357BB4" w:rsidP="00357BB4">
            <w:pPr>
              <w:spacing w:after="0" w:line="240" w:lineRule="auto"/>
              <w:rPr>
                <w:rFonts w:ascii="Times New Roman" w:eastAsia="Times New Roman" w:hAnsi="Times New Roman" w:cs="Times New Roman"/>
                <w:b/>
                <w:bCs/>
                <w:color w:val="1E1E1C"/>
                <w:sz w:val="24"/>
                <w:szCs w:val="24"/>
              </w:rPr>
            </w:pPr>
            <w:r w:rsidRPr="00357BB4">
              <w:rPr>
                <w:rFonts w:ascii="Times New Roman" w:eastAsia="Times New Roman" w:hAnsi="Times New Roman" w:cs="Times New Roman"/>
                <w:b/>
                <w:bCs/>
                <w:color w:val="1E1E1C"/>
                <w:sz w:val="24"/>
                <w:szCs w:val="24"/>
              </w:rPr>
              <w:t>Use This Integration Procedure Action Element</w:t>
            </w:r>
          </w:p>
        </w:tc>
      </w:tr>
      <w:tr w:rsidR="00357BB4" w:rsidRPr="00357BB4" w14:paraId="3C213F53" w14:textId="77777777" w:rsidTr="00357BB4">
        <w:tc>
          <w:tcPr>
            <w:tcW w:w="0" w:type="auto"/>
            <w:tcBorders>
              <w:left w:val="single" w:sz="6" w:space="0" w:color="DEDEDE"/>
              <w:bottom w:val="single" w:sz="6" w:space="0" w:color="DEDEDE"/>
              <w:right w:val="single" w:sz="6" w:space="0" w:color="DEDEDE"/>
            </w:tcBorders>
            <w:shd w:val="clear" w:color="auto" w:fill="FFFFFF"/>
            <w:hideMark/>
          </w:tcPr>
          <w:p w14:paraId="2D535A1C"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Salesforce Org</w:t>
            </w:r>
          </w:p>
        </w:tc>
        <w:tc>
          <w:tcPr>
            <w:tcW w:w="0" w:type="auto"/>
            <w:tcBorders>
              <w:bottom w:val="single" w:sz="6" w:space="0" w:color="DEDEDE"/>
              <w:right w:val="single" w:sz="6" w:space="0" w:color="DEDEDE"/>
            </w:tcBorders>
            <w:shd w:val="clear" w:color="auto" w:fill="FFFFFF"/>
            <w:hideMark/>
          </w:tcPr>
          <w:p w14:paraId="71B4B218"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DataRaptor Extract Action or DataRaptor Turbo Action</w:t>
            </w:r>
          </w:p>
        </w:tc>
      </w:tr>
      <w:tr w:rsidR="00357BB4" w:rsidRPr="00357BB4" w14:paraId="07974A5F" w14:textId="77777777" w:rsidTr="00357BB4">
        <w:tc>
          <w:tcPr>
            <w:tcW w:w="0" w:type="auto"/>
            <w:tcBorders>
              <w:left w:val="single" w:sz="6" w:space="0" w:color="DEDEDE"/>
              <w:bottom w:val="single" w:sz="6" w:space="0" w:color="DEDEDE"/>
              <w:right w:val="single" w:sz="6" w:space="0" w:color="DEDEDE"/>
            </w:tcBorders>
            <w:shd w:val="clear" w:color="auto" w:fill="FFFFFF"/>
            <w:hideMark/>
          </w:tcPr>
          <w:p w14:paraId="62872FB0"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API</w:t>
            </w:r>
          </w:p>
        </w:tc>
        <w:tc>
          <w:tcPr>
            <w:tcW w:w="0" w:type="auto"/>
            <w:tcBorders>
              <w:bottom w:val="single" w:sz="6" w:space="0" w:color="DEDEDE"/>
              <w:right w:val="single" w:sz="6" w:space="0" w:color="DEDEDE"/>
            </w:tcBorders>
            <w:shd w:val="clear" w:color="auto" w:fill="FFFFFF"/>
            <w:hideMark/>
          </w:tcPr>
          <w:p w14:paraId="773D5949"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HTTP Action</w:t>
            </w:r>
          </w:p>
        </w:tc>
      </w:tr>
      <w:tr w:rsidR="00357BB4" w:rsidRPr="00357BB4" w14:paraId="08D6F6AE" w14:textId="77777777" w:rsidTr="00357BB4">
        <w:tc>
          <w:tcPr>
            <w:tcW w:w="0" w:type="auto"/>
            <w:tcBorders>
              <w:left w:val="single" w:sz="6" w:space="0" w:color="DEDEDE"/>
              <w:bottom w:val="single" w:sz="6" w:space="0" w:color="DEDEDE"/>
              <w:right w:val="single" w:sz="6" w:space="0" w:color="DEDEDE"/>
            </w:tcBorders>
            <w:shd w:val="clear" w:color="auto" w:fill="FFFFFF"/>
            <w:hideMark/>
          </w:tcPr>
          <w:p w14:paraId="520CD3EF"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Anything that Apex can access</w:t>
            </w:r>
          </w:p>
        </w:tc>
        <w:tc>
          <w:tcPr>
            <w:tcW w:w="0" w:type="auto"/>
            <w:tcBorders>
              <w:bottom w:val="single" w:sz="6" w:space="0" w:color="DEDEDE"/>
              <w:right w:val="single" w:sz="6" w:space="0" w:color="DEDEDE"/>
            </w:tcBorders>
            <w:shd w:val="clear" w:color="auto" w:fill="FFFFFF"/>
            <w:hideMark/>
          </w:tcPr>
          <w:p w14:paraId="512B6538"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Remote Action</w:t>
            </w:r>
          </w:p>
        </w:tc>
      </w:tr>
    </w:tbl>
    <w:p w14:paraId="39C222D0"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t>Data Output</w:t>
      </w:r>
    </w:p>
    <w:p w14:paraId="67BE68D7"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lastRenderedPageBreak/>
        <w:t>The Response Action element is unique to the Integration Procedure. It passes data back to the tool that launched the procedure. In addition to getting and processing data, you can use an Integration Procedure to output data.</w:t>
      </w:r>
    </w:p>
    <w:tbl>
      <w:tblPr>
        <w:tblW w:w="0" w:type="auto"/>
        <w:tblCellMar>
          <w:top w:w="15" w:type="dxa"/>
          <w:left w:w="15" w:type="dxa"/>
          <w:bottom w:w="15" w:type="dxa"/>
          <w:right w:w="15" w:type="dxa"/>
        </w:tblCellMar>
        <w:tblLook w:val="04A0" w:firstRow="1" w:lastRow="0" w:firstColumn="1" w:lastColumn="0" w:noHBand="0" w:noVBand="1"/>
      </w:tblPr>
      <w:tblGrid>
        <w:gridCol w:w="3044"/>
        <w:gridCol w:w="5909"/>
      </w:tblGrid>
      <w:tr w:rsidR="00357BB4" w:rsidRPr="00357BB4" w14:paraId="2CE20A29" w14:textId="77777777" w:rsidTr="00AF3241">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0EC8F3CC" w14:textId="77777777" w:rsidR="00357BB4" w:rsidRPr="00357BB4" w:rsidRDefault="00357BB4" w:rsidP="00357BB4">
            <w:pPr>
              <w:spacing w:after="0" w:line="240" w:lineRule="auto"/>
              <w:rPr>
                <w:rFonts w:ascii="Times New Roman" w:eastAsia="Times New Roman" w:hAnsi="Times New Roman" w:cs="Times New Roman"/>
                <w:b/>
                <w:bCs/>
                <w:color w:val="1E1E1C"/>
                <w:sz w:val="24"/>
                <w:szCs w:val="24"/>
              </w:rPr>
            </w:pPr>
            <w:r w:rsidRPr="00357BB4">
              <w:rPr>
                <w:rFonts w:ascii="Times New Roman" w:eastAsia="Times New Roman" w:hAnsi="Times New Roman" w:cs="Times New Roman"/>
                <w:b/>
                <w:bCs/>
                <w:color w:val="1E1E1C"/>
                <w:sz w:val="24"/>
                <w:szCs w:val="24"/>
              </w:rPr>
              <w:t>For This Data Output Source</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4E3D9DF8" w14:textId="77777777" w:rsidR="00357BB4" w:rsidRPr="00357BB4" w:rsidRDefault="00357BB4" w:rsidP="00357BB4">
            <w:pPr>
              <w:spacing w:after="0" w:line="240" w:lineRule="auto"/>
              <w:rPr>
                <w:rFonts w:ascii="Times New Roman" w:eastAsia="Times New Roman" w:hAnsi="Times New Roman" w:cs="Times New Roman"/>
                <w:b/>
                <w:bCs/>
                <w:color w:val="1E1E1C"/>
                <w:sz w:val="24"/>
                <w:szCs w:val="24"/>
              </w:rPr>
            </w:pPr>
            <w:r w:rsidRPr="00357BB4">
              <w:rPr>
                <w:rFonts w:ascii="Times New Roman" w:eastAsia="Times New Roman" w:hAnsi="Times New Roman" w:cs="Times New Roman"/>
                <w:b/>
                <w:bCs/>
                <w:color w:val="1E1E1C"/>
                <w:sz w:val="24"/>
                <w:szCs w:val="24"/>
              </w:rPr>
              <w:t>Use This Integration Procedure Action Element</w:t>
            </w:r>
          </w:p>
        </w:tc>
      </w:tr>
      <w:tr w:rsidR="00357BB4" w:rsidRPr="00357BB4" w14:paraId="33A79CC4" w14:textId="77777777" w:rsidTr="00AF3241">
        <w:tc>
          <w:tcPr>
            <w:tcW w:w="0" w:type="auto"/>
            <w:tcBorders>
              <w:left w:val="single" w:sz="6" w:space="0" w:color="DEDEDE"/>
              <w:bottom w:val="single" w:sz="6" w:space="0" w:color="DEDEDE"/>
              <w:right w:val="single" w:sz="6" w:space="0" w:color="DEDEDE"/>
            </w:tcBorders>
            <w:shd w:val="clear" w:color="auto" w:fill="FFFFFF"/>
            <w:hideMark/>
          </w:tcPr>
          <w:p w14:paraId="76ACA347"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FlexCards or OmniScripts</w:t>
            </w:r>
          </w:p>
        </w:tc>
        <w:tc>
          <w:tcPr>
            <w:tcW w:w="0" w:type="auto"/>
            <w:tcBorders>
              <w:bottom w:val="single" w:sz="6" w:space="0" w:color="DEDEDE"/>
              <w:right w:val="single" w:sz="6" w:space="0" w:color="DEDEDE"/>
            </w:tcBorders>
            <w:shd w:val="clear" w:color="auto" w:fill="FFFFFF"/>
            <w:hideMark/>
          </w:tcPr>
          <w:p w14:paraId="5800D992"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Response Action</w:t>
            </w:r>
          </w:p>
        </w:tc>
      </w:tr>
      <w:tr w:rsidR="00357BB4" w:rsidRPr="00357BB4" w14:paraId="1A93B5E0" w14:textId="77777777" w:rsidTr="00AF3241">
        <w:tc>
          <w:tcPr>
            <w:tcW w:w="0" w:type="auto"/>
            <w:tcBorders>
              <w:left w:val="single" w:sz="6" w:space="0" w:color="DEDEDE"/>
              <w:bottom w:val="single" w:sz="6" w:space="0" w:color="DEDEDE"/>
              <w:right w:val="single" w:sz="6" w:space="0" w:color="DEDEDE"/>
            </w:tcBorders>
            <w:shd w:val="clear" w:color="auto" w:fill="FFFFFF"/>
            <w:hideMark/>
          </w:tcPr>
          <w:p w14:paraId="4035E62B"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Salesforce Org</w:t>
            </w:r>
          </w:p>
        </w:tc>
        <w:tc>
          <w:tcPr>
            <w:tcW w:w="0" w:type="auto"/>
            <w:tcBorders>
              <w:bottom w:val="single" w:sz="6" w:space="0" w:color="DEDEDE"/>
              <w:right w:val="single" w:sz="6" w:space="0" w:color="DEDEDE"/>
            </w:tcBorders>
            <w:shd w:val="clear" w:color="auto" w:fill="FFFFFF"/>
            <w:hideMark/>
          </w:tcPr>
          <w:p w14:paraId="6ECBC6BA"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DataRaptor Post Action (To save data to Salesforce Records)</w:t>
            </w:r>
          </w:p>
        </w:tc>
      </w:tr>
      <w:tr w:rsidR="00357BB4" w:rsidRPr="00357BB4" w14:paraId="19ECFFCA" w14:textId="77777777" w:rsidTr="00AF3241">
        <w:tc>
          <w:tcPr>
            <w:tcW w:w="0" w:type="auto"/>
            <w:tcBorders>
              <w:left w:val="single" w:sz="6" w:space="0" w:color="DEDEDE"/>
              <w:bottom w:val="single" w:sz="6" w:space="0" w:color="DEDEDE"/>
              <w:right w:val="single" w:sz="6" w:space="0" w:color="DEDEDE"/>
            </w:tcBorders>
            <w:shd w:val="clear" w:color="auto" w:fill="FFFFFF"/>
            <w:hideMark/>
          </w:tcPr>
          <w:p w14:paraId="2FB4FFDC"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Salesforce Org</w:t>
            </w:r>
          </w:p>
        </w:tc>
        <w:tc>
          <w:tcPr>
            <w:tcW w:w="0" w:type="auto"/>
            <w:tcBorders>
              <w:bottom w:val="single" w:sz="6" w:space="0" w:color="DEDEDE"/>
              <w:right w:val="single" w:sz="6" w:space="0" w:color="DEDEDE"/>
            </w:tcBorders>
            <w:shd w:val="clear" w:color="auto" w:fill="FFFFFF"/>
            <w:hideMark/>
          </w:tcPr>
          <w:p w14:paraId="4DC85836"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 xml:space="preserve">Delete Action (To delete data from Salesforce </w:t>
            </w:r>
            <w:proofErr w:type="gramStart"/>
            <w:r w:rsidRPr="00357BB4">
              <w:rPr>
                <w:rFonts w:ascii="Times New Roman" w:eastAsia="Times New Roman" w:hAnsi="Times New Roman" w:cs="Times New Roman"/>
                <w:color w:val="1E1E1C"/>
                <w:sz w:val="24"/>
                <w:szCs w:val="24"/>
              </w:rPr>
              <w:t>Records )</w:t>
            </w:r>
            <w:proofErr w:type="gramEnd"/>
          </w:p>
        </w:tc>
      </w:tr>
      <w:tr w:rsidR="00357BB4" w:rsidRPr="00357BB4" w14:paraId="2C758F50" w14:textId="77777777" w:rsidTr="00AF3241">
        <w:tc>
          <w:tcPr>
            <w:tcW w:w="0" w:type="auto"/>
            <w:tcBorders>
              <w:left w:val="single" w:sz="6" w:space="0" w:color="DEDEDE"/>
              <w:bottom w:val="single" w:sz="6" w:space="0" w:color="DEDEDE"/>
              <w:right w:val="single" w:sz="6" w:space="0" w:color="DEDEDE"/>
            </w:tcBorders>
            <w:shd w:val="clear" w:color="auto" w:fill="FFFFFF"/>
            <w:hideMark/>
          </w:tcPr>
          <w:p w14:paraId="341D98A3"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API</w:t>
            </w:r>
          </w:p>
        </w:tc>
        <w:tc>
          <w:tcPr>
            <w:tcW w:w="0" w:type="auto"/>
            <w:tcBorders>
              <w:bottom w:val="single" w:sz="6" w:space="0" w:color="DEDEDE"/>
              <w:right w:val="single" w:sz="6" w:space="0" w:color="DEDEDE"/>
            </w:tcBorders>
            <w:shd w:val="clear" w:color="auto" w:fill="FFFFFF"/>
            <w:hideMark/>
          </w:tcPr>
          <w:p w14:paraId="6E757E27"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HTTP Action</w:t>
            </w:r>
          </w:p>
        </w:tc>
      </w:tr>
      <w:tr w:rsidR="00357BB4" w:rsidRPr="00357BB4" w14:paraId="5A22667B" w14:textId="77777777" w:rsidTr="00AF3241">
        <w:tc>
          <w:tcPr>
            <w:tcW w:w="0" w:type="auto"/>
            <w:tcBorders>
              <w:left w:val="single" w:sz="6" w:space="0" w:color="DEDEDE"/>
              <w:bottom w:val="single" w:sz="6" w:space="0" w:color="DEDEDE"/>
              <w:right w:val="single" w:sz="6" w:space="0" w:color="DEDEDE"/>
            </w:tcBorders>
            <w:shd w:val="clear" w:color="auto" w:fill="FFFFFF"/>
            <w:hideMark/>
          </w:tcPr>
          <w:p w14:paraId="3507AE54"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Send Email</w:t>
            </w:r>
          </w:p>
        </w:tc>
        <w:tc>
          <w:tcPr>
            <w:tcW w:w="0" w:type="auto"/>
            <w:tcBorders>
              <w:bottom w:val="single" w:sz="6" w:space="0" w:color="DEDEDE"/>
              <w:right w:val="single" w:sz="6" w:space="0" w:color="DEDEDE"/>
            </w:tcBorders>
            <w:shd w:val="clear" w:color="auto" w:fill="FFFFFF"/>
            <w:hideMark/>
          </w:tcPr>
          <w:p w14:paraId="02B7A430"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Email Action</w:t>
            </w:r>
          </w:p>
        </w:tc>
      </w:tr>
      <w:tr w:rsidR="00357BB4" w:rsidRPr="00357BB4" w14:paraId="004BCEBE" w14:textId="77777777" w:rsidTr="00AF3241">
        <w:tc>
          <w:tcPr>
            <w:tcW w:w="0" w:type="auto"/>
            <w:tcBorders>
              <w:left w:val="single" w:sz="6" w:space="0" w:color="DEDEDE"/>
              <w:bottom w:val="single" w:sz="6" w:space="0" w:color="DEDEDE"/>
              <w:right w:val="single" w:sz="6" w:space="0" w:color="DEDEDE"/>
            </w:tcBorders>
            <w:shd w:val="clear" w:color="auto" w:fill="FFFFFF"/>
            <w:hideMark/>
          </w:tcPr>
          <w:p w14:paraId="74C25A7E"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DocuSign Template</w:t>
            </w:r>
          </w:p>
        </w:tc>
        <w:tc>
          <w:tcPr>
            <w:tcW w:w="0" w:type="auto"/>
            <w:tcBorders>
              <w:bottom w:val="single" w:sz="6" w:space="0" w:color="DEDEDE"/>
              <w:right w:val="single" w:sz="6" w:space="0" w:color="DEDEDE"/>
            </w:tcBorders>
            <w:shd w:val="clear" w:color="auto" w:fill="FFFFFF"/>
            <w:hideMark/>
          </w:tcPr>
          <w:p w14:paraId="5F169480"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DocuSign Envelope Action</w:t>
            </w:r>
          </w:p>
        </w:tc>
      </w:tr>
    </w:tbl>
    <w:p w14:paraId="09544511" w14:textId="368B4319" w:rsidR="00357BB4" w:rsidRDefault="00357BB4"/>
    <w:p w14:paraId="519705E4" w14:textId="77777777" w:rsidR="00AF3241" w:rsidRDefault="00AF3241" w:rsidP="00AF3241">
      <w:pPr>
        <w:pStyle w:val="Heading2"/>
        <w:shd w:val="clear" w:color="auto" w:fill="F5F5F5"/>
        <w:rPr>
          <w:rFonts w:ascii="Segoe UI" w:hAnsi="Segoe UI" w:cs="Segoe UI"/>
          <w:color w:val="333333"/>
        </w:rPr>
      </w:pPr>
      <w:r>
        <w:rPr>
          <w:rFonts w:ascii="Segoe UI" w:hAnsi="Segoe UI" w:cs="Segoe UI"/>
          <w:color w:val="333333"/>
        </w:rPr>
        <w:t>Where Integration Procedures Fit Within the Data Flow</w:t>
      </w:r>
    </w:p>
    <w:p w14:paraId="75BF9452"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First, let’s see where an Integration Procedure fits in the data flow for this scenario. </w:t>
      </w:r>
    </w:p>
    <w:p w14:paraId="51AA0E5E" w14:textId="77777777" w:rsidR="00AF3241" w:rsidRPr="00AF3241" w:rsidRDefault="00AF3241" w:rsidP="00AF3241">
      <w:pPr>
        <w:numPr>
          <w:ilvl w:val="0"/>
          <w:numId w:val="1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When the Edit Account OmniScript launches from an action on a FlexCard, it passes the RecordId for the account (called the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from a JSON node to a DataRaptor Extract.</w:t>
      </w:r>
    </w:p>
    <w:p w14:paraId="03F5FA4D" w14:textId="77777777" w:rsidR="00AF3241" w:rsidRPr="00AF3241" w:rsidRDefault="00AF3241" w:rsidP="00AF3241">
      <w:pPr>
        <w:numPr>
          <w:ilvl w:val="0"/>
          <w:numId w:val="1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The Edit Account OmniScript saves this RecordId in a variable called </w:t>
      </w:r>
      <w:proofErr w:type="spellStart"/>
      <w:r w:rsidRPr="00AF3241">
        <w:rPr>
          <w:rFonts w:ascii="Segoe UI" w:eastAsia="Times New Roman" w:hAnsi="Segoe UI" w:cs="Segoe UI"/>
          <w:color w:val="1E1E1E"/>
          <w:sz w:val="24"/>
          <w:szCs w:val="24"/>
        </w:rPr>
        <w:t>ContextId</w:t>
      </w:r>
      <w:proofErr w:type="spellEnd"/>
      <w:r w:rsidRPr="00AF3241">
        <w:rPr>
          <w:rFonts w:ascii="Segoe UI" w:eastAsia="Times New Roman" w:hAnsi="Segoe UI" w:cs="Segoe UI"/>
          <w:color w:val="1E1E1E"/>
          <w:sz w:val="24"/>
          <w:szCs w:val="24"/>
        </w:rPr>
        <w:t xml:space="preserve">.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is an arbitrary name for the RecordId, which means you can call the RecordId anything you like; however, the name must be the same in each of the elements for the data to flow properly between them and Salesforce. It’s best practice to label the </w:t>
      </w:r>
      <w:proofErr w:type="spellStart"/>
      <w:r w:rsidRPr="00AF3241">
        <w:rPr>
          <w:rFonts w:ascii="Segoe UI" w:eastAsia="Times New Roman" w:hAnsi="Segoe UI" w:cs="Segoe UI"/>
          <w:color w:val="1E1E1E"/>
          <w:sz w:val="24"/>
          <w:szCs w:val="24"/>
        </w:rPr>
        <w:t>ContextId</w:t>
      </w:r>
      <w:proofErr w:type="spellEnd"/>
      <w:r w:rsidRPr="00AF3241">
        <w:rPr>
          <w:rFonts w:ascii="Segoe UI" w:eastAsia="Times New Roman" w:hAnsi="Segoe UI" w:cs="Segoe UI"/>
          <w:color w:val="1E1E1E"/>
          <w:sz w:val="24"/>
          <w:szCs w:val="24"/>
        </w:rPr>
        <w:t xml:space="preserve"> with a description of what kind of ID it is.</w:t>
      </w:r>
    </w:p>
    <w:p w14:paraId="0E9020C3" w14:textId="77777777" w:rsidR="00AF3241" w:rsidRPr="00AF3241" w:rsidRDefault="00AF3241" w:rsidP="00AF3241">
      <w:pPr>
        <w:numPr>
          <w:ilvl w:val="0"/>
          <w:numId w:val="1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The OmniScript passes a variable called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to an Integration Procedure, which passes the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to a DataRaptor Extract.</w:t>
      </w:r>
    </w:p>
    <w:p w14:paraId="4A458293" w14:textId="77777777" w:rsidR="00AF3241" w:rsidRPr="00AF3241" w:rsidRDefault="00AF3241" w:rsidP="00AF3241">
      <w:pPr>
        <w:numPr>
          <w:ilvl w:val="0"/>
          <w:numId w:val="1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The DataRaptor Extract uses the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in Salesforce Object Query Language (SOQL) to retrieve data from Salesforce. This includes not only the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but also data from the Account record. The DataRaptor Extract sends the data, in JavaScript Object Notation (JSON) format, back to the Integration Procedure and then to the OmniScript.</w:t>
      </w:r>
    </w:p>
    <w:p w14:paraId="67AF21E8" w14:textId="5105B4EC"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3E0F532F" wp14:editId="098F142D">
            <wp:extent cx="5943600" cy="962025"/>
            <wp:effectExtent l="0" t="0" r="0" b="9525"/>
            <wp:docPr id="24" name="Picture 24" descr="Data flow from an OmniScript to a data tool that extracts data from Sales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flow from an OmniScript to a data tool that extracts data from Salesfor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44B4BFAF" w14:textId="77777777" w:rsidR="00AF3241" w:rsidRPr="00AF3241" w:rsidRDefault="00AF3241" w:rsidP="00AF3241">
      <w:pPr>
        <w:numPr>
          <w:ilvl w:val="0"/>
          <w:numId w:val="1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The user and other OmniScript actions manipulate the data.</w:t>
      </w:r>
    </w:p>
    <w:p w14:paraId="652A86D2" w14:textId="77777777" w:rsidR="00AF3241" w:rsidRPr="00AF3241" w:rsidRDefault="00AF3241" w:rsidP="00AF3241">
      <w:pPr>
        <w:numPr>
          <w:ilvl w:val="0"/>
          <w:numId w:val="1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lastRenderedPageBreak/>
        <w:t xml:space="preserve">An updated data JSON, including the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is then passed to an Integration Procedure, which passes it to a DataRaptor Load.</w:t>
      </w:r>
    </w:p>
    <w:p w14:paraId="2B8315DC" w14:textId="77777777" w:rsidR="00AF3241" w:rsidRPr="00AF3241" w:rsidRDefault="00AF3241" w:rsidP="00AF3241">
      <w:pPr>
        <w:numPr>
          <w:ilvl w:val="0"/>
          <w:numId w:val="1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The DataRaptor Load uses the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to identify the original account record and updates the data in Salesforce.</w:t>
      </w:r>
    </w:p>
    <w:p w14:paraId="5EEA5E27" w14:textId="58FDB418"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6CF718F3" wp14:editId="72A25758">
            <wp:extent cx="5943600" cy="959485"/>
            <wp:effectExtent l="0" t="0" r="0" b="0"/>
            <wp:docPr id="23" name="Picture 23" descr="Data flow from an OmniScript to a data tool that saves data from Sales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 flow from an OmniScript to a data tool that saves data from Salesfor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959485"/>
                    </a:xfrm>
                    <a:prstGeom prst="rect">
                      <a:avLst/>
                    </a:prstGeom>
                    <a:noFill/>
                    <a:ln>
                      <a:noFill/>
                    </a:ln>
                  </pic:spPr>
                </pic:pic>
              </a:graphicData>
            </a:graphic>
          </wp:inline>
        </w:drawing>
      </w:r>
    </w:p>
    <w:p w14:paraId="602AF813" w14:textId="77777777" w:rsidR="00AF3241" w:rsidRPr="00AF3241" w:rsidRDefault="00AF3241" w:rsidP="00AF3241">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AF3241">
        <w:rPr>
          <w:rFonts w:ascii="Segoe UI" w:eastAsia="Times New Roman" w:hAnsi="Segoe UI" w:cs="Segoe UI"/>
          <w:b/>
          <w:bCs/>
          <w:color w:val="333333"/>
          <w:sz w:val="36"/>
          <w:szCs w:val="36"/>
        </w:rPr>
        <w:t>Build an Integration Procedure to Get Data</w:t>
      </w:r>
    </w:p>
    <w:p w14:paraId="6B7BDF0B"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In scenario 1 in the previous unit, you designed the Integration Procedure to get data for the Edit Account OmniScript. You chose the DataRaptor Turbo Extract Action to call a DataRaptor Turbo Extract to get Account data from Salesforce. Then you chose the Response Action to send that data back to the Edit Account OmniScript from the Integration Procedure. That process looks like this. </w:t>
      </w:r>
    </w:p>
    <w:p w14:paraId="0A28A9A7" w14:textId="0FDFE1C5"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5E850B2D" wp14:editId="06373B05">
            <wp:extent cx="5943600" cy="1381760"/>
            <wp:effectExtent l="0" t="0" r="0" b="8890"/>
            <wp:docPr id="22" name="Picture 22" descr="Action elements involved in the Data Extrac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tion elements involved in the Data Extract proce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381760"/>
                    </a:xfrm>
                    <a:prstGeom prst="rect">
                      <a:avLst/>
                    </a:prstGeom>
                    <a:noFill/>
                    <a:ln>
                      <a:noFill/>
                    </a:ln>
                  </pic:spPr>
                </pic:pic>
              </a:graphicData>
            </a:graphic>
          </wp:inline>
        </w:drawing>
      </w:r>
    </w:p>
    <w:p w14:paraId="55011A7F"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How do you configure all this in the Integration Procedure itself? </w:t>
      </w:r>
    </w:p>
    <w:p w14:paraId="26626822" w14:textId="0B23E3B4"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lastRenderedPageBreak/>
        <w:drawing>
          <wp:inline distT="0" distB="0" distL="0" distR="0" wp14:anchorId="310AA294" wp14:editId="078EC4E3">
            <wp:extent cx="3962400" cy="3670300"/>
            <wp:effectExtent l="0" t="0" r="0" b="6350"/>
            <wp:docPr id="21" name="Picture 21" descr="A DataRaptor Turbo Action displays in the Structur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DataRaptor Turbo Action displays in the Structure pan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2400" cy="3670300"/>
                    </a:xfrm>
                    <a:prstGeom prst="rect">
                      <a:avLst/>
                    </a:prstGeom>
                    <a:noFill/>
                    <a:ln>
                      <a:noFill/>
                    </a:ln>
                  </pic:spPr>
                </pic:pic>
              </a:graphicData>
            </a:graphic>
          </wp:inline>
        </w:drawing>
      </w:r>
    </w:p>
    <w:p w14:paraId="2841ACB5" w14:textId="77777777" w:rsidR="00AF3241" w:rsidRPr="00AF3241" w:rsidRDefault="00AF3241" w:rsidP="00AF324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Drag a </w:t>
      </w:r>
      <w:r w:rsidRPr="00AF3241">
        <w:rPr>
          <w:rFonts w:ascii="Segoe UI" w:eastAsia="Times New Roman" w:hAnsi="Segoe UI" w:cs="Segoe UI"/>
          <w:b/>
          <w:bCs/>
          <w:color w:val="1E1E1E"/>
          <w:sz w:val="24"/>
          <w:szCs w:val="24"/>
        </w:rPr>
        <w:t>DataRaptor Turbo Action</w:t>
      </w:r>
      <w:r w:rsidRPr="00AF3241">
        <w:rPr>
          <w:rFonts w:ascii="Segoe UI" w:eastAsia="Times New Roman" w:hAnsi="Segoe UI" w:cs="Segoe UI"/>
          <w:color w:val="1E1E1E"/>
          <w:sz w:val="24"/>
          <w:szCs w:val="24"/>
        </w:rPr>
        <w:t> (1) from the Available Components panel to the Structure panel.</w:t>
      </w:r>
    </w:p>
    <w:p w14:paraId="7A8B52BF" w14:textId="3D53C728" w:rsidR="00AF3241" w:rsidRPr="00AF3241" w:rsidRDefault="00AF3241" w:rsidP="00AF324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Give it a name that describes its purpose, such as </w:t>
      </w:r>
      <w:proofErr w:type="spellStart"/>
      <w:r w:rsidRPr="00AF3241">
        <w:rPr>
          <w:rFonts w:ascii="Consolas" w:eastAsia="Times New Roman" w:hAnsi="Consolas" w:cs="Courier New"/>
          <w:color w:val="DD1144"/>
          <w:sz w:val="18"/>
          <w:szCs w:val="18"/>
          <w:bdr w:val="single" w:sz="6" w:space="2" w:color="E1E1E8" w:frame="1"/>
          <w:shd w:val="clear" w:color="auto" w:fill="F7F7F9"/>
        </w:rPr>
        <w:t>DRGetAccountDetails</w:t>
      </w:r>
      <w:proofErr w:type="spellEnd"/>
      <w:r w:rsidRPr="00AF3241">
        <w:rPr>
          <w:rFonts w:ascii="Segoe UI" w:eastAsia="Times New Roman" w:hAnsi="Segoe UI" w:cs="Segoe UI"/>
          <w:color w:val="1E1E1E"/>
          <w:sz w:val="24"/>
          <w:szCs w:val="24"/>
        </w:rPr>
        <w:t>.</w:t>
      </w:r>
      <w:r w:rsidRPr="00AF3241">
        <w:rPr>
          <w:rFonts w:ascii="Segoe UI" w:eastAsia="Times New Roman" w:hAnsi="Segoe UI" w:cs="Segoe UI"/>
          <w:noProof/>
          <w:color w:val="1E1E1E"/>
          <w:sz w:val="24"/>
          <w:szCs w:val="24"/>
        </w:rPr>
        <w:drawing>
          <wp:inline distT="0" distB="0" distL="0" distR="0" wp14:anchorId="000BCA75" wp14:editId="0064FD3D">
            <wp:extent cx="5943600" cy="2642235"/>
            <wp:effectExtent l="0" t="0" r="0" b="5715"/>
            <wp:docPr id="20" name="Picture 20" descr="The DataRaptor Turbo Extract Action’s Properties show the Name of the DataRaptor and AccountId as the Input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DataRaptor Turbo Extract Action’s Properties show the Name of the DataRaptor and AccountId as the Input Parameter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42235"/>
                    </a:xfrm>
                    <a:prstGeom prst="rect">
                      <a:avLst/>
                    </a:prstGeom>
                    <a:noFill/>
                    <a:ln>
                      <a:noFill/>
                    </a:ln>
                  </pic:spPr>
                </pic:pic>
              </a:graphicData>
            </a:graphic>
          </wp:inline>
        </w:drawing>
      </w:r>
    </w:p>
    <w:p w14:paraId="4DF27607" w14:textId="77777777" w:rsidR="00AF3241" w:rsidRPr="00AF3241" w:rsidRDefault="00AF3241" w:rsidP="00AF324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In the DataRaptor Turbo Action’s Properties panel, select the DataRaptor Turbo Extract you want to use in the DataRaptor Interface (1) field.</w:t>
      </w:r>
    </w:p>
    <w:p w14:paraId="69A6C222" w14:textId="6974072B" w:rsidR="00AF3241" w:rsidRPr="00AF3241" w:rsidRDefault="00AF3241" w:rsidP="00AF324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Under Input Parameters (2), enter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for both the Data Source and Filter Value. Remember,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is an arbitrary name for the RecordId, but it must be the same in each of the elements for the data to flow properly between them and </w:t>
      </w:r>
      <w:r w:rsidRPr="00AF3241">
        <w:rPr>
          <w:rFonts w:ascii="Segoe UI" w:eastAsia="Times New Roman" w:hAnsi="Segoe UI" w:cs="Segoe UI"/>
          <w:color w:val="1E1E1E"/>
          <w:sz w:val="24"/>
          <w:szCs w:val="24"/>
        </w:rPr>
        <w:lastRenderedPageBreak/>
        <w:t>Salesforce.</w:t>
      </w:r>
      <w:r w:rsidRPr="00AF3241">
        <w:rPr>
          <w:rFonts w:ascii="Segoe UI" w:eastAsia="Times New Roman" w:hAnsi="Segoe UI" w:cs="Segoe UI"/>
          <w:noProof/>
          <w:color w:val="1E1E1E"/>
          <w:sz w:val="24"/>
          <w:szCs w:val="24"/>
        </w:rPr>
        <w:drawing>
          <wp:inline distT="0" distB="0" distL="0" distR="0" wp14:anchorId="5F6290F1" wp14:editId="72094A4B">
            <wp:extent cx="5943600" cy="2642235"/>
            <wp:effectExtent l="0" t="0" r="0" b="5715"/>
            <wp:docPr id="19" name="Picture 19" descr="The Response Action’s Send JSON Pat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Response Action’s Send JSON Path fiel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42235"/>
                    </a:xfrm>
                    <a:prstGeom prst="rect">
                      <a:avLst/>
                    </a:prstGeom>
                    <a:noFill/>
                    <a:ln>
                      <a:noFill/>
                    </a:ln>
                  </pic:spPr>
                </pic:pic>
              </a:graphicData>
            </a:graphic>
          </wp:inline>
        </w:drawing>
      </w:r>
    </w:p>
    <w:p w14:paraId="3D727927" w14:textId="77777777" w:rsidR="00AF3241" w:rsidRPr="00AF3241" w:rsidRDefault="00AF3241" w:rsidP="00AF324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Configure the Response Action (1) to tell the Integration Procedure what data to send back to the Edit Account OmniScript. To trim the data and return only what the OmniScript needs, enter </w:t>
      </w:r>
      <w:proofErr w:type="spellStart"/>
      <w:r w:rsidRPr="00AF3241">
        <w:rPr>
          <w:rFonts w:ascii="Consolas" w:eastAsia="Times New Roman" w:hAnsi="Consolas" w:cs="Courier New"/>
          <w:color w:val="DD1144"/>
          <w:sz w:val="18"/>
          <w:szCs w:val="18"/>
          <w:bdr w:val="single" w:sz="6" w:space="2" w:color="E1E1E8" w:frame="1"/>
          <w:shd w:val="clear" w:color="auto" w:fill="F7F7F9"/>
        </w:rPr>
        <w:t>DRGetAccountDetails</w:t>
      </w:r>
      <w:proofErr w:type="spellEnd"/>
      <w:r w:rsidRPr="00AF3241">
        <w:rPr>
          <w:rFonts w:ascii="Segoe UI" w:eastAsia="Times New Roman" w:hAnsi="Segoe UI" w:cs="Segoe UI"/>
          <w:color w:val="1E1E1E"/>
          <w:sz w:val="24"/>
          <w:szCs w:val="24"/>
        </w:rPr>
        <w:t> in the Send JSON Path (2) field.</w:t>
      </w:r>
    </w:p>
    <w:p w14:paraId="6B9EAF19"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Way to go! You’ve configured the Integration Procedure, but now you want to test if it’s working. You need the RecordId of an account to do this, so let’s take a moment to explain what this is and how you find it.</w:t>
      </w:r>
    </w:p>
    <w:p w14:paraId="41B03B6E"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All records in Salesforce have a unique RecordId. To find a RecordId for an account, simply open any Account record in your org and copy the RecordId from the URL. </w:t>
      </w:r>
    </w:p>
    <w:p w14:paraId="20E4D3CA" w14:textId="09442ABF"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635F4E5C" wp14:editId="1B5AE65C">
            <wp:extent cx="5772150" cy="2000250"/>
            <wp:effectExtent l="0" t="0" r="0" b="0"/>
            <wp:docPr id="18" name="Picture 18" descr="The Account RecordId displays in th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Account RecordId displays in the UR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2150" cy="2000250"/>
                    </a:xfrm>
                    <a:prstGeom prst="rect">
                      <a:avLst/>
                    </a:prstGeom>
                    <a:noFill/>
                    <a:ln>
                      <a:noFill/>
                    </a:ln>
                  </pic:spPr>
                </pic:pic>
              </a:graphicData>
            </a:graphic>
          </wp:inline>
        </w:drawing>
      </w:r>
    </w:p>
    <w:p w14:paraId="059DA449"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Now that you have an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you’re ready to test. </w:t>
      </w:r>
    </w:p>
    <w:p w14:paraId="0BB424F8" w14:textId="1B6C22E4"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lastRenderedPageBreak/>
        <w:drawing>
          <wp:inline distT="0" distB="0" distL="0" distR="0" wp14:anchorId="5A4DFA9C" wp14:editId="5A94D996">
            <wp:extent cx="4699000" cy="4140200"/>
            <wp:effectExtent l="0" t="0" r="6350" b="0"/>
            <wp:docPr id="17" name="Picture 17" descr="The Integration Procedure returns results in the Respons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Integration Procedure returns results in the Response pan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9000" cy="4140200"/>
                    </a:xfrm>
                    <a:prstGeom prst="rect">
                      <a:avLst/>
                    </a:prstGeom>
                    <a:noFill/>
                    <a:ln>
                      <a:noFill/>
                    </a:ln>
                  </pic:spPr>
                </pic:pic>
              </a:graphicData>
            </a:graphic>
          </wp:inline>
        </w:drawing>
      </w:r>
    </w:p>
    <w:p w14:paraId="18FAE429"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On the Integration Procedure’s Preview tab, enter a Key/Value pair in the Input Parameters panel (1) such as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for the Key and an Account’s RecordId for the Value.</w:t>
      </w:r>
    </w:p>
    <w:p w14:paraId="6C0FB6DC"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Click </w:t>
      </w:r>
      <w:r w:rsidRPr="00AF3241">
        <w:rPr>
          <w:rFonts w:ascii="Segoe UI" w:eastAsia="Times New Roman" w:hAnsi="Segoe UI" w:cs="Segoe UI"/>
          <w:b/>
          <w:bCs/>
          <w:color w:val="1E1E1E"/>
          <w:sz w:val="24"/>
          <w:szCs w:val="24"/>
        </w:rPr>
        <w:t>Execute</w:t>
      </w:r>
      <w:r w:rsidRPr="00AF3241">
        <w:rPr>
          <w:rFonts w:ascii="Segoe UI" w:eastAsia="Times New Roman" w:hAnsi="Segoe UI" w:cs="Segoe UI"/>
          <w:color w:val="1E1E1E"/>
          <w:sz w:val="24"/>
          <w:szCs w:val="24"/>
        </w:rPr>
        <w:t> (2) to run the Integration Procedure. The Response pane (3) returns results to confirm it is extracting data correctly.</w:t>
      </w:r>
    </w:p>
    <w:p w14:paraId="31E6F814" w14:textId="5AE071B9"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lastRenderedPageBreak/>
        <w:drawing>
          <wp:inline distT="0" distB="0" distL="0" distR="0" wp14:anchorId="7C940EAE" wp14:editId="505B5533">
            <wp:extent cx="4394200" cy="3327400"/>
            <wp:effectExtent l="0" t="0" r="6350" b="6350"/>
            <wp:docPr id="16" name="Picture 16" descr="The Debug Log shows data to confirm the Integration Procedure and DataRaptor ar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Debug Log shows data to confirm the Integration Procedure and DataRaptor are connec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4200" cy="3327400"/>
                    </a:xfrm>
                    <a:prstGeom prst="rect">
                      <a:avLst/>
                    </a:prstGeom>
                    <a:noFill/>
                    <a:ln>
                      <a:noFill/>
                    </a:ln>
                  </pic:spPr>
                </pic:pic>
              </a:graphicData>
            </a:graphic>
          </wp:inline>
        </w:drawing>
      </w:r>
    </w:p>
    <w:p w14:paraId="04C7EF4F"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The Preview tab includes a Debug Log (1), which helps you to work through and identify any issues with the output and the input for each element in the Integration Procedure. To ensure the DataRaptor is connected to the Integration Procedure, select </w:t>
      </w:r>
      <w:proofErr w:type="spellStart"/>
      <w:r w:rsidRPr="00AF3241">
        <w:rPr>
          <w:rFonts w:ascii="Segoe UI" w:eastAsia="Times New Roman" w:hAnsi="Segoe UI" w:cs="Segoe UI"/>
          <w:b/>
          <w:bCs/>
          <w:color w:val="1E1E1E"/>
          <w:sz w:val="24"/>
          <w:szCs w:val="24"/>
        </w:rPr>
        <w:t>DRGetAccountDetails</w:t>
      </w:r>
      <w:proofErr w:type="spellEnd"/>
      <w:r w:rsidRPr="00AF3241">
        <w:rPr>
          <w:rFonts w:ascii="Segoe UI" w:eastAsia="Times New Roman" w:hAnsi="Segoe UI" w:cs="Segoe UI"/>
          <w:color w:val="1E1E1E"/>
          <w:sz w:val="24"/>
          <w:szCs w:val="24"/>
        </w:rPr>
        <w:t> (2) and confirm that the Account information displays.</w:t>
      </w:r>
    </w:p>
    <w:p w14:paraId="05346D97"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In the Debug Log dropdown, Original Input is what you expect to pass to the Integration Procedure. The Debug Log includes two entries for each element. NAME displays the output and </w:t>
      </w:r>
      <w:proofErr w:type="spellStart"/>
      <w:r w:rsidRPr="00AF3241">
        <w:rPr>
          <w:rFonts w:ascii="Segoe UI" w:eastAsia="Times New Roman" w:hAnsi="Segoe UI" w:cs="Segoe UI"/>
          <w:color w:val="1E1E1E"/>
          <w:sz w:val="24"/>
          <w:szCs w:val="24"/>
        </w:rPr>
        <w:t>NAMEDebug</w:t>
      </w:r>
      <w:proofErr w:type="spellEnd"/>
      <w:r w:rsidRPr="00AF3241">
        <w:rPr>
          <w:rFonts w:ascii="Segoe UI" w:eastAsia="Times New Roman" w:hAnsi="Segoe UI" w:cs="Segoe UI"/>
          <w:color w:val="1E1E1E"/>
          <w:sz w:val="24"/>
          <w:szCs w:val="24"/>
        </w:rPr>
        <w:t xml:space="preserve"> shows the input for the step. If you don't see expected outputs, review the debug entry to find out what is wrong with the input data.</w:t>
      </w:r>
    </w:p>
    <w:p w14:paraId="475CDCB2"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Everything seems correct and in order, so you’re ready to activate this version of the Integration Procedure.</w:t>
      </w:r>
    </w:p>
    <w:p w14:paraId="508B8443" w14:textId="3DC087B0"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lastRenderedPageBreak/>
        <w:drawing>
          <wp:inline distT="0" distB="0" distL="0" distR="0" wp14:anchorId="57042B83" wp14:editId="308A1E7E">
            <wp:extent cx="4953000" cy="3752850"/>
            <wp:effectExtent l="0" t="0" r="0" b="0"/>
            <wp:docPr id="15" name="Picture 15" descr="The Procedure Configuration element includes the Activate Vers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Procedure Configuration element includes the Activate Version butt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3000" cy="3752850"/>
                    </a:xfrm>
                    <a:prstGeom prst="rect">
                      <a:avLst/>
                    </a:prstGeom>
                    <a:noFill/>
                    <a:ln>
                      <a:noFill/>
                    </a:ln>
                  </pic:spPr>
                </pic:pic>
              </a:graphicData>
            </a:graphic>
          </wp:inline>
        </w:drawing>
      </w:r>
    </w:p>
    <w:p w14:paraId="135DD1E3"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In the Procedure Configuration (1) element properties, click </w:t>
      </w:r>
      <w:r w:rsidRPr="00AF3241">
        <w:rPr>
          <w:rFonts w:ascii="Segoe UI" w:eastAsia="Times New Roman" w:hAnsi="Segoe UI" w:cs="Segoe UI"/>
          <w:b/>
          <w:bCs/>
          <w:color w:val="1E1E1E"/>
          <w:sz w:val="24"/>
          <w:szCs w:val="24"/>
        </w:rPr>
        <w:t>Activate Version</w:t>
      </w:r>
      <w:r w:rsidRPr="00AF3241">
        <w:rPr>
          <w:rFonts w:ascii="Segoe UI" w:eastAsia="Times New Roman" w:hAnsi="Segoe UI" w:cs="Segoe UI"/>
          <w:color w:val="1E1E1E"/>
          <w:sz w:val="24"/>
          <w:szCs w:val="24"/>
        </w:rPr>
        <w:t> (2). </w:t>
      </w:r>
    </w:p>
    <w:p w14:paraId="1149B940"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Do a final test to confirm the Integration Procedure is working in the Edit Account OmniScript, and that the Integration Procedure is available for use in the OmniScript only if it’s active. </w:t>
      </w:r>
    </w:p>
    <w:p w14:paraId="5454802D"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The Edit Account OmniScript includes Integration Procedure Actions that you can configure to link Integration Procedures to the OmniScript. </w:t>
      </w:r>
    </w:p>
    <w:p w14:paraId="48C61377" w14:textId="1E9B75D3"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lastRenderedPageBreak/>
        <w:drawing>
          <wp:inline distT="0" distB="0" distL="0" distR="0" wp14:anchorId="560615A2" wp14:editId="4553100C">
            <wp:extent cx="5765800" cy="2736850"/>
            <wp:effectExtent l="0" t="0" r="6350" b="6350"/>
            <wp:docPr id="14" name="Picture 14" descr="An Integration Procedure is selected in the Integration Procedur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ntegration Procedure is selected in the Integration Procedure fiel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5800" cy="2736850"/>
                    </a:xfrm>
                    <a:prstGeom prst="rect">
                      <a:avLst/>
                    </a:prstGeom>
                    <a:noFill/>
                    <a:ln>
                      <a:noFill/>
                    </a:ln>
                  </pic:spPr>
                </pic:pic>
              </a:graphicData>
            </a:graphic>
          </wp:inline>
        </w:drawing>
      </w:r>
    </w:p>
    <w:p w14:paraId="71E5A341"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The </w:t>
      </w:r>
      <w:proofErr w:type="spellStart"/>
      <w:r w:rsidRPr="00AF3241">
        <w:rPr>
          <w:rFonts w:ascii="Segoe UI" w:eastAsia="Times New Roman" w:hAnsi="Segoe UI" w:cs="Segoe UI"/>
          <w:color w:val="1E1E1E"/>
          <w:sz w:val="24"/>
          <w:szCs w:val="24"/>
        </w:rPr>
        <w:t>IPGetAccountDetails</w:t>
      </w:r>
      <w:proofErr w:type="spellEnd"/>
      <w:r w:rsidRPr="00AF3241">
        <w:rPr>
          <w:rFonts w:ascii="Segoe UI" w:eastAsia="Times New Roman" w:hAnsi="Segoe UI" w:cs="Segoe UI"/>
          <w:color w:val="1E1E1E"/>
          <w:sz w:val="24"/>
          <w:szCs w:val="24"/>
        </w:rPr>
        <w:t xml:space="preserve"> Integration Procedure Action (1) shows </w:t>
      </w:r>
      <w:proofErr w:type="spellStart"/>
      <w:r w:rsidRPr="00AF3241">
        <w:rPr>
          <w:rFonts w:ascii="Segoe UI" w:eastAsia="Times New Roman" w:hAnsi="Segoe UI" w:cs="Segoe UI"/>
          <w:color w:val="1E1E1E"/>
          <w:sz w:val="24"/>
          <w:szCs w:val="24"/>
        </w:rPr>
        <w:t>team_getAccountDetails</w:t>
      </w:r>
      <w:proofErr w:type="spellEnd"/>
      <w:r w:rsidRPr="00AF3241">
        <w:rPr>
          <w:rFonts w:ascii="Segoe UI" w:eastAsia="Times New Roman" w:hAnsi="Segoe UI" w:cs="Segoe UI"/>
          <w:color w:val="1E1E1E"/>
          <w:sz w:val="24"/>
          <w:szCs w:val="24"/>
        </w:rPr>
        <w:t xml:space="preserve"> selected in the Integration Procedure field (2).</w:t>
      </w:r>
    </w:p>
    <w:p w14:paraId="11B4EB74"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From the Edit Account </w:t>
      </w:r>
      <w:proofErr w:type="spellStart"/>
      <w:r w:rsidRPr="00AF3241">
        <w:rPr>
          <w:rFonts w:ascii="Segoe UI" w:eastAsia="Times New Roman" w:hAnsi="Segoe UI" w:cs="Segoe UI"/>
          <w:color w:val="1E1E1E"/>
          <w:sz w:val="24"/>
          <w:szCs w:val="24"/>
        </w:rPr>
        <w:t>OmniScript’s</w:t>
      </w:r>
      <w:proofErr w:type="spellEnd"/>
      <w:r w:rsidRPr="00AF3241">
        <w:rPr>
          <w:rFonts w:ascii="Segoe UI" w:eastAsia="Times New Roman" w:hAnsi="Segoe UI" w:cs="Segoe UI"/>
          <w:color w:val="1E1E1E"/>
          <w:sz w:val="24"/>
          <w:szCs w:val="24"/>
        </w:rPr>
        <w:t xml:space="preserve"> Preview tab, enter your RecordId into the Context ID field. The Preview displays data retrieved by the Integration Procedure.</w:t>
      </w:r>
    </w:p>
    <w:p w14:paraId="64B977E9" w14:textId="17565595"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4278C7E9" wp14:editId="5943C12A">
            <wp:extent cx="4686300" cy="3200400"/>
            <wp:effectExtent l="0" t="0" r="0" b="0"/>
            <wp:docPr id="13" name="Picture 13" descr="The Edit Account OmniScript displays data retrieved by the Integration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Edit Account OmniScript displays data retrieved by the Integration Procedu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6300" cy="3200400"/>
                    </a:xfrm>
                    <a:prstGeom prst="rect">
                      <a:avLst/>
                    </a:prstGeom>
                    <a:noFill/>
                    <a:ln>
                      <a:noFill/>
                    </a:ln>
                  </pic:spPr>
                </pic:pic>
              </a:graphicData>
            </a:graphic>
          </wp:inline>
        </w:drawing>
      </w:r>
    </w:p>
    <w:p w14:paraId="3A3A1D61"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Congratulations! You’ve learned how to create an Integration Procedure that gets data for an OmniScript. </w:t>
      </w:r>
    </w:p>
    <w:p w14:paraId="6285F61E"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lastRenderedPageBreak/>
        <w:t>The data displayed for the Website is www.acme4.com. But what if you want to change that to www.acme.com? Let’s turn our attention to an Integration Procedure that saves data from an OmniScript.</w:t>
      </w:r>
    </w:p>
    <w:p w14:paraId="483FBB9C" w14:textId="77777777" w:rsidR="00AF3241" w:rsidRPr="00AF3241" w:rsidRDefault="00AF3241" w:rsidP="00AF3241">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AF3241">
        <w:rPr>
          <w:rFonts w:ascii="Segoe UI" w:eastAsia="Times New Roman" w:hAnsi="Segoe UI" w:cs="Segoe UI"/>
          <w:b/>
          <w:bCs/>
          <w:color w:val="333333"/>
          <w:sz w:val="36"/>
          <w:szCs w:val="36"/>
        </w:rPr>
        <w:t>Build an Integration Procedure to Save Data</w:t>
      </w:r>
    </w:p>
    <w:p w14:paraId="500D19ED"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When you designed the Integration Procedure for this scenario, you chose the DataRaptor Post Action element to save updated data from the Edit Account OmniScript to Salesforce. Here’s the flow. </w:t>
      </w:r>
    </w:p>
    <w:p w14:paraId="21A8732A" w14:textId="6B17916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2E9A0A3D" wp14:editId="070F2553">
            <wp:extent cx="5943600" cy="455930"/>
            <wp:effectExtent l="0" t="0" r="0" b="1270"/>
            <wp:docPr id="12" name="Picture 12" descr="Action elements involved in the Data Loa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on elements involved in the Data Load proces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55930"/>
                    </a:xfrm>
                    <a:prstGeom prst="rect">
                      <a:avLst/>
                    </a:prstGeom>
                    <a:noFill/>
                    <a:ln>
                      <a:noFill/>
                    </a:ln>
                  </pic:spPr>
                </pic:pic>
              </a:graphicData>
            </a:graphic>
          </wp:inline>
        </w:drawing>
      </w:r>
    </w:p>
    <w:p w14:paraId="5656D278"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Let’s configure it. </w:t>
      </w:r>
    </w:p>
    <w:p w14:paraId="5BD538FB" w14:textId="19D04EF4"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6687A2C5" wp14:editId="0A3E79B8">
            <wp:extent cx="5791200" cy="2343150"/>
            <wp:effectExtent l="0" t="0" r="0" b="0"/>
            <wp:docPr id="11" name="Picture 11" descr="A DataRaptor Post Action displays in the Structur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DataRaptor Post Action displays in the Structure pane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1200" cy="2343150"/>
                    </a:xfrm>
                    <a:prstGeom prst="rect">
                      <a:avLst/>
                    </a:prstGeom>
                    <a:noFill/>
                    <a:ln>
                      <a:noFill/>
                    </a:ln>
                  </pic:spPr>
                </pic:pic>
              </a:graphicData>
            </a:graphic>
          </wp:inline>
        </w:drawing>
      </w:r>
    </w:p>
    <w:p w14:paraId="1DF7EAE6" w14:textId="77777777" w:rsidR="00AF3241" w:rsidRPr="00AF3241" w:rsidRDefault="00AF3241" w:rsidP="00AF3241">
      <w:pPr>
        <w:numPr>
          <w:ilvl w:val="0"/>
          <w:numId w:val="1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Drag a </w:t>
      </w:r>
      <w:r w:rsidRPr="00AF3241">
        <w:rPr>
          <w:rFonts w:ascii="Segoe UI" w:eastAsia="Times New Roman" w:hAnsi="Segoe UI" w:cs="Segoe UI"/>
          <w:b/>
          <w:bCs/>
          <w:color w:val="1E1E1E"/>
          <w:sz w:val="24"/>
          <w:szCs w:val="24"/>
        </w:rPr>
        <w:t>DataRaptor Post Action</w:t>
      </w:r>
      <w:r w:rsidRPr="00AF3241">
        <w:rPr>
          <w:rFonts w:ascii="Segoe UI" w:eastAsia="Times New Roman" w:hAnsi="Segoe UI" w:cs="Segoe UI"/>
          <w:color w:val="1E1E1E"/>
          <w:sz w:val="24"/>
          <w:szCs w:val="24"/>
        </w:rPr>
        <w:t> (1) from the Available Components panel to the Structure panel.</w:t>
      </w:r>
    </w:p>
    <w:p w14:paraId="4AFB3ABE" w14:textId="77777777" w:rsidR="00AF3241" w:rsidRPr="00AF3241" w:rsidRDefault="00AF3241" w:rsidP="00AF3241">
      <w:pPr>
        <w:numPr>
          <w:ilvl w:val="0"/>
          <w:numId w:val="1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Give it a name that describes its purpose, such as </w:t>
      </w:r>
      <w:proofErr w:type="spellStart"/>
      <w:r w:rsidRPr="00AF3241">
        <w:rPr>
          <w:rFonts w:ascii="Consolas" w:eastAsia="Times New Roman" w:hAnsi="Consolas" w:cs="Courier New"/>
          <w:color w:val="DD1144"/>
          <w:sz w:val="18"/>
          <w:szCs w:val="18"/>
          <w:bdr w:val="single" w:sz="6" w:space="2" w:color="E1E1E8" w:frame="1"/>
          <w:shd w:val="clear" w:color="auto" w:fill="F7F7F9"/>
        </w:rPr>
        <w:t>DRSaveAccountDetails</w:t>
      </w:r>
      <w:proofErr w:type="spellEnd"/>
      <w:r w:rsidRPr="00AF3241">
        <w:rPr>
          <w:rFonts w:ascii="Segoe UI" w:eastAsia="Times New Roman" w:hAnsi="Segoe UI" w:cs="Segoe UI"/>
          <w:i/>
          <w:iCs/>
          <w:color w:val="1E1E1E"/>
          <w:sz w:val="24"/>
          <w:szCs w:val="24"/>
        </w:rPr>
        <w:t> </w:t>
      </w:r>
      <w:r w:rsidRPr="00AF3241">
        <w:rPr>
          <w:rFonts w:ascii="Segoe UI" w:eastAsia="Times New Roman" w:hAnsi="Segoe UI" w:cs="Segoe UI"/>
          <w:color w:val="1E1E1E"/>
          <w:sz w:val="24"/>
          <w:szCs w:val="24"/>
        </w:rPr>
        <w:t>(2).</w:t>
      </w:r>
    </w:p>
    <w:p w14:paraId="230965EA" w14:textId="56DCE526"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lastRenderedPageBreak/>
        <w:t>In the DataRaptor Post Action’s Properties panel, select the DataRaptor Load you want to use in the DataRaptor Interface field.</w:t>
      </w:r>
      <w:r w:rsidRPr="00AF3241">
        <w:rPr>
          <w:rFonts w:ascii="Segoe UI" w:eastAsia="Times New Roman" w:hAnsi="Segoe UI" w:cs="Segoe UI"/>
          <w:noProof/>
          <w:color w:val="1E1E1E"/>
          <w:sz w:val="24"/>
          <w:szCs w:val="24"/>
        </w:rPr>
        <w:drawing>
          <wp:inline distT="0" distB="0" distL="0" distR="0" wp14:anchorId="7C7C4CE2" wp14:editId="09BA9B1A">
            <wp:extent cx="5822950" cy="1714500"/>
            <wp:effectExtent l="0" t="0" r="6350" b="0"/>
            <wp:docPr id="10" name="Picture 10" descr="The DataRaptor Post Action’s Properties show the Name of the DataRa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DataRaptor Post Action’s Properties show the Name of the DataRapto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2950" cy="1714500"/>
                    </a:xfrm>
                    <a:prstGeom prst="rect">
                      <a:avLst/>
                    </a:prstGeom>
                    <a:noFill/>
                    <a:ln>
                      <a:noFill/>
                    </a:ln>
                  </pic:spPr>
                </pic:pic>
              </a:graphicData>
            </a:graphic>
          </wp:inline>
        </w:drawing>
      </w:r>
    </w:p>
    <w:p w14:paraId="3A978226"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Now, you need to activate this Integration Procedure to make it available for use in the Edit Account OmniScript. </w:t>
      </w:r>
    </w:p>
    <w:p w14:paraId="6168B1DC"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Test if the Integration Procedure is working in the Edit Account OmniScript. </w:t>
      </w:r>
    </w:p>
    <w:p w14:paraId="087C3EC2" w14:textId="79EC2CA4"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479E7AD4" wp14:editId="3D803132">
            <wp:extent cx="5835650" cy="2705100"/>
            <wp:effectExtent l="0" t="0" r="0" b="0"/>
            <wp:docPr id="9" name="Picture 9" descr="An Integration Procedure is selected in the Integration Procedur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 Integration Procedure is selected in the Integration Procedure fiel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5650" cy="2705100"/>
                    </a:xfrm>
                    <a:prstGeom prst="rect">
                      <a:avLst/>
                    </a:prstGeom>
                    <a:noFill/>
                    <a:ln>
                      <a:noFill/>
                    </a:ln>
                  </pic:spPr>
                </pic:pic>
              </a:graphicData>
            </a:graphic>
          </wp:inline>
        </w:drawing>
      </w:r>
    </w:p>
    <w:p w14:paraId="2180594B" w14:textId="77777777" w:rsidR="00AF3241" w:rsidRPr="00AF3241" w:rsidRDefault="00AF3241" w:rsidP="00AF3241">
      <w:pPr>
        <w:numPr>
          <w:ilvl w:val="0"/>
          <w:numId w:val="1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In the Edit Account OmniScript, link the </w:t>
      </w:r>
      <w:proofErr w:type="spellStart"/>
      <w:r w:rsidRPr="00AF3241">
        <w:rPr>
          <w:rFonts w:ascii="Segoe UI" w:eastAsia="Times New Roman" w:hAnsi="Segoe UI" w:cs="Segoe UI"/>
          <w:color w:val="1E1E1E"/>
          <w:sz w:val="24"/>
          <w:szCs w:val="24"/>
        </w:rPr>
        <w:t>IPSaveAccountDetails</w:t>
      </w:r>
      <w:proofErr w:type="spellEnd"/>
      <w:r w:rsidRPr="00AF3241">
        <w:rPr>
          <w:rFonts w:ascii="Segoe UI" w:eastAsia="Times New Roman" w:hAnsi="Segoe UI" w:cs="Segoe UI"/>
          <w:color w:val="1E1E1E"/>
          <w:sz w:val="24"/>
          <w:szCs w:val="24"/>
        </w:rPr>
        <w:t xml:space="preserve"> Integration Procedure Action (1) to an Integration Procedure, in this case, the </w:t>
      </w:r>
      <w:proofErr w:type="spellStart"/>
      <w:r w:rsidRPr="00AF3241">
        <w:rPr>
          <w:rFonts w:ascii="Segoe UI" w:eastAsia="Times New Roman" w:hAnsi="Segoe UI" w:cs="Segoe UI"/>
          <w:color w:val="1E1E1E"/>
          <w:sz w:val="24"/>
          <w:szCs w:val="24"/>
        </w:rPr>
        <w:t>team_saveAccountDetails</w:t>
      </w:r>
      <w:proofErr w:type="spellEnd"/>
      <w:r w:rsidRPr="00AF3241">
        <w:rPr>
          <w:rFonts w:ascii="Segoe UI" w:eastAsia="Times New Roman" w:hAnsi="Segoe UI" w:cs="Segoe UI"/>
          <w:i/>
          <w:iCs/>
          <w:color w:val="1E1E1E"/>
          <w:sz w:val="24"/>
          <w:szCs w:val="24"/>
        </w:rPr>
        <w:t> </w:t>
      </w:r>
      <w:r w:rsidRPr="00AF3241">
        <w:rPr>
          <w:rFonts w:ascii="Segoe UI" w:eastAsia="Times New Roman" w:hAnsi="Segoe UI" w:cs="Segoe UI"/>
          <w:color w:val="1E1E1E"/>
          <w:sz w:val="24"/>
          <w:szCs w:val="24"/>
        </w:rPr>
        <w:t>(2).</w:t>
      </w:r>
    </w:p>
    <w:p w14:paraId="53EE4A4B" w14:textId="429EE552" w:rsidR="00AF3241" w:rsidRPr="00AF3241" w:rsidRDefault="00AF3241" w:rsidP="00AF3241">
      <w:pPr>
        <w:numPr>
          <w:ilvl w:val="0"/>
          <w:numId w:val="1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From the Edit Account </w:t>
      </w:r>
      <w:proofErr w:type="spellStart"/>
      <w:r w:rsidRPr="00AF3241">
        <w:rPr>
          <w:rFonts w:ascii="Segoe UI" w:eastAsia="Times New Roman" w:hAnsi="Segoe UI" w:cs="Segoe UI"/>
          <w:color w:val="1E1E1E"/>
          <w:sz w:val="24"/>
          <w:szCs w:val="24"/>
        </w:rPr>
        <w:t>OmniScript’s</w:t>
      </w:r>
      <w:proofErr w:type="spellEnd"/>
      <w:r w:rsidRPr="00AF3241">
        <w:rPr>
          <w:rFonts w:ascii="Segoe UI" w:eastAsia="Times New Roman" w:hAnsi="Segoe UI" w:cs="Segoe UI"/>
          <w:color w:val="1E1E1E"/>
          <w:sz w:val="24"/>
          <w:szCs w:val="24"/>
        </w:rPr>
        <w:t xml:space="preserve"> Preview tab, enter your RecordId into the Context ID field. The Preview displays data retrieved by the first Integration </w:t>
      </w:r>
      <w:r w:rsidRPr="00AF3241">
        <w:rPr>
          <w:rFonts w:ascii="Segoe UI" w:eastAsia="Times New Roman" w:hAnsi="Segoe UI" w:cs="Segoe UI"/>
          <w:color w:val="1E1E1E"/>
          <w:sz w:val="24"/>
          <w:szCs w:val="24"/>
        </w:rPr>
        <w:lastRenderedPageBreak/>
        <w:t>Procedure you built.</w:t>
      </w:r>
      <w:r w:rsidRPr="00AF3241">
        <w:rPr>
          <w:rFonts w:ascii="Segoe UI" w:eastAsia="Times New Roman" w:hAnsi="Segoe UI" w:cs="Segoe UI"/>
          <w:noProof/>
          <w:color w:val="1E1E1E"/>
          <w:sz w:val="24"/>
          <w:szCs w:val="24"/>
        </w:rPr>
        <w:drawing>
          <wp:inline distT="0" distB="0" distL="0" distR="0" wp14:anchorId="25DAF341" wp14:editId="15002BD9">
            <wp:extent cx="5943600" cy="4078605"/>
            <wp:effectExtent l="0" t="0" r="0" b="0"/>
            <wp:docPr id="8" name="Picture 8" descr="The website URL is 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website URL is chang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78605"/>
                    </a:xfrm>
                    <a:prstGeom prst="rect">
                      <a:avLst/>
                    </a:prstGeom>
                    <a:noFill/>
                    <a:ln>
                      <a:noFill/>
                    </a:ln>
                  </pic:spPr>
                </pic:pic>
              </a:graphicData>
            </a:graphic>
          </wp:inline>
        </w:drawing>
      </w:r>
    </w:p>
    <w:p w14:paraId="77A4F3FD" w14:textId="77777777" w:rsidR="00AF3241" w:rsidRPr="00AF3241" w:rsidRDefault="00AF3241" w:rsidP="00AF3241">
      <w:pPr>
        <w:numPr>
          <w:ilvl w:val="0"/>
          <w:numId w:val="1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To test if the second Integration Procedure works, make a change to the data. Let’s change the www.acme4.com website to </w:t>
      </w:r>
      <w:r w:rsidRPr="00AF3241">
        <w:rPr>
          <w:rFonts w:ascii="Consolas" w:eastAsia="Times New Roman" w:hAnsi="Consolas" w:cs="Courier New"/>
          <w:color w:val="DD1144"/>
          <w:sz w:val="18"/>
          <w:szCs w:val="18"/>
          <w:bdr w:val="single" w:sz="6" w:space="2" w:color="E1E1E8" w:frame="1"/>
          <w:shd w:val="clear" w:color="auto" w:fill="F7F7F9"/>
        </w:rPr>
        <w:t>www.acme.com</w:t>
      </w:r>
      <w:r w:rsidRPr="00AF3241">
        <w:rPr>
          <w:rFonts w:ascii="Segoe UI" w:eastAsia="Times New Roman" w:hAnsi="Segoe UI" w:cs="Segoe UI"/>
          <w:color w:val="1E1E1E"/>
          <w:sz w:val="24"/>
          <w:szCs w:val="24"/>
        </w:rPr>
        <w:t> (1) and click </w:t>
      </w:r>
      <w:r w:rsidRPr="00AF3241">
        <w:rPr>
          <w:rFonts w:ascii="Segoe UI" w:eastAsia="Times New Roman" w:hAnsi="Segoe UI" w:cs="Segoe UI"/>
          <w:b/>
          <w:bCs/>
          <w:color w:val="1E1E1E"/>
          <w:sz w:val="24"/>
          <w:szCs w:val="24"/>
        </w:rPr>
        <w:t>Next </w:t>
      </w:r>
      <w:r w:rsidRPr="00AF3241">
        <w:rPr>
          <w:rFonts w:ascii="Segoe UI" w:eastAsia="Times New Roman" w:hAnsi="Segoe UI" w:cs="Segoe UI"/>
          <w:color w:val="1E1E1E"/>
          <w:sz w:val="24"/>
          <w:szCs w:val="24"/>
        </w:rPr>
        <w:t>(2).</w:t>
      </w:r>
    </w:p>
    <w:p w14:paraId="0E311B76" w14:textId="77777777" w:rsidR="00AF3241" w:rsidRPr="00AF3241" w:rsidRDefault="00AF3241" w:rsidP="00AF3241">
      <w:pPr>
        <w:numPr>
          <w:ilvl w:val="0"/>
          <w:numId w:val="1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Open the Account record to confirm the data was updated successfully.</w:t>
      </w:r>
    </w:p>
    <w:p w14:paraId="0CF73CBC" w14:textId="1F1B5131"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5BB2CF17" wp14:editId="44F8FD54">
            <wp:extent cx="5943600" cy="1333500"/>
            <wp:effectExtent l="0" t="0" r="0" b="0"/>
            <wp:docPr id="7" name="Picture 7" descr="The Account record shows the upda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Account record shows the updated dat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03E1BAFD"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We hope you’re feeling pretty confident about your Integration Procedure skills now. Remember, if you need to get, save, and manipulate data behind the scenes, Integration Procedures are your go-to tools. </w:t>
      </w:r>
    </w:p>
    <w:p w14:paraId="1799F77E" w14:textId="77777777" w:rsidR="00AF3241" w:rsidRDefault="00AF3241"/>
    <w:sectPr w:rsidR="00AF32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C561A0" w14:textId="77777777" w:rsidR="007644A6" w:rsidRDefault="007644A6" w:rsidP="00B67C7F">
      <w:pPr>
        <w:spacing w:after="0" w:line="240" w:lineRule="auto"/>
      </w:pPr>
      <w:r>
        <w:separator/>
      </w:r>
    </w:p>
  </w:endnote>
  <w:endnote w:type="continuationSeparator" w:id="0">
    <w:p w14:paraId="52789F15" w14:textId="77777777" w:rsidR="007644A6" w:rsidRDefault="007644A6" w:rsidP="00B67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646B79" w14:textId="77777777" w:rsidR="007644A6" w:rsidRDefault="007644A6" w:rsidP="00B67C7F">
      <w:pPr>
        <w:spacing w:after="0" w:line="240" w:lineRule="auto"/>
      </w:pPr>
      <w:r>
        <w:separator/>
      </w:r>
    </w:p>
  </w:footnote>
  <w:footnote w:type="continuationSeparator" w:id="0">
    <w:p w14:paraId="484BC159" w14:textId="77777777" w:rsidR="007644A6" w:rsidRDefault="007644A6" w:rsidP="00B67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411A6"/>
    <w:multiLevelType w:val="multilevel"/>
    <w:tmpl w:val="650E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5765CC"/>
    <w:multiLevelType w:val="multilevel"/>
    <w:tmpl w:val="0A7E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63504C"/>
    <w:multiLevelType w:val="multilevel"/>
    <w:tmpl w:val="82A0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8B466E"/>
    <w:multiLevelType w:val="multilevel"/>
    <w:tmpl w:val="3D2E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9E568D"/>
    <w:multiLevelType w:val="multilevel"/>
    <w:tmpl w:val="4C56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0C6269"/>
    <w:multiLevelType w:val="multilevel"/>
    <w:tmpl w:val="1DC8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3A4BBC"/>
    <w:multiLevelType w:val="multilevel"/>
    <w:tmpl w:val="7360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3E0B7D"/>
    <w:multiLevelType w:val="multilevel"/>
    <w:tmpl w:val="B27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0936B8"/>
    <w:multiLevelType w:val="multilevel"/>
    <w:tmpl w:val="B8C6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E176C9"/>
    <w:multiLevelType w:val="multilevel"/>
    <w:tmpl w:val="99B6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544FE1"/>
    <w:multiLevelType w:val="multilevel"/>
    <w:tmpl w:val="6634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492E27"/>
    <w:multiLevelType w:val="multilevel"/>
    <w:tmpl w:val="85CA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520FDD"/>
    <w:multiLevelType w:val="multilevel"/>
    <w:tmpl w:val="66D80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1C3C2D"/>
    <w:multiLevelType w:val="multilevel"/>
    <w:tmpl w:val="B7829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0755B8"/>
    <w:multiLevelType w:val="multilevel"/>
    <w:tmpl w:val="737CC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8"/>
  </w:num>
  <w:num w:numId="3">
    <w:abstractNumId w:val="14"/>
  </w:num>
  <w:num w:numId="4">
    <w:abstractNumId w:val="4"/>
  </w:num>
  <w:num w:numId="5">
    <w:abstractNumId w:val="6"/>
  </w:num>
  <w:num w:numId="6">
    <w:abstractNumId w:val="10"/>
  </w:num>
  <w:num w:numId="7">
    <w:abstractNumId w:val="1"/>
  </w:num>
  <w:num w:numId="8">
    <w:abstractNumId w:val="11"/>
  </w:num>
  <w:num w:numId="9">
    <w:abstractNumId w:val="9"/>
  </w:num>
  <w:num w:numId="10">
    <w:abstractNumId w:val="3"/>
  </w:num>
  <w:num w:numId="11">
    <w:abstractNumId w:val="5"/>
  </w:num>
  <w:num w:numId="12">
    <w:abstractNumId w:val="0"/>
  </w:num>
  <w:num w:numId="13">
    <w:abstractNumId w:val="12"/>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C7F"/>
    <w:rsid w:val="00357BB4"/>
    <w:rsid w:val="00380210"/>
    <w:rsid w:val="00420218"/>
    <w:rsid w:val="007315B6"/>
    <w:rsid w:val="007644A6"/>
    <w:rsid w:val="00AF3241"/>
    <w:rsid w:val="00B67C7F"/>
    <w:rsid w:val="00BD0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5C78D"/>
  <w15:chartTrackingRefBased/>
  <w15:docId w15:val="{D52E9CB9-58B1-4290-8EE3-58A4B775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202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021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315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315B6"/>
    <w:rPr>
      <w:b/>
      <w:bCs/>
    </w:rPr>
  </w:style>
  <w:style w:type="character" w:styleId="HTMLCode">
    <w:name w:val="HTML Code"/>
    <w:basedOn w:val="DefaultParagraphFont"/>
    <w:uiPriority w:val="99"/>
    <w:semiHidden/>
    <w:unhideWhenUsed/>
    <w:rsid w:val="00AF3241"/>
    <w:rPr>
      <w:rFonts w:ascii="Courier New" w:eastAsia="Times New Roman" w:hAnsi="Courier New" w:cs="Courier New"/>
      <w:sz w:val="20"/>
      <w:szCs w:val="20"/>
    </w:rPr>
  </w:style>
  <w:style w:type="character" w:styleId="Emphasis">
    <w:name w:val="Emphasis"/>
    <w:basedOn w:val="DefaultParagraphFont"/>
    <w:uiPriority w:val="20"/>
    <w:qFormat/>
    <w:rsid w:val="00AF32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594047">
      <w:bodyDiv w:val="1"/>
      <w:marLeft w:val="0"/>
      <w:marRight w:val="0"/>
      <w:marTop w:val="0"/>
      <w:marBottom w:val="0"/>
      <w:divBdr>
        <w:top w:val="none" w:sz="0" w:space="0" w:color="auto"/>
        <w:left w:val="none" w:sz="0" w:space="0" w:color="auto"/>
        <w:bottom w:val="none" w:sz="0" w:space="0" w:color="auto"/>
        <w:right w:val="none" w:sz="0" w:space="0" w:color="auto"/>
      </w:divBdr>
      <w:divsChild>
        <w:div w:id="487211713">
          <w:marLeft w:val="0"/>
          <w:marRight w:val="0"/>
          <w:marTop w:val="0"/>
          <w:marBottom w:val="0"/>
          <w:divBdr>
            <w:top w:val="none" w:sz="0" w:space="0" w:color="auto"/>
            <w:left w:val="none" w:sz="0" w:space="0" w:color="auto"/>
            <w:bottom w:val="none" w:sz="0" w:space="0" w:color="auto"/>
            <w:right w:val="none" w:sz="0" w:space="0" w:color="auto"/>
          </w:divBdr>
        </w:div>
      </w:divsChild>
    </w:div>
    <w:div w:id="278685761">
      <w:bodyDiv w:val="1"/>
      <w:marLeft w:val="0"/>
      <w:marRight w:val="0"/>
      <w:marTop w:val="0"/>
      <w:marBottom w:val="0"/>
      <w:divBdr>
        <w:top w:val="none" w:sz="0" w:space="0" w:color="auto"/>
        <w:left w:val="none" w:sz="0" w:space="0" w:color="auto"/>
        <w:bottom w:val="none" w:sz="0" w:space="0" w:color="auto"/>
        <w:right w:val="none" w:sz="0" w:space="0" w:color="auto"/>
      </w:divBdr>
    </w:div>
    <w:div w:id="365954672">
      <w:bodyDiv w:val="1"/>
      <w:marLeft w:val="0"/>
      <w:marRight w:val="0"/>
      <w:marTop w:val="0"/>
      <w:marBottom w:val="0"/>
      <w:divBdr>
        <w:top w:val="none" w:sz="0" w:space="0" w:color="auto"/>
        <w:left w:val="none" w:sz="0" w:space="0" w:color="auto"/>
        <w:bottom w:val="none" w:sz="0" w:space="0" w:color="auto"/>
        <w:right w:val="none" w:sz="0" w:space="0" w:color="auto"/>
      </w:divBdr>
      <w:divsChild>
        <w:div w:id="1640455515">
          <w:marLeft w:val="0"/>
          <w:marRight w:val="0"/>
          <w:marTop w:val="0"/>
          <w:marBottom w:val="0"/>
          <w:divBdr>
            <w:top w:val="none" w:sz="0" w:space="0" w:color="auto"/>
            <w:left w:val="none" w:sz="0" w:space="0" w:color="auto"/>
            <w:bottom w:val="none" w:sz="0" w:space="0" w:color="auto"/>
            <w:right w:val="none" w:sz="0" w:space="0" w:color="auto"/>
          </w:divBdr>
        </w:div>
      </w:divsChild>
    </w:div>
    <w:div w:id="412550310">
      <w:bodyDiv w:val="1"/>
      <w:marLeft w:val="0"/>
      <w:marRight w:val="0"/>
      <w:marTop w:val="0"/>
      <w:marBottom w:val="0"/>
      <w:divBdr>
        <w:top w:val="none" w:sz="0" w:space="0" w:color="auto"/>
        <w:left w:val="none" w:sz="0" w:space="0" w:color="auto"/>
        <w:bottom w:val="none" w:sz="0" w:space="0" w:color="auto"/>
        <w:right w:val="none" w:sz="0" w:space="0" w:color="auto"/>
      </w:divBdr>
    </w:div>
    <w:div w:id="742262143">
      <w:bodyDiv w:val="1"/>
      <w:marLeft w:val="0"/>
      <w:marRight w:val="0"/>
      <w:marTop w:val="0"/>
      <w:marBottom w:val="0"/>
      <w:divBdr>
        <w:top w:val="none" w:sz="0" w:space="0" w:color="auto"/>
        <w:left w:val="none" w:sz="0" w:space="0" w:color="auto"/>
        <w:bottom w:val="none" w:sz="0" w:space="0" w:color="auto"/>
        <w:right w:val="none" w:sz="0" w:space="0" w:color="auto"/>
      </w:divBdr>
    </w:div>
    <w:div w:id="866717486">
      <w:bodyDiv w:val="1"/>
      <w:marLeft w:val="0"/>
      <w:marRight w:val="0"/>
      <w:marTop w:val="0"/>
      <w:marBottom w:val="0"/>
      <w:divBdr>
        <w:top w:val="none" w:sz="0" w:space="0" w:color="auto"/>
        <w:left w:val="none" w:sz="0" w:space="0" w:color="auto"/>
        <w:bottom w:val="none" w:sz="0" w:space="0" w:color="auto"/>
        <w:right w:val="none" w:sz="0" w:space="0" w:color="auto"/>
      </w:divBdr>
    </w:div>
    <w:div w:id="917060120">
      <w:bodyDiv w:val="1"/>
      <w:marLeft w:val="0"/>
      <w:marRight w:val="0"/>
      <w:marTop w:val="0"/>
      <w:marBottom w:val="0"/>
      <w:divBdr>
        <w:top w:val="none" w:sz="0" w:space="0" w:color="auto"/>
        <w:left w:val="none" w:sz="0" w:space="0" w:color="auto"/>
        <w:bottom w:val="none" w:sz="0" w:space="0" w:color="auto"/>
        <w:right w:val="none" w:sz="0" w:space="0" w:color="auto"/>
      </w:divBdr>
    </w:div>
    <w:div w:id="939023280">
      <w:bodyDiv w:val="1"/>
      <w:marLeft w:val="0"/>
      <w:marRight w:val="0"/>
      <w:marTop w:val="0"/>
      <w:marBottom w:val="0"/>
      <w:divBdr>
        <w:top w:val="none" w:sz="0" w:space="0" w:color="auto"/>
        <w:left w:val="none" w:sz="0" w:space="0" w:color="auto"/>
        <w:bottom w:val="none" w:sz="0" w:space="0" w:color="auto"/>
        <w:right w:val="none" w:sz="0" w:space="0" w:color="auto"/>
      </w:divBdr>
    </w:div>
    <w:div w:id="986058162">
      <w:bodyDiv w:val="1"/>
      <w:marLeft w:val="0"/>
      <w:marRight w:val="0"/>
      <w:marTop w:val="0"/>
      <w:marBottom w:val="0"/>
      <w:divBdr>
        <w:top w:val="none" w:sz="0" w:space="0" w:color="auto"/>
        <w:left w:val="none" w:sz="0" w:space="0" w:color="auto"/>
        <w:bottom w:val="none" w:sz="0" w:space="0" w:color="auto"/>
        <w:right w:val="none" w:sz="0" w:space="0" w:color="auto"/>
      </w:divBdr>
    </w:div>
    <w:div w:id="1175268327">
      <w:bodyDiv w:val="1"/>
      <w:marLeft w:val="0"/>
      <w:marRight w:val="0"/>
      <w:marTop w:val="0"/>
      <w:marBottom w:val="0"/>
      <w:divBdr>
        <w:top w:val="none" w:sz="0" w:space="0" w:color="auto"/>
        <w:left w:val="none" w:sz="0" w:space="0" w:color="auto"/>
        <w:bottom w:val="none" w:sz="0" w:space="0" w:color="auto"/>
        <w:right w:val="none" w:sz="0" w:space="0" w:color="auto"/>
      </w:divBdr>
    </w:div>
    <w:div w:id="1177112487">
      <w:bodyDiv w:val="1"/>
      <w:marLeft w:val="0"/>
      <w:marRight w:val="0"/>
      <w:marTop w:val="0"/>
      <w:marBottom w:val="0"/>
      <w:divBdr>
        <w:top w:val="none" w:sz="0" w:space="0" w:color="auto"/>
        <w:left w:val="none" w:sz="0" w:space="0" w:color="auto"/>
        <w:bottom w:val="none" w:sz="0" w:space="0" w:color="auto"/>
        <w:right w:val="none" w:sz="0" w:space="0" w:color="auto"/>
      </w:divBdr>
    </w:div>
    <w:div w:id="1830636981">
      <w:bodyDiv w:val="1"/>
      <w:marLeft w:val="0"/>
      <w:marRight w:val="0"/>
      <w:marTop w:val="0"/>
      <w:marBottom w:val="0"/>
      <w:divBdr>
        <w:top w:val="none" w:sz="0" w:space="0" w:color="auto"/>
        <w:left w:val="none" w:sz="0" w:space="0" w:color="auto"/>
        <w:bottom w:val="none" w:sz="0" w:space="0" w:color="auto"/>
        <w:right w:val="none" w:sz="0" w:space="0" w:color="auto"/>
      </w:divBdr>
      <w:divsChild>
        <w:div w:id="933631926">
          <w:marLeft w:val="0"/>
          <w:marRight w:val="0"/>
          <w:marTop w:val="0"/>
          <w:marBottom w:val="0"/>
          <w:divBdr>
            <w:top w:val="none" w:sz="0" w:space="0" w:color="auto"/>
            <w:left w:val="none" w:sz="0" w:space="0" w:color="auto"/>
            <w:bottom w:val="none" w:sz="0" w:space="0" w:color="auto"/>
            <w:right w:val="none" w:sz="0" w:space="0" w:color="auto"/>
          </w:divBdr>
        </w:div>
        <w:div w:id="130559586">
          <w:marLeft w:val="0"/>
          <w:marRight w:val="0"/>
          <w:marTop w:val="0"/>
          <w:marBottom w:val="0"/>
          <w:divBdr>
            <w:top w:val="none" w:sz="0" w:space="0" w:color="auto"/>
            <w:left w:val="none" w:sz="0" w:space="0" w:color="auto"/>
            <w:bottom w:val="none" w:sz="0" w:space="0" w:color="auto"/>
            <w:right w:val="none" w:sz="0" w:space="0" w:color="auto"/>
          </w:divBdr>
        </w:div>
      </w:divsChild>
    </w:div>
    <w:div w:id="202358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customXml" Target="../customXml/item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E35301-EDA6-49A4-A426-48ED222FB6F9}"/>
</file>

<file path=customXml/itemProps2.xml><?xml version="1.0" encoding="utf-8"?>
<ds:datastoreItem xmlns:ds="http://schemas.openxmlformats.org/officeDocument/2006/customXml" ds:itemID="{4F6330EC-8D0F-4714-90C0-F26F7C5A2BA0}"/>
</file>

<file path=docProps/app.xml><?xml version="1.0" encoding="utf-8"?>
<Properties xmlns="http://schemas.openxmlformats.org/officeDocument/2006/extended-properties" xmlns:vt="http://schemas.openxmlformats.org/officeDocument/2006/docPropsVTypes">
  <Template>Normal</Template>
  <TotalTime>53</TotalTime>
  <Pages>1</Pages>
  <Words>2495</Words>
  <Characters>14226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Pramod A.</dc:creator>
  <cp:keywords/>
  <dc:description/>
  <cp:lastModifiedBy>Jana, Pramod A.</cp:lastModifiedBy>
  <cp:revision>6</cp:revision>
  <dcterms:created xsi:type="dcterms:W3CDTF">2021-07-01T08:42:00Z</dcterms:created>
  <dcterms:modified xsi:type="dcterms:W3CDTF">2021-07-01T09:38:00Z</dcterms:modified>
</cp:coreProperties>
</file>