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2F02" w14:textId="77777777" w:rsidR="00791F8B" w:rsidRPr="00791F8B" w:rsidRDefault="00791F8B" w:rsidP="00791F8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791F8B">
        <w:rPr>
          <w:rFonts w:ascii="Segoe UI" w:eastAsia="Times New Roman" w:hAnsi="Segoe UI" w:cs="Segoe UI"/>
          <w:b/>
          <w:bCs/>
          <w:color w:val="333333"/>
          <w:sz w:val="36"/>
          <w:szCs w:val="36"/>
          <w:lang w:eastAsia="en-IN"/>
        </w:rPr>
        <w:t>Levels of Data Access</w:t>
      </w:r>
    </w:p>
    <w:p w14:paraId="25893EBD" w14:textId="77777777"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You can control which users have access to which data in your whole org, a specific object, a specific field, or an individual record.</w:t>
      </w:r>
    </w:p>
    <w:p w14:paraId="1D38986D" w14:textId="77777777"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Organization</w:t>
      </w:r>
      <w:r w:rsidRPr="00791F8B">
        <w:rPr>
          <w:rFonts w:ascii="Segoe UI" w:eastAsia="Times New Roman" w:hAnsi="Segoe UI" w:cs="Segoe UI"/>
          <w:color w:val="1E1E1E"/>
          <w:sz w:val="24"/>
          <w:szCs w:val="24"/>
          <w:lang w:eastAsia="en-IN"/>
        </w:rPr>
        <w:br/>
      </w:r>
    </w:p>
    <w:p w14:paraId="1F3C572E" w14:textId="77777777" w:rsidR="00791F8B" w:rsidRPr="00791F8B" w:rsidRDefault="00791F8B" w:rsidP="00791F8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For your whole org, you can maintain a list of authorized users, set password policies, and limit logins to certain hours and locations.</w:t>
      </w:r>
    </w:p>
    <w:p w14:paraId="68E9416C" w14:textId="77777777"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Objects</w:t>
      </w:r>
      <w:r w:rsidRPr="00791F8B">
        <w:rPr>
          <w:rFonts w:ascii="Segoe UI" w:eastAsia="Times New Roman" w:hAnsi="Segoe UI" w:cs="Segoe UI"/>
          <w:color w:val="1E1E1E"/>
          <w:sz w:val="24"/>
          <w:szCs w:val="24"/>
          <w:lang w:eastAsia="en-IN"/>
        </w:rPr>
        <w:br/>
        <w:t>Access to object-level data is the simplest thing to control.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lastRenderedPageBreak/>
        <w:br/>
      </w:r>
      <w:r w:rsidRPr="00791F8B">
        <w:rPr>
          <w:rFonts w:ascii="Segoe UI" w:eastAsia="Times New Roman" w:hAnsi="Segoe UI" w:cs="Segoe UI"/>
          <w:b/>
          <w:bCs/>
          <w:color w:val="1E1E1E"/>
          <w:sz w:val="24"/>
          <w:szCs w:val="24"/>
          <w:lang w:eastAsia="en-IN"/>
        </w:rPr>
        <w:t>Fields</w:t>
      </w:r>
      <w:r w:rsidRPr="00791F8B">
        <w:rPr>
          <w:rFonts w:ascii="Segoe UI" w:eastAsia="Times New Roman" w:hAnsi="Segoe UI" w:cs="Segoe UI"/>
          <w:color w:val="1E1E1E"/>
          <w:sz w:val="24"/>
          <w:szCs w:val="24"/>
          <w:lang w:eastAsia="en-IN"/>
        </w:rPr>
        <w:br/>
        <w:t>You can restrict access to certain fields, even if a user has access to the object. For example, you can make the salary field in a position object invisible to interviewers but visible to hiring managers and recruiters.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Records</w:t>
      </w:r>
      <w:r w:rsidRPr="00791F8B">
        <w:rPr>
          <w:rFonts w:ascii="Segoe UI" w:eastAsia="Times New Roman" w:hAnsi="Segoe UI" w:cs="Segoe UI"/>
          <w:b/>
          <w:bCs/>
          <w:color w:val="1E1E1E"/>
          <w:sz w:val="24"/>
          <w:szCs w:val="24"/>
          <w:lang w:eastAsia="en-IN"/>
        </w:rPr>
        <w:br/>
      </w:r>
      <w:r w:rsidRPr="00791F8B">
        <w:rPr>
          <w:rFonts w:ascii="Segoe UI" w:eastAsia="Times New Roman" w:hAnsi="Segoe UI" w:cs="Segoe UI"/>
          <w:color w:val="1E1E1E"/>
          <w:sz w:val="24"/>
          <w:szCs w:val="24"/>
          <w:lang w:eastAsia="en-IN"/>
        </w:rPr>
        <w:t>You can allow particular users to view an object, but then restrict the individual object records they're allowed to see. For example, an interviewer can see and edit her own reviews, but not the reviews of other interviewers. You can manage record-level access in these four ways.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p>
    <w:p w14:paraId="577FB189" w14:textId="77777777"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Organization-wide defaults</w:t>
      </w:r>
      <w:r w:rsidRPr="00791F8B">
        <w:rPr>
          <w:rFonts w:ascii="Segoe UI" w:eastAsia="Times New Roman" w:hAnsi="Segoe UI" w:cs="Segoe UI"/>
          <w:color w:val="1E1E1E"/>
          <w:sz w:val="24"/>
          <w:szCs w:val="24"/>
          <w:lang w:eastAsia="en-IN"/>
        </w:rPr>
        <w:t xml:space="preserve"> specify the default level of access users have to </w:t>
      </w:r>
      <w:proofErr w:type="spellStart"/>
      <w:r w:rsidRPr="00791F8B">
        <w:rPr>
          <w:rFonts w:ascii="Segoe UI" w:eastAsia="Times New Roman" w:hAnsi="Segoe UI" w:cs="Segoe UI"/>
          <w:color w:val="1E1E1E"/>
          <w:sz w:val="24"/>
          <w:szCs w:val="24"/>
          <w:lang w:eastAsia="en-IN"/>
        </w:rPr>
        <w:t>each others’</w:t>
      </w:r>
      <w:proofErr w:type="spellEnd"/>
      <w:r w:rsidRPr="00791F8B">
        <w:rPr>
          <w:rFonts w:ascii="Segoe UI" w:eastAsia="Times New Roman" w:hAnsi="Segoe UI" w:cs="Segoe UI"/>
          <w:color w:val="1E1E1E"/>
          <w:sz w:val="24"/>
          <w:szCs w:val="24"/>
          <w:lang w:eastAsia="en-IN"/>
        </w:rPr>
        <w:t xml:space="preserve"> records. You use org-wide sharing settings to lock down your data to the most </w:t>
      </w:r>
      <w:r w:rsidRPr="00791F8B">
        <w:rPr>
          <w:rFonts w:ascii="Segoe UI" w:eastAsia="Times New Roman" w:hAnsi="Segoe UI" w:cs="Segoe UI"/>
          <w:color w:val="1E1E1E"/>
          <w:sz w:val="24"/>
          <w:szCs w:val="24"/>
          <w:lang w:eastAsia="en-IN"/>
        </w:rPr>
        <w:lastRenderedPageBreak/>
        <w:t>restrictive level, and then use the other record-level security and sharing tools to selectively give access to other users.</w:t>
      </w:r>
    </w:p>
    <w:p w14:paraId="58CAC4C9" w14:textId="77777777"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Role hierarchies</w:t>
      </w:r>
      <w:r w:rsidRPr="00791F8B">
        <w:rPr>
          <w:rFonts w:ascii="Segoe UI" w:eastAsia="Times New Roman" w:hAnsi="Segoe UI" w:cs="Segoe UI"/>
          <w:color w:val="1E1E1E"/>
          <w:sz w:val="24"/>
          <w:szCs w:val="24"/>
          <w:lang w:eastAsia="en-IN"/>
        </w:rPr>
        <w:t xml:space="preserve"> give access for users higher in the hierarchy to all records owned by users below them in the hierarchy. Role hierarchies don’t have to match your organization chart exactly. Instead, each role in the hierarchy should represent a level of data access that a user or group of </w:t>
      </w:r>
      <w:proofErr w:type="spellStart"/>
      <w:r w:rsidRPr="00791F8B">
        <w:rPr>
          <w:rFonts w:ascii="Segoe UI" w:eastAsia="Times New Roman" w:hAnsi="Segoe UI" w:cs="Segoe UI"/>
          <w:color w:val="1E1E1E"/>
          <w:sz w:val="24"/>
          <w:szCs w:val="24"/>
          <w:lang w:eastAsia="en-IN"/>
        </w:rPr>
        <w:t>users</w:t>
      </w:r>
      <w:proofErr w:type="spellEnd"/>
      <w:r w:rsidRPr="00791F8B">
        <w:rPr>
          <w:rFonts w:ascii="Segoe UI" w:eastAsia="Times New Roman" w:hAnsi="Segoe UI" w:cs="Segoe UI"/>
          <w:color w:val="1E1E1E"/>
          <w:sz w:val="24"/>
          <w:szCs w:val="24"/>
          <w:lang w:eastAsia="en-IN"/>
        </w:rPr>
        <w:t xml:space="preserve"> needs.</w:t>
      </w:r>
    </w:p>
    <w:p w14:paraId="75EC420F" w14:textId="77777777"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Sharing rules</w:t>
      </w:r>
      <w:r w:rsidRPr="00791F8B">
        <w:rPr>
          <w:rFonts w:ascii="Segoe UI" w:eastAsia="Times New Roman" w:hAnsi="Segoe UI" w:cs="Segoe UI"/>
          <w:color w:val="1E1E1E"/>
          <w:sz w:val="24"/>
          <w:szCs w:val="24"/>
          <w:lang w:eastAsia="en-IN"/>
        </w:rPr>
        <w:t> are automatic exceptions to organization-wide defaults for particular groups of users, so they can get to records they don’t own or can’t normally see. Sharing rules, like role hierarchies, are only used to give additional users access to records. They can’t be stricter than your organization-wide default settings.</w:t>
      </w:r>
    </w:p>
    <w:p w14:paraId="03AF4100" w14:textId="77777777"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Manual sharing</w:t>
      </w:r>
      <w:r w:rsidRPr="00791F8B">
        <w:rPr>
          <w:rFonts w:ascii="Segoe UI" w:eastAsia="Times New Roman" w:hAnsi="Segoe UI" w:cs="Segoe UI"/>
          <w:color w:val="1E1E1E"/>
          <w:sz w:val="24"/>
          <w:szCs w:val="24"/>
          <w:lang w:eastAsia="en-IN"/>
        </w:rPr>
        <w:t xml:space="preserve"> allows owners of particular records to share them with other users. Although manual sharing isn’t automated like org-wide sharing settings, role hierarchies, or sharing rules, it can be useful in some situations, </w:t>
      </w:r>
      <w:r w:rsidRPr="00791F8B">
        <w:rPr>
          <w:rFonts w:ascii="Segoe UI" w:eastAsia="Times New Roman" w:hAnsi="Segoe UI" w:cs="Segoe UI"/>
          <w:color w:val="1E1E1E"/>
          <w:sz w:val="24"/>
          <w:szCs w:val="24"/>
          <w:lang w:eastAsia="en-IN"/>
        </w:rPr>
        <w:lastRenderedPageBreak/>
        <w:t>such as when a recruiter going on vacation needs to temporarily assign ownership of a job application to someone else.</w:t>
      </w:r>
    </w:p>
    <w:p w14:paraId="755D40BD" w14:textId="77777777" w:rsidR="00636D36" w:rsidRDefault="00636D36" w:rsidP="00636D36">
      <w:pPr>
        <w:pStyle w:val="Heading2"/>
        <w:rPr>
          <w:color w:val="333333"/>
        </w:rPr>
      </w:pPr>
      <w:r>
        <w:rPr>
          <w:color w:val="333333"/>
        </w:rPr>
        <w:t>Set Password Policy</w:t>
      </w:r>
    </w:p>
    <w:p w14:paraId="15898527" w14:textId="77777777" w:rsidR="00636D36" w:rsidRDefault="00636D36" w:rsidP="00636D36">
      <w:r>
        <w:t>You can configure several settings to ensure that your users’ passwords are strong and secure.</w:t>
      </w:r>
    </w:p>
    <w:p w14:paraId="57C5F19F" w14:textId="77777777" w:rsidR="00636D36" w:rsidRDefault="00636D36" w:rsidP="00636D36"/>
    <w:p w14:paraId="5FD35366" w14:textId="77777777" w:rsidR="00636D36" w:rsidRDefault="00636D36" w:rsidP="00636D36">
      <w:r>
        <w:rPr>
          <w:rStyle w:val="Strong"/>
        </w:rPr>
        <w:t>Password policies</w:t>
      </w:r>
    </w:p>
    <w:p w14:paraId="49336CCF" w14:textId="77777777" w:rsidR="00636D36" w:rsidRDefault="00636D36" w:rsidP="00636D36">
      <w:pPr>
        <w:pStyle w:val="NormalWeb"/>
      </w:pPr>
      <w:r>
        <w:t>Set password and login policies, such as specifying an amount of time before all users’ passwords expire and the level of complexity required for passwords.</w:t>
      </w:r>
    </w:p>
    <w:p w14:paraId="54E22B99" w14:textId="77777777" w:rsidR="00636D36" w:rsidRDefault="00636D36" w:rsidP="00636D36">
      <w:pPr>
        <w:pStyle w:val="NormalWeb"/>
      </w:pPr>
      <w:r>
        <w:rPr>
          <w:rStyle w:val="Strong"/>
        </w:rPr>
        <w:t>User password expiration</w:t>
      </w:r>
    </w:p>
    <w:p w14:paraId="03AF63BA" w14:textId="77777777" w:rsidR="00636D36" w:rsidRDefault="00636D36" w:rsidP="00636D36">
      <w:pPr>
        <w:pStyle w:val="NormalWeb"/>
      </w:pPr>
      <w:r>
        <w:t>Expire the passwords for all the users in your org, except for users with “Password Never Expires” permission.</w:t>
      </w:r>
    </w:p>
    <w:p w14:paraId="7A91938F" w14:textId="77777777" w:rsidR="00636D36" w:rsidRDefault="00636D36" w:rsidP="00636D36">
      <w:pPr>
        <w:pStyle w:val="NormalWeb"/>
      </w:pPr>
      <w:r>
        <w:rPr>
          <w:rStyle w:val="Strong"/>
        </w:rPr>
        <w:t>User password resets</w:t>
      </w:r>
    </w:p>
    <w:p w14:paraId="3DD6CF9B" w14:textId="77777777" w:rsidR="00636D36" w:rsidRDefault="00636D36" w:rsidP="00636D36">
      <w:pPr>
        <w:pStyle w:val="NormalWeb"/>
      </w:pPr>
      <w:r>
        <w:t>Reset the password for specified users.</w:t>
      </w:r>
    </w:p>
    <w:p w14:paraId="74E7547B" w14:textId="77777777" w:rsidR="00636D36" w:rsidRDefault="00636D36" w:rsidP="00636D36">
      <w:pPr>
        <w:pStyle w:val="NormalWeb"/>
      </w:pPr>
      <w:r>
        <w:rPr>
          <w:rStyle w:val="Strong"/>
        </w:rPr>
        <w:lastRenderedPageBreak/>
        <w:t>Login attempts and lockout periods</w:t>
      </w:r>
    </w:p>
    <w:p w14:paraId="69A0F774" w14:textId="77777777" w:rsidR="00636D36" w:rsidRDefault="00636D36" w:rsidP="00636D36">
      <w:pPr>
        <w:pStyle w:val="NormalWeb"/>
      </w:pPr>
      <w:r>
        <w:t>If a user is locked out due to too many failed login attempts, you can unlock the person’s access.</w:t>
      </w:r>
    </w:p>
    <w:p w14:paraId="5F42183F" w14:textId="77777777" w:rsidR="00935ED0" w:rsidRDefault="00935ED0"/>
    <w:p w14:paraId="05A91370" w14:textId="77777777" w:rsidR="00935ED0" w:rsidRPr="00935ED0" w:rsidRDefault="00935ED0" w:rsidP="00935ED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935ED0">
        <w:rPr>
          <w:rFonts w:ascii="Segoe UI" w:eastAsia="Times New Roman" w:hAnsi="Segoe UI" w:cs="Segoe UI"/>
          <w:b/>
          <w:bCs/>
          <w:color w:val="333333"/>
          <w:sz w:val="36"/>
          <w:szCs w:val="36"/>
          <w:lang w:eastAsia="en-IN"/>
        </w:rPr>
        <w:t>Use Profiles to Restrict Access</w:t>
      </w:r>
    </w:p>
    <w:p w14:paraId="425B6E67" w14:textId="77777777" w:rsidR="00935ED0" w:rsidRPr="00935ED0" w:rsidRDefault="00935ED0" w:rsidP="00935ED0">
      <w:pPr>
        <w:shd w:val="clear" w:color="auto" w:fill="F5F5F5"/>
        <w:spacing w:after="0"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48A74088" w14:textId="77777777" w:rsidR="00935ED0" w:rsidRPr="00935ED0" w:rsidRDefault="00935ED0" w:rsidP="00935ED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The settings in a user’s profile determine whether the user can see a particular app, tab, field, or record type.</w:t>
      </w:r>
    </w:p>
    <w:p w14:paraId="53637673" w14:textId="77777777" w:rsidR="00935ED0" w:rsidRPr="00935ED0" w:rsidRDefault="00935ED0" w:rsidP="00935ED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The permissions in a user’s profile determine whether the user can create or edit records of a given type, run reports, and customize the app.</w:t>
      </w:r>
    </w:p>
    <w:p w14:paraId="29C3F9D6" w14:textId="77777777" w:rsidR="00935ED0" w:rsidRPr="00935ED0" w:rsidRDefault="00935ED0" w:rsidP="00935ED0">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 xml:space="preserve">Profiles usually match up with a user's job function (for example, system administrator, recruiter, or hiring manager), but you </w:t>
      </w:r>
      <w:r w:rsidRPr="00935ED0">
        <w:rPr>
          <w:rFonts w:ascii="Segoe UI" w:eastAsia="Times New Roman" w:hAnsi="Segoe UI" w:cs="Segoe UI"/>
          <w:color w:val="1E1E1E"/>
          <w:sz w:val="24"/>
          <w:szCs w:val="24"/>
          <w:lang w:eastAsia="en-IN"/>
        </w:rPr>
        <w:lastRenderedPageBreak/>
        <w:t>can have profiles for anything that makes sense for your Salesforce org. A profile can be assigned to many users, but a user can have only one profile at a time.</w:t>
      </w:r>
    </w:p>
    <w:p w14:paraId="5E545B56" w14:textId="77777777" w:rsidR="00695436" w:rsidRDefault="00695436" w:rsidP="00695436">
      <w:pPr>
        <w:pStyle w:val="Heading2"/>
        <w:shd w:val="clear" w:color="auto" w:fill="F5F5F5"/>
        <w:rPr>
          <w:rFonts w:ascii="Segoe UI" w:hAnsi="Segoe UI" w:cs="Segoe UI"/>
          <w:color w:val="333333"/>
        </w:rPr>
      </w:pPr>
      <w:r>
        <w:rPr>
          <w:rFonts w:ascii="Segoe UI" w:hAnsi="Segoe UI" w:cs="Segoe UI"/>
          <w:color w:val="333333"/>
        </w:rPr>
        <w:t>Use Permission Sets to Grant Access</w:t>
      </w:r>
    </w:p>
    <w:p w14:paraId="6540CEDA" w14:textId="77777777" w:rsidR="00695436" w:rsidRDefault="00695436" w:rsidP="00695436">
      <w:pPr>
        <w:shd w:val="clear" w:color="auto" w:fill="F5F5F5"/>
        <w:rPr>
          <w:rFonts w:ascii="Segoe UI" w:hAnsi="Segoe UI" w:cs="Segoe UI"/>
          <w:color w:val="1E1E1E"/>
        </w:rPr>
      </w:pPr>
      <w:r>
        <w:rPr>
          <w:rFonts w:ascii="Segoe UI" w:hAnsi="Segoe UI" w:cs="Segoe UI"/>
          <w:color w:val="1E1E1E"/>
        </w:rPr>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024C6E85" w14:textId="77777777" w:rsidR="00695436" w:rsidRDefault="00695436" w:rsidP="00695436">
      <w:pPr>
        <w:shd w:val="clear" w:color="auto" w:fill="F5F5F5"/>
        <w:rPr>
          <w:rFonts w:ascii="Segoe UI" w:hAnsi="Segoe UI" w:cs="Segoe UI"/>
          <w:color w:val="1E1E1E"/>
        </w:rPr>
      </w:pPr>
    </w:p>
    <w:p w14:paraId="49389851" w14:textId="77777777" w:rsidR="00695436" w:rsidRDefault="00695436" w:rsidP="00695436">
      <w:pPr>
        <w:shd w:val="clear" w:color="auto" w:fill="F5F5F5"/>
        <w:rPr>
          <w:rFonts w:ascii="Segoe UI" w:hAnsi="Segoe UI" w:cs="Segoe UI"/>
          <w:color w:val="1E1E1E"/>
        </w:rPr>
      </w:pPr>
      <w:r>
        <w:rPr>
          <w:rFonts w:ascii="Segoe UI" w:hAnsi="Segoe UI" w:cs="Segoe UI"/>
          <w:color w:val="1E1E1E"/>
        </w:rPr>
        <w:t>Permission sets make it easy to grant access to the various apps and custom objects in your org, and to take away access when it’s no longer needed.</w:t>
      </w:r>
    </w:p>
    <w:p w14:paraId="1B383784" w14:textId="77777777" w:rsidR="00695436" w:rsidRDefault="00695436" w:rsidP="00695436">
      <w:pPr>
        <w:shd w:val="clear" w:color="auto" w:fill="F5F5F5"/>
        <w:rPr>
          <w:rFonts w:ascii="Segoe UI" w:hAnsi="Segoe UI" w:cs="Segoe UI"/>
          <w:color w:val="1E1E1E"/>
        </w:rPr>
      </w:pPr>
    </w:p>
    <w:p w14:paraId="56B6967F" w14:textId="77777777" w:rsidR="00695436" w:rsidRDefault="00695436" w:rsidP="00695436">
      <w:pPr>
        <w:shd w:val="clear" w:color="auto" w:fill="F5F5F5"/>
        <w:rPr>
          <w:rFonts w:ascii="Segoe UI" w:hAnsi="Segoe UI" w:cs="Segoe UI"/>
          <w:color w:val="1E1E1E"/>
        </w:rPr>
      </w:pPr>
      <w:r>
        <w:rPr>
          <w:rFonts w:ascii="Segoe UI" w:hAnsi="Segoe UI" w:cs="Segoe UI"/>
          <w:color w:val="1E1E1E"/>
        </w:rPr>
        <w:t>Users can have only one profile, but they can have multiple permission sets.</w:t>
      </w:r>
    </w:p>
    <w:p w14:paraId="35B87448" w14:textId="77777777" w:rsidR="00695436" w:rsidRDefault="00695436" w:rsidP="00695436">
      <w:pPr>
        <w:shd w:val="clear" w:color="auto" w:fill="F5F5F5"/>
        <w:rPr>
          <w:rFonts w:ascii="Segoe UI" w:hAnsi="Segoe UI" w:cs="Segoe UI"/>
          <w:color w:val="1E1E1E"/>
        </w:rPr>
      </w:pPr>
    </w:p>
    <w:p w14:paraId="0051C873" w14:textId="77777777" w:rsidR="00695436" w:rsidRDefault="00695436" w:rsidP="00695436">
      <w:pPr>
        <w:shd w:val="clear" w:color="auto" w:fill="F5F5F5"/>
        <w:rPr>
          <w:rFonts w:ascii="Segoe UI" w:hAnsi="Segoe UI" w:cs="Segoe UI"/>
          <w:color w:val="1E1E1E"/>
        </w:rPr>
      </w:pPr>
      <w:r>
        <w:rPr>
          <w:rFonts w:ascii="Segoe UI" w:hAnsi="Segoe UI" w:cs="Segoe UI"/>
          <w:color w:val="1E1E1E"/>
        </w:rPr>
        <w:lastRenderedPageBreak/>
        <w:t>You'll be using permission sets for two general purposes: to grant access to objects or apps, and to grant permissions—temporarily or long term—to specific fields.</w:t>
      </w:r>
    </w:p>
    <w:p w14:paraId="5C839288" w14:textId="77777777" w:rsidR="00695436" w:rsidRDefault="00695436"/>
    <w:p w14:paraId="3E99526F" w14:textId="77777777" w:rsidR="00695436" w:rsidRDefault="00695436" w:rsidP="00695436">
      <w:pPr>
        <w:pStyle w:val="Heading2"/>
        <w:rPr>
          <w:color w:val="333333"/>
        </w:rPr>
      </w:pPr>
      <w:r>
        <w:rPr>
          <w:color w:val="333333"/>
        </w:rPr>
        <w:t>Modify Field-Level Security</w:t>
      </w:r>
    </w:p>
    <w:p w14:paraId="1AFC4B30" w14:textId="77777777" w:rsidR="00695436" w:rsidRDefault="00695436" w:rsidP="00695436">
      <w:pPr>
        <w:shd w:val="clear" w:color="auto" w:fill="F5F5F5"/>
        <w:rPr>
          <w:rFonts w:ascii="Segoe UI" w:hAnsi="Segoe UI" w:cs="Segoe UI"/>
          <w:color w:val="1E1E1E"/>
        </w:rPr>
      </w:pPr>
      <w:r>
        <w:rPr>
          <w:rFonts w:ascii="Segoe UI" w:hAnsi="Segoe UI" w:cs="Segoe UI"/>
          <w:color w:val="1E1E1E"/>
        </w:rPr>
        <w:t>Defining field-level security for sensitive fields is the second piece of the security and sharing puzzle, after controlling object-level access.</w:t>
      </w:r>
    </w:p>
    <w:p w14:paraId="5BDD2243" w14:textId="77777777" w:rsidR="00695436" w:rsidRDefault="00695436" w:rsidP="00695436">
      <w:pPr>
        <w:shd w:val="clear" w:color="auto" w:fill="F5F5F5"/>
        <w:rPr>
          <w:rFonts w:ascii="Segoe UI" w:hAnsi="Segoe UI" w:cs="Segoe UI"/>
          <w:color w:val="1E1E1E"/>
        </w:rPr>
      </w:pPr>
    </w:p>
    <w:p w14:paraId="4D785C86" w14:textId="77777777" w:rsidR="00695436" w:rsidRDefault="00695436" w:rsidP="00695436">
      <w:pPr>
        <w:shd w:val="clear" w:color="auto" w:fill="F5F5F5"/>
        <w:rPr>
          <w:rFonts w:ascii="Segoe UI" w:hAnsi="Segoe UI" w:cs="Segoe UI"/>
          <w:color w:val="1E1E1E"/>
        </w:rPr>
      </w:pPr>
      <w:r>
        <w:rPr>
          <w:rFonts w:ascii="Segoe UI" w:hAnsi="Segoe UI" w:cs="Segoe UI"/>
          <w:color w:val="1E1E1E"/>
        </w:rP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1D826802" w14:textId="77777777" w:rsidR="00695436" w:rsidRDefault="00695436" w:rsidP="00695436">
      <w:pPr>
        <w:shd w:val="clear" w:color="auto" w:fill="F5F5F5"/>
        <w:rPr>
          <w:rFonts w:ascii="Segoe UI" w:hAnsi="Segoe UI" w:cs="Segoe UI"/>
          <w:color w:val="1E1E1E"/>
        </w:rPr>
      </w:pPr>
    </w:p>
    <w:p w14:paraId="2EDCDAB6" w14:textId="77777777" w:rsidR="00695436" w:rsidRDefault="00695436" w:rsidP="00695436">
      <w:pPr>
        <w:shd w:val="clear" w:color="auto" w:fill="F5F5F5"/>
        <w:rPr>
          <w:rFonts w:ascii="Segoe UI" w:hAnsi="Segoe UI" w:cs="Segoe UI"/>
          <w:color w:val="1E1E1E"/>
        </w:rPr>
      </w:pPr>
      <w:r>
        <w:rPr>
          <w:rFonts w:ascii="Segoe UI" w:hAnsi="Segoe UI" w:cs="Segoe UI"/>
          <w:color w:val="1E1E1E"/>
        </w:rPr>
        <w:lastRenderedPageBreak/>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69BF449E" w14:textId="77777777" w:rsidR="0027615E" w:rsidRDefault="0027615E"/>
    <w:p w14:paraId="69B84CB2" w14:textId="77777777" w:rsidR="0027615E" w:rsidRPr="0027615E" w:rsidRDefault="0027615E" w:rsidP="0027615E">
      <w:pPr>
        <w:shd w:val="clear" w:color="auto" w:fill="F5F5F5"/>
        <w:spacing w:after="0"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5E6326B3" w14:textId="77777777"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Org-wide defaults </w:t>
      </w:r>
      <w:r w:rsidRPr="0027615E">
        <w:rPr>
          <w:rFonts w:ascii="Segoe UI" w:eastAsia="Times New Roman" w:hAnsi="Segoe UI" w:cs="Segoe UI"/>
          <w:color w:val="1E1E1E"/>
          <w:sz w:val="24"/>
          <w:szCs w:val="24"/>
          <w:lang w:eastAsia="en-IN"/>
        </w:rPr>
        <w:t>specify the default level of access users have to each other’s records.</w:t>
      </w:r>
    </w:p>
    <w:p w14:paraId="1CD0794C" w14:textId="77777777"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Role hierarchies</w:t>
      </w:r>
      <w:r w:rsidRPr="0027615E">
        <w:rPr>
          <w:rFonts w:ascii="Segoe UI" w:eastAsia="Times New Roman" w:hAnsi="Segoe UI" w:cs="Segoe UI"/>
          <w:color w:val="1E1E1E"/>
          <w:sz w:val="24"/>
          <w:szCs w:val="24"/>
          <w:lang w:eastAsia="en-IN"/>
        </w:rPr>
        <w:t xml:space="preserve"> ensure managers have access to the same records as their subordinates. Each role in the hierarchy </w:t>
      </w:r>
      <w:r w:rsidRPr="0027615E">
        <w:rPr>
          <w:rFonts w:ascii="Segoe UI" w:eastAsia="Times New Roman" w:hAnsi="Segoe UI" w:cs="Segoe UI"/>
          <w:color w:val="1E1E1E"/>
          <w:sz w:val="24"/>
          <w:szCs w:val="24"/>
          <w:lang w:eastAsia="en-IN"/>
        </w:rPr>
        <w:lastRenderedPageBreak/>
        <w:t xml:space="preserve">represents a level of data access that a user or group of </w:t>
      </w:r>
      <w:proofErr w:type="spellStart"/>
      <w:r w:rsidRPr="0027615E">
        <w:rPr>
          <w:rFonts w:ascii="Segoe UI" w:eastAsia="Times New Roman" w:hAnsi="Segoe UI" w:cs="Segoe UI"/>
          <w:color w:val="1E1E1E"/>
          <w:sz w:val="24"/>
          <w:szCs w:val="24"/>
          <w:lang w:eastAsia="en-IN"/>
        </w:rPr>
        <w:t>users</w:t>
      </w:r>
      <w:proofErr w:type="spellEnd"/>
      <w:r w:rsidRPr="0027615E">
        <w:rPr>
          <w:rFonts w:ascii="Segoe UI" w:eastAsia="Times New Roman" w:hAnsi="Segoe UI" w:cs="Segoe UI"/>
          <w:color w:val="1E1E1E"/>
          <w:sz w:val="24"/>
          <w:szCs w:val="24"/>
          <w:lang w:eastAsia="en-IN"/>
        </w:rPr>
        <w:t xml:space="preserve"> needs.</w:t>
      </w:r>
    </w:p>
    <w:p w14:paraId="04CA0B0A" w14:textId="77777777"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Sharing rules</w:t>
      </w:r>
      <w:r w:rsidRPr="0027615E">
        <w:rPr>
          <w:rFonts w:ascii="Segoe UI" w:eastAsia="Times New Roman" w:hAnsi="Segoe UI" w:cs="Segoe UI"/>
          <w:color w:val="1E1E1E"/>
          <w:sz w:val="24"/>
          <w:szCs w:val="24"/>
          <w:lang w:eastAsia="en-IN"/>
        </w:rPr>
        <w:t> are automatic exceptions to org-wide defaults for particular groups of users, to give them access to records they don’t own or can’t normally see.</w:t>
      </w:r>
    </w:p>
    <w:p w14:paraId="56163B79" w14:textId="77777777"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Manual sharing</w:t>
      </w:r>
      <w:r w:rsidRPr="0027615E">
        <w:rPr>
          <w:rFonts w:ascii="Segoe UI" w:eastAsia="Times New Roman" w:hAnsi="Segoe UI" w:cs="Segoe UI"/>
          <w:color w:val="1E1E1E"/>
          <w:sz w:val="24"/>
          <w:szCs w:val="24"/>
          <w:lang w:eastAsia="en-IN"/>
        </w:rPr>
        <w:t> lets record owners give read and edit permissions to users who might not have access to the record any other way.</w:t>
      </w:r>
    </w:p>
    <w:p w14:paraId="2DF47DAE" w14:textId="77777777" w:rsidR="0027615E" w:rsidRDefault="0027615E"/>
    <w:p w14:paraId="17864532" w14:textId="77777777" w:rsidR="0027615E" w:rsidRPr="0027615E" w:rsidRDefault="0027615E" w:rsidP="0027615E">
      <w:pPr>
        <w:shd w:val="clear" w:color="auto" w:fill="F5F5F5"/>
        <w:spacing w:after="0"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The visibility and access for any type of data is determined by the interaction of the above security controls, based on these key principles.</w:t>
      </w:r>
    </w:p>
    <w:p w14:paraId="15193F7F"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A user’s baseline permissions on any object are determined by their profile.</w:t>
      </w:r>
    </w:p>
    <w:p w14:paraId="04A5A4B0"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If the user has any permission sets assigned, these also set the baseline permissions in conjunction with the profile.</w:t>
      </w:r>
    </w:p>
    <w:p w14:paraId="61AB943B"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Access to records a user does not own are set first by the org-wide defaults.</w:t>
      </w:r>
    </w:p>
    <w:p w14:paraId="0E62804A"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lastRenderedPageBreak/>
        <w:t>If the org-wide defaults are anything less than </w:t>
      </w:r>
      <w:r w:rsidRPr="0027615E">
        <w:rPr>
          <w:rFonts w:ascii="Segoe UI" w:eastAsia="Times New Roman" w:hAnsi="Segoe UI" w:cs="Segoe UI"/>
          <w:b/>
          <w:bCs/>
          <w:color w:val="1E1E1E"/>
          <w:sz w:val="24"/>
          <w:szCs w:val="24"/>
          <w:lang w:eastAsia="en-IN"/>
        </w:rPr>
        <w:t>Public Read/Write</w:t>
      </w:r>
      <w:r w:rsidRPr="0027615E">
        <w:rPr>
          <w:rFonts w:ascii="Segoe UI" w:eastAsia="Times New Roman" w:hAnsi="Segoe UI" w:cs="Segoe UI"/>
          <w:color w:val="1E1E1E"/>
          <w:sz w:val="24"/>
          <w:szCs w:val="24"/>
          <w:lang w:eastAsia="en-IN"/>
        </w:rPr>
        <w:t>, you can open access back up for certain roles using the role hierarchy.</w:t>
      </w:r>
    </w:p>
    <w:p w14:paraId="73E05D16"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You can use sharing rules to expand access to additional groups of users.</w:t>
      </w:r>
    </w:p>
    <w:p w14:paraId="01601CC4" w14:textId="77777777"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Each record owner can manually share individual records with other users by using the Share button on the record.</w:t>
      </w:r>
    </w:p>
    <w:p w14:paraId="5F3C43C6" w14:textId="77777777" w:rsidR="0027615E" w:rsidRDefault="0027615E"/>
    <w:p w14:paraId="2600E217" w14:textId="77777777" w:rsidR="0027615E" w:rsidRDefault="0027615E" w:rsidP="0027615E">
      <w:pPr>
        <w:pStyle w:val="Heading2"/>
        <w:rPr>
          <w:color w:val="333333"/>
        </w:rPr>
      </w:pPr>
      <w:r>
        <w:rPr>
          <w:color w:val="333333"/>
        </w:rPr>
        <w:t>Org-Wide Sharing</w:t>
      </w:r>
    </w:p>
    <w:p w14:paraId="0AEE6586" w14:textId="77777777" w:rsidR="0027615E" w:rsidRDefault="0027615E" w:rsidP="0027615E">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76B97EFF" w14:textId="77777777" w:rsidR="0027615E" w:rsidRDefault="0027615E" w:rsidP="0027615E"/>
    <w:p w14:paraId="4549FB1E" w14:textId="77777777" w:rsidR="0027615E" w:rsidRDefault="0027615E" w:rsidP="0027615E">
      <w:r>
        <w:t xml:space="preserve">Object permissions determine the baseline level of access for all the records in an object. Org-wide defaults modify those permissions for records </w:t>
      </w:r>
      <w:r>
        <w:lastRenderedPageBreak/>
        <w:t>a user doesn't own. Org-wide sharing settings can be set separately for each type of object.</w:t>
      </w:r>
    </w:p>
    <w:p w14:paraId="423378C1" w14:textId="77777777" w:rsidR="0027615E" w:rsidRDefault="0027615E" w:rsidP="0027615E"/>
    <w:p w14:paraId="4BAC4932" w14:textId="77777777" w:rsidR="0027615E" w:rsidRDefault="0027615E" w:rsidP="0027615E">
      <w:r>
        <w:t>Org-wide defaults can never grant users more access than they have through their object permission.</w:t>
      </w:r>
    </w:p>
    <w:p w14:paraId="2B80EF23" w14:textId="77777777" w:rsidR="0027615E" w:rsidRDefault="0027615E"/>
    <w:p w14:paraId="0C62E1BE"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you can set the sharing model for that object to one of these settings.</w:t>
      </w:r>
    </w:p>
    <w:p w14:paraId="487AE933" w14:textId="77777777" w:rsidR="0027615E" w:rsidRPr="0027615E" w:rsidRDefault="0027615E" w:rsidP="0027615E">
      <w:pPr>
        <w:spacing w:after="0" w:line="240" w:lineRule="auto"/>
        <w:rPr>
          <w:rFonts w:ascii="Times New Roman" w:eastAsia="Times New Roman" w:hAnsi="Times New Roman" w:cs="Times New Roman"/>
          <w:sz w:val="24"/>
          <w:szCs w:val="24"/>
          <w:lang w:eastAsia="en-IN"/>
        </w:rPr>
      </w:pPr>
      <w:r w:rsidRPr="0027615E">
        <w:rPr>
          <w:rFonts w:ascii="Segoe UI" w:eastAsia="Times New Roman" w:hAnsi="Segoe UI" w:cs="Segoe UI"/>
          <w:b/>
          <w:bCs/>
          <w:color w:val="1E1E1E"/>
          <w:sz w:val="24"/>
          <w:szCs w:val="24"/>
          <w:shd w:val="clear" w:color="auto" w:fill="F5F5F5"/>
          <w:lang w:eastAsia="en-IN"/>
        </w:rPr>
        <w:t>Private </w:t>
      </w:r>
      <w:r w:rsidRPr="0027615E">
        <w:rPr>
          <w:rFonts w:ascii="Segoe UI" w:eastAsia="Times New Roman" w:hAnsi="Segoe UI" w:cs="Segoe UI"/>
          <w:color w:val="1E1E1E"/>
          <w:sz w:val="24"/>
          <w:szCs w:val="24"/>
          <w:lang w:eastAsia="en-IN"/>
        </w:rPr>
        <w:br/>
      </w:r>
      <w:r w:rsidRPr="0027615E">
        <w:rPr>
          <w:rFonts w:ascii="Segoe UI" w:eastAsia="Times New Roman" w:hAnsi="Segoe UI" w:cs="Segoe UI"/>
          <w:color w:val="1E1E1E"/>
          <w:sz w:val="24"/>
          <w:szCs w:val="24"/>
          <w:shd w:val="clear" w:color="auto" w:fill="F5F5F5"/>
          <w:lang w:eastAsia="en-IN"/>
        </w:rPr>
        <w:t>Only the record owner, and users above that role in the hierarchy, can view, edit, and report on those records.</w:t>
      </w:r>
      <w:r w:rsidRPr="0027615E">
        <w:rPr>
          <w:rFonts w:ascii="Segoe UI" w:eastAsia="Times New Roman" w:hAnsi="Segoe UI" w:cs="Segoe UI"/>
          <w:color w:val="1E1E1E"/>
          <w:sz w:val="24"/>
          <w:szCs w:val="24"/>
          <w:lang w:eastAsia="en-IN"/>
        </w:rPr>
        <w:br/>
      </w:r>
      <w:r w:rsidRPr="0027615E">
        <w:rPr>
          <w:rFonts w:ascii="Segoe UI" w:eastAsia="Times New Roman" w:hAnsi="Segoe UI" w:cs="Segoe UI"/>
          <w:color w:val="1E1E1E"/>
          <w:sz w:val="24"/>
          <w:szCs w:val="24"/>
          <w:lang w:eastAsia="en-IN"/>
        </w:rPr>
        <w:br/>
      </w:r>
      <w:r w:rsidRPr="0027615E">
        <w:rPr>
          <w:rFonts w:ascii="Segoe UI" w:eastAsia="Times New Roman" w:hAnsi="Segoe UI" w:cs="Segoe UI"/>
          <w:b/>
          <w:bCs/>
          <w:color w:val="1E1E1E"/>
          <w:sz w:val="24"/>
          <w:szCs w:val="24"/>
          <w:shd w:val="clear" w:color="auto" w:fill="F5F5F5"/>
          <w:lang w:eastAsia="en-IN"/>
        </w:rPr>
        <w:t>Public Read Only</w:t>
      </w:r>
      <w:r w:rsidRPr="0027615E">
        <w:rPr>
          <w:rFonts w:ascii="Segoe UI" w:eastAsia="Times New Roman" w:hAnsi="Segoe UI" w:cs="Segoe UI"/>
          <w:color w:val="1E1E1E"/>
          <w:sz w:val="24"/>
          <w:szCs w:val="24"/>
          <w:lang w:eastAsia="en-IN"/>
        </w:rPr>
        <w:br/>
      </w:r>
    </w:p>
    <w:p w14:paraId="2E5125B1"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All users can view and report on records, but only the owner, and users above that role in the hierarchy, can edit them.</w:t>
      </w:r>
    </w:p>
    <w:p w14:paraId="7A1FBACF"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lastRenderedPageBreak/>
        <w:t>Public Read/Write</w:t>
      </w:r>
      <w:r w:rsidRPr="0027615E">
        <w:rPr>
          <w:rFonts w:ascii="Segoe UI" w:eastAsia="Times New Roman" w:hAnsi="Segoe UI" w:cs="Segoe UI"/>
          <w:color w:val="1E1E1E"/>
          <w:sz w:val="24"/>
          <w:szCs w:val="24"/>
          <w:lang w:eastAsia="en-IN"/>
        </w:rPr>
        <w:br/>
        <w:t>All users can view, edit, and report on all records.</w:t>
      </w:r>
    </w:p>
    <w:p w14:paraId="2E4E8A4A"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Controlled by Parent </w:t>
      </w:r>
      <w:r w:rsidRPr="0027615E">
        <w:rPr>
          <w:rFonts w:ascii="Segoe UI" w:eastAsia="Times New Roman" w:hAnsi="Segoe UI" w:cs="Segoe UI"/>
          <w:color w:val="1E1E1E"/>
          <w:sz w:val="24"/>
          <w:szCs w:val="24"/>
          <w:lang w:eastAsia="en-IN"/>
        </w:rPr>
        <w:br/>
        <w:t>A user can view, edit, or delete a record if she can perform that same action on the record it belongs to.</w:t>
      </w:r>
    </w:p>
    <w:p w14:paraId="161C12BA"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When the org-wide sharing setting for an object is </w:t>
      </w:r>
      <w:r w:rsidRPr="0027615E">
        <w:rPr>
          <w:rFonts w:ascii="Segoe UI" w:eastAsia="Times New Roman" w:hAnsi="Segoe UI" w:cs="Segoe UI"/>
          <w:b/>
          <w:bCs/>
          <w:color w:val="1E1E1E"/>
          <w:sz w:val="24"/>
          <w:szCs w:val="24"/>
          <w:lang w:eastAsia="en-IN"/>
        </w:rPr>
        <w:t>Private </w:t>
      </w:r>
      <w:r w:rsidRPr="0027615E">
        <w:rPr>
          <w:rFonts w:ascii="Segoe UI" w:eastAsia="Times New Roman" w:hAnsi="Segoe UI" w:cs="Segoe UI"/>
          <w:color w:val="1E1E1E"/>
          <w:sz w:val="24"/>
          <w:szCs w:val="24"/>
          <w:lang w:eastAsia="en-IN"/>
        </w:rPr>
        <w:t>or </w:t>
      </w:r>
      <w:r w:rsidRPr="0027615E">
        <w:rPr>
          <w:rFonts w:ascii="Segoe UI" w:eastAsia="Times New Roman" w:hAnsi="Segoe UI" w:cs="Segoe UI"/>
          <w:b/>
          <w:bCs/>
          <w:color w:val="1E1E1E"/>
          <w:sz w:val="24"/>
          <w:szCs w:val="24"/>
          <w:lang w:eastAsia="en-IN"/>
        </w:rPr>
        <w:t>Public Read Only</w:t>
      </w:r>
      <w:r w:rsidRPr="0027615E">
        <w:rPr>
          <w:rFonts w:ascii="Segoe UI" w:eastAsia="Times New Roman" w:hAnsi="Segoe UI" w:cs="Segoe UI"/>
          <w:color w:val="1E1E1E"/>
          <w:sz w:val="24"/>
          <w:szCs w:val="24"/>
          <w:lang w:eastAsia="en-IN"/>
        </w:rPr>
        <w:t>,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4E0714E1" w14:textId="77777777" w:rsidR="0027615E" w:rsidRDefault="0027615E"/>
    <w:p w14:paraId="00B8D522" w14:textId="77777777" w:rsidR="0027615E" w:rsidRDefault="0027615E"/>
    <w:p w14:paraId="4DD52137" w14:textId="77777777" w:rsidR="0027615E" w:rsidRPr="0027615E" w:rsidRDefault="0027615E" w:rsidP="0027615E">
      <w:pPr>
        <w:spacing w:after="0" w:line="240" w:lineRule="auto"/>
        <w:rPr>
          <w:rFonts w:ascii="Times New Roman" w:eastAsia="Times New Roman" w:hAnsi="Times New Roman" w:cs="Times New Roman"/>
          <w:sz w:val="24"/>
          <w:szCs w:val="24"/>
          <w:lang w:eastAsia="en-IN"/>
        </w:rPr>
      </w:pPr>
      <w:r w:rsidRPr="0027615E">
        <w:rPr>
          <w:rFonts w:ascii="Segoe UI" w:eastAsia="Times New Roman" w:hAnsi="Segoe UI" w:cs="Segoe UI"/>
          <w:color w:val="1E1E1E"/>
          <w:sz w:val="24"/>
          <w:szCs w:val="24"/>
          <w:shd w:val="clear" w:color="auto" w:fill="F5F5F5"/>
          <w:lang w:eastAsia="en-IN"/>
        </w:rPr>
        <w:t>By default, a role hierarchy automatically grants access to records for users above the record owner in the hierarchy. Setting an object to </w:t>
      </w:r>
      <w:r w:rsidRPr="0027615E">
        <w:rPr>
          <w:rFonts w:ascii="Segoe UI" w:eastAsia="Times New Roman" w:hAnsi="Segoe UI" w:cs="Segoe UI"/>
          <w:b/>
          <w:bCs/>
          <w:color w:val="1E1E1E"/>
          <w:sz w:val="24"/>
          <w:szCs w:val="24"/>
          <w:shd w:val="clear" w:color="auto" w:fill="F5F5F5"/>
          <w:lang w:eastAsia="en-IN"/>
        </w:rPr>
        <w:t>Private</w:t>
      </w:r>
      <w:r w:rsidRPr="0027615E">
        <w:rPr>
          <w:rFonts w:ascii="Segoe UI" w:eastAsia="Times New Roman" w:hAnsi="Segoe UI" w:cs="Segoe UI"/>
          <w:color w:val="1E1E1E"/>
          <w:sz w:val="24"/>
          <w:szCs w:val="24"/>
          <w:shd w:val="clear" w:color="auto" w:fill="F5F5F5"/>
          <w:lang w:eastAsia="en-IN"/>
        </w:rPr>
        <w:t> makes those records visible </w:t>
      </w:r>
      <w:r w:rsidRPr="0027615E">
        <w:rPr>
          <w:rFonts w:ascii="Segoe UI" w:eastAsia="Times New Roman" w:hAnsi="Segoe UI" w:cs="Segoe UI"/>
          <w:i/>
          <w:iCs/>
          <w:color w:val="1E1E1E"/>
          <w:sz w:val="24"/>
          <w:szCs w:val="24"/>
          <w:shd w:val="clear" w:color="auto" w:fill="F5F5F5"/>
          <w:lang w:eastAsia="en-IN"/>
        </w:rPr>
        <w:t>only</w:t>
      </w:r>
      <w:r w:rsidRPr="0027615E">
        <w:rPr>
          <w:rFonts w:ascii="Segoe UI" w:eastAsia="Times New Roman" w:hAnsi="Segoe UI" w:cs="Segoe UI"/>
          <w:color w:val="1E1E1E"/>
          <w:sz w:val="24"/>
          <w:szCs w:val="24"/>
          <w:shd w:val="clear" w:color="auto" w:fill="F5F5F5"/>
          <w:lang w:eastAsia="en-IN"/>
        </w:rPr>
        <w:t xml:space="preserve"> to record owners and those above them in the role hierarchy. Use </w:t>
      </w:r>
      <w:r w:rsidRPr="0027615E">
        <w:rPr>
          <w:rFonts w:ascii="Segoe UI" w:eastAsia="Times New Roman" w:hAnsi="Segoe UI" w:cs="Segoe UI"/>
          <w:color w:val="1E1E1E"/>
          <w:sz w:val="24"/>
          <w:szCs w:val="24"/>
          <w:shd w:val="clear" w:color="auto" w:fill="F5F5F5"/>
          <w:lang w:eastAsia="en-IN"/>
        </w:rPr>
        <w:lastRenderedPageBreak/>
        <w:t>the </w:t>
      </w:r>
      <w:r w:rsidRPr="0027615E">
        <w:rPr>
          <w:rFonts w:ascii="Segoe UI" w:eastAsia="Times New Roman" w:hAnsi="Segoe UI" w:cs="Segoe UI"/>
          <w:b/>
          <w:bCs/>
          <w:color w:val="1E1E1E"/>
          <w:sz w:val="24"/>
          <w:szCs w:val="24"/>
          <w:shd w:val="clear" w:color="auto" w:fill="F5F5F5"/>
          <w:lang w:eastAsia="en-IN"/>
        </w:rPr>
        <w:t xml:space="preserve">Grant Access Using </w:t>
      </w:r>
      <w:proofErr w:type="spellStart"/>
      <w:r w:rsidRPr="0027615E">
        <w:rPr>
          <w:rFonts w:ascii="Segoe UI" w:eastAsia="Times New Roman" w:hAnsi="Segoe UI" w:cs="Segoe UI"/>
          <w:b/>
          <w:bCs/>
          <w:color w:val="1E1E1E"/>
          <w:sz w:val="24"/>
          <w:szCs w:val="24"/>
          <w:shd w:val="clear" w:color="auto" w:fill="F5F5F5"/>
          <w:lang w:eastAsia="en-IN"/>
        </w:rPr>
        <w:t>Hierarchies</w:t>
      </w:r>
      <w:r w:rsidRPr="0027615E">
        <w:rPr>
          <w:rFonts w:ascii="Segoe UI" w:eastAsia="Times New Roman" w:hAnsi="Segoe UI" w:cs="Segoe UI"/>
          <w:color w:val="1E1E1E"/>
          <w:sz w:val="24"/>
          <w:szCs w:val="24"/>
          <w:shd w:val="clear" w:color="auto" w:fill="F5F5F5"/>
          <w:lang w:eastAsia="en-IN"/>
        </w:rPr>
        <w:t>checkbox</w:t>
      </w:r>
      <w:proofErr w:type="spellEnd"/>
      <w:r w:rsidRPr="0027615E">
        <w:rPr>
          <w:rFonts w:ascii="Segoe UI" w:eastAsia="Times New Roman" w:hAnsi="Segoe UI" w:cs="Segoe UI"/>
          <w:color w:val="1E1E1E"/>
          <w:sz w:val="24"/>
          <w:szCs w:val="24"/>
          <w:shd w:val="clear" w:color="auto" w:fill="F5F5F5"/>
          <w:lang w:eastAsia="en-IN"/>
        </w:rPr>
        <w:t xml:space="preserve"> to disable access to records to users above the record owner in the hierarchy for custom objects. If you deselect this checkbox for a custom object, only the record owner and users granted access by the org-wide defaults receive access to the records.</w:t>
      </w:r>
    </w:p>
    <w:p w14:paraId="046806BD" w14:textId="77777777"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0" w:name="GrantAccessUsingHierarchiesNote"/>
      <w:bookmarkEnd w:id="0"/>
      <w:r w:rsidRPr="0027615E">
        <w:rPr>
          <w:rFonts w:ascii="Segoe UI" w:eastAsia="Times New Roman" w:hAnsi="Segoe UI" w:cs="Segoe UI"/>
          <w:color w:val="1E1E1E"/>
          <w:sz w:val="24"/>
          <w:szCs w:val="24"/>
          <w:lang w:eastAsia="en-IN"/>
        </w:rPr>
        <w:t>Even if </w:t>
      </w:r>
      <w:r w:rsidRPr="0027615E">
        <w:rPr>
          <w:rFonts w:ascii="Segoe UI" w:eastAsia="Times New Roman" w:hAnsi="Segoe UI" w:cs="Segoe UI"/>
          <w:b/>
          <w:bCs/>
          <w:color w:val="1E1E1E"/>
          <w:sz w:val="24"/>
          <w:szCs w:val="24"/>
          <w:lang w:eastAsia="en-IN"/>
        </w:rPr>
        <w:t>Grant Access Using Hierarchies</w:t>
      </w:r>
      <w:r w:rsidRPr="0027615E">
        <w:rPr>
          <w:rFonts w:ascii="Segoe UI" w:eastAsia="Times New Roman" w:hAnsi="Segoe UI" w:cs="Segoe UI"/>
          <w:color w:val="1E1E1E"/>
          <w:sz w:val="24"/>
          <w:szCs w:val="24"/>
          <w:lang w:eastAsia="en-IN"/>
        </w:rPr>
        <w:t> is deselected, some users—such as those with the “View All” and “Modify All” object permissions and the “View All Data” and “Modify All Data” system permissions—can still access records they don’t own.</w:t>
      </w:r>
    </w:p>
    <w:p w14:paraId="25D731BD" w14:textId="77777777" w:rsidR="0027615E" w:rsidRDefault="0027615E"/>
    <w:p w14:paraId="4B9BF886"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Each sharing rule has three components.</w:t>
      </w:r>
    </w:p>
    <w:p w14:paraId="399A16DB"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b/>
          <w:bCs/>
          <w:color w:val="1E1E1E"/>
          <w:sz w:val="24"/>
          <w:szCs w:val="24"/>
          <w:lang w:eastAsia="en-IN"/>
        </w:rPr>
        <w:t>Share which records?</w:t>
      </w:r>
    </w:p>
    <w:p w14:paraId="676B91CB"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You can share records owned by certain users or meeting certain criteria. Criteria-based sharing rules determine what records to share based on field values other than ownership. </w:t>
      </w:r>
    </w:p>
    <w:p w14:paraId="24C50877"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p>
    <w:p w14:paraId="35E29067"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p>
    <w:p w14:paraId="4FCA8AB8"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b/>
          <w:bCs/>
          <w:color w:val="1E1E1E"/>
          <w:sz w:val="24"/>
          <w:szCs w:val="24"/>
          <w:lang w:eastAsia="en-IN"/>
        </w:rPr>
        <w:t>With which users?</w:t>
      </w:r>
    </w:p>
    <w:p w14:paraId="2838A3BD"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lastRenderedPageBreak/>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14:paraId="1FEE5CE8"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individual users</w:t>
      </w:r>
    </w:p>
    <w:p w14:paraId="166F028E"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roles</w:t>
      </w:r>
    </w:p>
    <w:p w14:paraId="3BC1C5FF"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roles and subordinates</w:t>
      </w:r>
    </w:p>
    <w:p w14:paraId="13D59B42"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territories</w:t>
      </w:r>
    </w:p>
    <w:p w14:paraId="04B201BB"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territories and subordinates</w:t>
      </w:r>
    </w:p>
    <w:p w14:paraId="3BF912BD" w14:textId="77777777"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other public groups</w:t>
      </w:r>
    </w:p>
    <w:p w14:paraId="5D50B227"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b/>
          <w:bCs/>
          <w:color w:val="1E1E1E"/>
          <w:sz w:val="24"/>
          <w:szCs w:val="24"/>
          <w:lang w:eastAsia="en-IN"/>
        </w:rPr>
        <w:t>What kind of access?</w:t>
      </w:r>
    </w:p>
    <w:p w14:paraId="7BCF65AB" w14:textId="77777777"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You can assign either Read-Only or Read/Write access.</w:t>
      </w:r>
    </w:p>
    <w:p w14:paraId="5E7C59B7" w14:textId="77777777" w:rsidR="000F4DB2" w:rsidRDefault="000F4DB2"/>
    <w:p w14:paraId="638AA06A" w14:textId="77777777" w:rsidR="000F4DB2" w:rsidRDefault="000F4DB2"/>
    <w:p w14:paraId="5838E1AA" w14:textId="77777777" w:rsidR="000F4DB2" w:rsidRDefault="000F4DB2" w:rsidP="000F4DB2">
      <w:pPr>
        <w:pStyle w:val="Heading2"/>
        <w:rPr>
          <w:color w:val="333333"/>
        </w:rPr>
      </w:pPr>
      <w:r>
        <w:rPr>
          <w:color w:val="333333"/>
        </w:rPr>
        <w:t>Define a Public Group</w:t>
      </w:r>
    </w:p>
    <w:p w14:paraId="19362AD3" w14:textId="77777777" w:rsidR="000F4DB2" w:rsidRDefault="000F4DB2" w:rsidP="000F4DB2">
      <w:pPr>
        <w:shd w:val="clear" w:color="auto" w:fill="F5F5F5"/>
        <w:rPr>
          <w:rFonts w:ascii="Segoe UI" w:hAnsi="Segoe UI" w:cs="Segoe UI"/>
          <w:color w:val="1E1E1E"/>
        </w:rPr>
      </w:pPr>
      <w:r>
        <w:rPr>
          <w:rFonts w:ascii="Segoe UI" w:hAnsi="Segoe UI" w:cs="Segoe UI"/>
          <w:color w:val="1E1E1E"/>
        </w:rPr>
        <w:lastRenderedPageBreak/>
        <w:t>Before creating a sharing rule, it’s important to set up the appropriate public group. A public group is a collection of individual users, other groups, individual roles or territories, and/or roles or territories with their subordinates that all have a function in common. For example, users with the Recruiter profile as well as users in the SW Dev Manager role both review job applications.</w:t>
      </w:r>
    </w:p>
    <w:p w14:paraId="4E15A1FD" w14:textId="77777777" w:rsidR="000F4DB2" w:rsidRDefault="000F4DB2" w:rsidP="000F4DB2">
      <w:pPr>
        <w:pStyle w:val="NormalWeb"/>
        <w:shd w:val="clear" w:color="auto" w:fill="F5F5F5"/>
        <w:rPr>
          <w:rFonts w:ascii="Segoe UI" w:hAnsi="Segoe UI" w:cs="Segoe UI"/>
          <w:color w:val="1E1E1E"/>
        </w:rPr>
      </w:pPr>
      <w:r>
        <w:rPr>
          <w:rFonts w:ascii="Segoe UI" w:hAnsi="Segoe UI" w:cs="Segoe UI"/>
          <w:color w:val="1E1E1E"/>
        </w:rPr>
        <w:t>Using a public group when defining a sharing rule makes the rule easier to create and, more important, easier to understand later, especially if it's one of many sharing rules that you're trying to maintain in a large organization. Create a public group if you want to define a sharing rule that encompasses more than one or two groups or roles, or any individual.</w:t>
      </w:r>
    </w:p>
    <w:p w14:paraId="2EF44FBC" w14:textId="77777777" w:rsidR="000F4DB2" w:rsidRDefault="000F4DB2"/>
    <w:p w14:paraId="6DA3BD8E" w14:textId="77777777" w:rsidR="00C72E1B" w:rsidRDefault="00636D36">
      <w:r>
        <w:t xml:space="preserve"> </w:t>
      </w:r>
      <w:r>
        <w:tab/>
      </w:r>
    </w:p>
    <w:sectPr w:rsidR="00C7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F23"/>
    <w:multiLevelType w:val="multilevel"/>
    <w:tmpl w:val="1B2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36245"/>
    <w:multiLevelType w:val="multilevel"/>
    <w:tmpl w:val="742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FC0E46"/>
    <w:multiLevelType w:val="multilevel"/>
    <w:tmpl w:val="6E8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804082"/>
    <w:multiLevelType w:val="multilevel"/>
    <w:tmpl w:val="DCF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47E34"/>
    <w:multiLevelType w:val="multilevel"/>
    <w:tmpl w:val="AB3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F8B"/>
    <w:rsid w:val="000F4DB2"/>
    <w:rsid w:val="0027615E"/>
    <w:rsid w:val="00340A13"/>
    <w:rsid w:val="00581474"/>
    <w:rsid w:val="00636D36"/>
    <w:rsid w:val="00695436"/>
    <w:rsid w:val="00791F8B"/>
    <w:rsid w:val="00935ED0"/>
    <w:rsid w:val="00C7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27FB"/>
  <w15:docId w15:val="{1B283953-9E4D-42B5-A0CE-E52714F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91F8B"/>
    <w:rPr>
      <w:b/>
      <w:bCs/>
    </w:rPr>
  </w:style>
  <w:style w:type="paragraph" w:styleId="NormalWeb">
    <w:name w:val="Normal (Web)"/>
    <w:basedOn w:val="Normal"/>
    <w:uiPriority w:val="99"/>
    <w:semiHidden/>
    <w:unhideWhenUsed/>
    <w:rsid w:val="00791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615E"/>
    <w:rPr>
      <w:i/>
      <w:iCs/>
    </w:rPr>
  </w:style>
  <w:style w:type="character" w:customStyle="1" w:styleId="ph">
    <w:name w:val="ph"/>
    <w:basedOn w:val="DefaultParagraphFont"/>
    <w:rsid w:val="0027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774499">
      <w:bodyDiv w:val="1"/>
      <w:marLeft w:val="0"/>
      <w:marRight w:val="0"/>
      <w:marTop w:val="0"/>
      <w:marBottom w:val="0"/>
      <w:divBdr>
        <w:top w:val="none" w:sz="0" w:space="0" w:color="auto"/>
        <w:left w:val="none" w:sz="0" w:space="0" w:color="auto"/>
        <w:bottom w:val="none" w:sz="0" w:space="0" w:color="auto"/>
        <w:right w:val="none" w:sz="0" w:space="0" w:color="auto"/>
      </w:divBdr>
      <w:divsChild>
        <w:div w:id="653490982">
          <w:marLeft w:val="0"/>
          <w:marRight w:val="0"/>
          <w:marTop w:val="0"/>
          <w:marBottom w:val="0"/>
          <w:divBdr>
            <w:top w:val="none" w:sz="0" w:space="0" w:color="auto"/>
            <w:left w:val="none" w:sz="0" w:space="0" w:color="auto"/>
            <w:bottom w:val="none" w:sz="0" w:space="0" w:color="auto"/>
            <w:right w:val="none" w:sz="0" w:space="0" w:color="auto"/>
          </w:divBdr>
          <w:divsChild>
            <w:div w:id="1481573937">
              <w:marLeft w:val="0"/>
              <w:marRight w:val="0"/>
              <w:marTop w:val="0"/>
              <w:marBottom w:val="0"/>
              <w:divBdr>
                <w:top w:val="none" w:sz="0" w:space="0" w:color="auto"/>
                <w:left w:val="none" w:sz="0" w:space="0" w:color="auto"/>
                <w:bottom w:val="none" w:sz="0" w:space="0" w:color="auto"/>
                <w:right w:val="none" w:sz="0" w:space="0" w:color="auto"/>
              </w:divBdr>
            </w:div>
            <w:div w:id="54666075">
              <w:marLeft w:val="0"/>
              <w:marRight w:val="0"/>
              <w:marTop w:val="0"/>
              <w:marBottom w:val="0"/>
              <w:divBdr>
                <w:top w:val="none" w:sz="0" w:space="0" w:color="auto"/>
                <w:left w:val="none" w:sz="0" w:space="0" w:color="auto"/>
                <w:bottom w:val="none" w:sz="0" w:space="0" w:color="auto"/>
                <w:right w:val="none" w:sz="0" w:space="0" w:color="auto"/>
              </w:divBdr>
            </w:div>
            <w:div w:id="1741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282">
      <w:bodyDiv w:val="1"/>
      <w:marLeft w:val="0"/>
      <w:marRight w:val="0"/>
      <w:marTop w:val="0"/>
      <w:marBottom w:val="0"/>
      <w:divBdr>
        <w:top w:val="none" w:sz="0" w:space="0" w:color="auto"/>
        <w:left w:val="none" w:sz="0" w:space="0" w:color="auto"/>
        <w:bottom w:val="none" w:sz="0" w:space="0" w:color="auto"/>
        <w:right w:val="none" w:sz="0" w:space="0" w:color="auto"/>
      </w:divBdr>
      <w:divsChild>
        <w:div w:id="1814328642">
          <w:marLeft w:val="0"/>
          <w:marRight w:val="0"/>
          <w:marTop w:val="0"/>
          <w:marBottom w:val="0"/>
          <w:divBdr>
            <w:top w:val="none" w:sz="0" w:space="0" w:color="auto"/>
            <w:left w:val="none" w:sz="0" w:space="0" w:color="auto"/>
            <w:bottom w:val="none" w:sz="0" w:space="0" w:color="auto"/>
            <w:right w:val="none" w:sz="0" w:space="0" w:color="auto"/>
          </w:divBdr>
        </w:div>
      </w:divsChild>
    </w:div>
    <w:div w:id="583956912">
      <w:bodyDiv w:val="1"/>
      <w:marLeft w:val="0"/>
      <w:marRight w:val="0"/>
      <w:marTop w:val="0"/>
      <w:marBottom w:val="0"/>
      <w:divBdr>
        <w:top w:val="none" w:sz="0" w:space="0" w:color="auto"/>
        <w:left w:val="none" w:sz="0" w:space="0" w:color="auto"/>
        <w:bottom w:val="none" w:sz="0" w:space="0" w:color="auto"/>
        <w:right w:val="none" w:sz="0" w:space="0" w:color="auto"/>
      </w:divBdr>
      <w:divsChild>
        <w:div w:id="913049778">
          <w:marLeft w:val="0"/>
          <w:marRight w:val="0"/>
          <w:marTop w:val="0"/>
          <w:marBottom w:val="0"/>
          <w:divBdr>
            <w:top w:val="none" w:sz="0" w:space="0" w:color="auto"/>
            <w:left w:val="none" w:sz="0" w:space="0" w:color="auto"/>
            <w:bottom w:val="none" w:sz="0" w:space="0" w:color="auto"/>
            <w:right w:val="none" w:sz="0" w:space="0" w:color="auto"/>
          </w:divBdr>
          <w:divsChild>
            <w:div w:id="795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371">
      <w:bodyDiv w:val="1"/>
      <w:marLeft w:val="0"/>
      <w:marRight w:val="0"/>
      <w:marTop w:val="0"/>
      <w:marBottom w:val="0"/>
      <w:divBdr>
        <w:top w:val="none" w:sz="0" w:space="0" w:color="auto"/>
        <w:left w:val="none" w:sz="0" w:space="0" w:color="auto"/>
        <w:bottom w:val="none" w:sz="0" w:space="0" w:color="auto"/>
        <w:right w:val="none" w:sz="0" w:space="0" w:color="auto"/>
      </w:divBdr>
    </w:div>
    <w:div w:id="1038236898">
      <w:bodyDiv w:val="1"/>
      <w:marLeft w:val="0"/>
      <w:marRight w:val="0"/>
      <w:marTop w:val="0"/>
      <w:marBottom w:val="0"/>
      <w:divBdr>
        <w:top w:val="none" w:sz="0" w:space="0" w:color="auto"/>
        <w:left w:val="none" w:sz="0" w:space="0" w:color="auto"/>
        <w:bottom w:val="none" w:sz="0" w:space="0" w:color="auto"/>
        <w:right w:val="none" w:sz="0" w:space="0" w:color="auto"/>
      </w:divBdr>
      <w:divsChild>
        <w:div w:id="1586570945">
          <w:marLeft w:val="0"/>
          <w:marRight w:val="0"/>
          <w:marTop w:val="0"/>
          <w:marBottom w:val="0"/>
          <w:divBdr>
            <w:top w:val="none" w:sz="0" w:space="0" w:color="auto"/>
            <w:left w:val="none" w:sz="0" w:space="0" w:color="auto"/>
            <w:bottom w:val="none" w:sz="0" w:space="0" w:color="auto"/>
            <w:right w:val="none" w:sz="0" w:space="0" w:color="auto"/>
          </w:divBdr>
          <w:divsChild>
            <w:div w:id="40253821">
              <w:marLeft w:val="0"/>
              <w:marRight w:val="0"/>
              <w:marTop w:val="0"/>
              <w:marBottom w:val="0"/>
              <w:divBdr>
                <w:top w:val="none" w:sz="0" w:space="0" w:color="auto"/>
                <w:left w:val="none" w:sz="0" w:space="0" w:color="auto"/>
                <w:bottom w:val="none" w:sz="0" w:space="0" w:color="auto"/>
                <w:right w:val="none" w:sz="0" w:space="0" w:color="auto"/>
              </w:divBdr>
            </w:div>
            <w:div w:id="2028679473">
              <w:marLeft w:val="0"/>
              <w:marRight w:val="0"/>
              <w:marTop w:val="0"/>
              <w:marBottom w:val="0"/>
              <w:divBdr>
                <w:top w:val="none" w:sz="0" w:space="0" w:color="auto"/>
                <w:left w:val="none" w:sz="0" w:space="0" w:color="auto"/>
                <w:bottom w:val="none" w:sz="0" w:space="0" w:color="auto"/>
                <w:right w:val="none" w:sz="0" w:space="0" w:color="auto"/>
              </w:divBdr>
            </w:div>
            <w:div w:id="793594682">
              <w:marLeft w:val="0"/>
              <w:marRight w:val="0"/>
              <w:marTop w:val="0"/>
              <w:marBottom w:val="0"/>
              <w:divBdr>
                <w:top w:val="none" w:sz="0" w:space="0" w:color="auto"/>
                <w:left w:val="none" w:sz="0" w:space="0" w:color="auto"/>
                <w:bottom w:val="none" w:sz="0" w:space="0" w:color="auto"/>
                <w:right w:val="none" w:sz="0" w:space="0" w:color="auto"/>
              </w:divBdr>
            </w:div>
            <w:div w:id="373887713">
              <w:marLeft w:val="0"/>
              <w:marRight w:val="0"/>
              <w:marTop w:val="0"/>
              <w:marBottom w:val="0"/>
              <w:divBdr>
                <w:top w:val="none" w:sz="0" w:space="0" w:color="auto"/>
                <w:left w:val="none" w:sz="0" w:space="0" w:color="auto"/>
                <w:bottom w:val="none" w:sz="0" w:space="0" w:color="auto"/>
                <w:right w:val="none" w:sz="0" w:space="0" w:color="auto"/>
              </w:divBdr>
            </w:div>
            <w:div w:id="1266769321">
              <w:marLeft w:val="0"/>
              <w:marRight w:val="0"/>
              <w:marTop w:val="0"/>
              <w:marBottom w:val="0"/>
              <w:divBdr>
                <w:top w:val="none" w:sz="0" w:space="0" w:color="auto"/>
                <w:left w:val="none" w:sz="0" w:space="0" w:color="auto"/>
                <w:bottom w:val="none" w:sz="0" w:space="0" w:color="auto"/>
                <w:right w:val="none" w:sz="0" w:space="0" w:color="auto"/>
              </w:divBdr>
            </w:div>
            <w:div w:id="955258799">
              <w:marLeft w:val="0"/>
              <w:marRight w:val="0"/>
              <w:marTop w:val="0"/>
              <w:marBottom w:val="0"/>
              <w:divBdr>
                <w:top w:val="none" w:sz="0" w:space="0" w:color="auto"/>
                <w:left w:val="none" w:sz="0" w:space="0" w:color="auto"/>
                <w:bottom w:val="none" w:sz="0" w:space="0" w:color="auto"/>
                <w:right w:val="none" w:sz="0" w:space="0" w:color="auto"/>
              </w:divBdr>
            </w:div>
            <w:div w:id="791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2201">
      <w:bodyDiv w:val="1"/>
      <w:marLeft w:val="0"/>
      <w:marRight w:val="0"/>
      <w:marTop w:val="0"/>
      <w:marBottom w:val="0"/>
      <w:divBdr>
        <w:top w:val="none" w:sz="0" w:space="0" w:color="auto"/>
        <w:left w:val="none" w:sz="0" w:space="0" w:color="auto"/>
        <w:bottom w:val="none" w:sz="0" w:space="0" w:color="auto"/>
        <w:right w:val="none" w:sz="0" w:space="0" w:color="auto"/>
      </w:divBdr>
      <w:divsChild>
        <w:div w:id="1934707935">
          <w:marLeft w:val="0"/>
          <w:marRight w:val="0"/>
          <w:marTop w:val="0"/>
          <w:marBottom w:val="0"/>
          <w:divBdr>
            <w:top w:val="none" w:sz="0" w:space="0" w:color="auto"/>
            <w:left w:val="none" w:sz="0" w:space="0" w:color="auto"/>
            <w:bottom w:val="none" w:sz="0" w:space="0" w:color="auto"/>
            <w:right w:val="none" w:sz="0" w:space="0" w:color="auto"/>
          </w:divBdr>
        </w:div>
        <w:div w:id="446198590">
          <w:marLeft w:val="0"/>
          <w:marRight w:val="0"/>
          <w:marTop w:val="0"/>
          <w:marBottom w:val="0"/>
          <w:divBdr>
            <w:top w:val="none" w:sz="0" w:space="0" w:color="auto"/>
            <w:left w:val="none" w:sz="0" w:space="0" w:color="auto"/>
            <w:bottom w:val="none" w:sz="0" w:space="0" w:color="auto"/>
            <w:right w:val="none" w:sz="0" w:space="0" w:color="auto"/>
          </w:divBdr>
        </w:div>
        <w:div w:id="955259585">
          <w:marLeft w:val="0"/>
          <w:marRight w:val="0"/>
          <w:marTop w:val="0"/>
          <w:marBottom w:val="0"/>
          <w:divBdr>
            <w:top w:val="none" w:sz="0" w:space="0" w:color="auto"/>
            <w:left w:val="none" w:sz="0" w:space="0" w:color="auto"/>
            <w:bottom w:val="none" w:sz="0" w:space="0" w:color="auto"/>
            <w:right w:val="none" w:sz="0" w:space="0" w:color="auto"/>
          </w:divBdr>
        </w:div>
        <w:div w:id="1650012876">
          <w:marLeft w:val="0"/>
          <w:marRight w:val="0"/>
          <w:marTop w:val="0"/>
          <w:marBottom w:val="0"/>
          <w:divBdr>
            <w:top w:val="none" w:sz="0" w:space="0" w:color="auto"/>
            <w:left w:val="none" w:sz="0" w:space="0" w:color="auto"/>
            <w:bottom w:val="none" w:sz="0" w:space="0" w:color="auto"/>
            <w:right w:val="none" w:sz="0" w:space="0" w:color="auto"/>
          </w:divBdr>
        </w:div>
        <w:div w:id="1625229297">
          <w:marLeft w:val="0"/>
          <w:marRight w:val="0"/>
          <w:marTop w:val="0"/>
          <w:marBottom w:val="0"/>
          <w:divBdr>
            <w:top w:val="none" w:sz="0" w:space="0" w:color="auto"/>
            <w:left w:val="none" w:sz="0" w:space="0" w:color="auto"/>
            <w:bottom w:val="none" w:sz="0" w:space="0" w:color="auto"/>
            <w:right w:val="none" w:sz="0" w:space="0" w:color="auto"/>
          </w:divBdr>
        </w:div>
        <w:div w:id="1062871290">
          <w:marLeft w:val="0"/>
          <w:marRight w:val="0"/>
          <w:marTop w:val="0"/>
          <w:marBottom w:val="0"/>
          <w:divBdr>
            <w:top w:val="none" w:sz="0" w:space="0" w:color="auto"/>
            <w:left w:val="none" w:sz="0" w:space="0" w:color="auto"/>
            <w:bottom w:val="none" w:sz="0" w:space="0" w:color="auto"/>
            <w:right w:val="none" w:sz="0" w:space="0" w:color="auto"/>
          </w:divBdr>
        </w:div>
        <w:div w:id="933704013">
          <w:marLeft w:val="0"/>
          <w:marRight w:val="0"/>
          <w:marTop w:val="0"/>
          <w:marBottom w:val="0"/>
          <w:divBdr>
            <w:top w:val="none" w:sz="0" w:space="0" w:color="auto"/>
            <w:left w:val="none" w:sz="0" w:space="0" w:color="auto"/>
            <w:bottom w:val="none" w:sz="0" w:space="0" w:color="auto"/>
            <w:right w:val="none" w:sz="0" w:space="0" w:color="auto"/>
          </w:divBdr>
        </w:div>
        <w:div w:id="969625764">
          <w:marLeft w:val="0"/>
          <w:marRight w:val="0"/>
          <w:marTop w:val="0"/>
          <w:marBottom w:val="0"/>
          <w:divBdr>
            <w:top w:val="none" w:sz="0" w:space="0" w:color="auto"/>
            <w:left w:val="none" w:sz="0" w:space="0" w:color="auto"/>
            <w:bottom w:val="none" w:sz="0" w:space="0" w:color="auto"/>
            <w:right w:val="none" w:sz="0" w:space="0" w:color="auto"/>
          </w:divBdr>
          <w:divsChild>
            <w:div w:id="2079285378">
              <w:marLeft w:val="0"/>
              <w:marRight w:val="0"/>
              <w:marTop w:val="0"/>
              <w:marBottom w:val="0"/>
              <w:divBdr>
                <w:top w:val="none" w:sz="0" w:space="0" w:color="auto"/>
                <w:left w:val="none" w:sz="0" w:space="0" w:color="auto"/>
                <w:bottom w:val="none" w:sz="0" w:space="0" w:color="auto"/>
                <w:right w:val="none" w:sz="0" w:space="0" w:color="auto"/>
              </w:divBdr>
            </w:div>
            <w:div w:id="3113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61">
      <w:bodyDiv w:val="1"/>
      <w:marLeft w:val="0"/>
      <w:marRight w:val="0"/>
      <w:marTop w:val="0"/>
      <w:marBottom w:val="0"/>
      <w:divBdr>
        <w:top w:val="none" w:sz="0" w:space="0" w:color="auto"/>
        <w:left w:val="none" w:sz="0" w:space="0" w:color="auto"/>
        <w:bottom w:val="none" w:sz="0" w:space="0" w:color="auto"/>
        <w:right w:val="none" w:sz="0" w:space="0" w:color="auto"/>
      </w:divBdr>
      <w:divsChild>
        <w:div w:id="1524057541">
          <w:marLeft w:val="0"/>
          <w:marRight w:val="0"/>
          <w:marTop w:val="0"/>
          <w:marBottom w:val="0"/>
          <w:divBdr>
            <w:top w:val="none" w:sz="0" w:space="0" w:color="auto"/>
            <w:left w:val="none" w:sz="0" w:space="0" w:color="auto"/>
            <w:bottom w:val="none" w:sz="0" w:space="0" w:color="auto"/>
            <w:right w:val="none" w:sz="0" w:space="0" w:color="auto"/>
          </w:divBdr>
        </w:div>
      </w:divsChild>
    </w:div>
    <w:div w:id="1149635446">
      <w:bodyDiv w:val="1"/>
      <w:marLeft w:val="0"/>
      <w:marRight w:val="0"/>
      <w:marTop w:val="0"/>
      <w:marBottom w:val="0"/>
      <w:divBdr>
        <w:top w:val="none" w:sz="0" w:space="0" w:color="auto"/>
        <w:left w:val="none" w:sz="0" w:space="0" w:color="auto"/>
        <w:bottom w:val="none" w:sz="0" w:space="0" w:color="auto"/>
        <w:right w:val="none" w:sz="0" w:space="0" w:color="auto"/>
      </w:divBdr>
      <w:divsChild>
        <w:div w:id="923997677">
          <w:marLeft w:val="0"/>
          <w:marRight w:val="0"/>
          <w:marTop w:val="0"/>
          <w:marBottom w:val="0"/>
          <w:divBdr>
            <w:top w:val="none" w:sz="0" w:space="0" w:color="auto"/>
            <w:left w:val="none" w:sz="0" w:space="0" w:color="auto"/>
            <w:bottom w:val="none" w:sz="0" w:space="0" w:color="auto"/>
            <w:right w:val="none" w:sz="0" w:space="0" w:color="auto"/>
          </w:divBdr>
          <w:divsChild>
            <w:div w:id="210267774">
              <w:marLeft w:val="0"/>
              <w:marRight w:val="0"/>
              <w:marTop w:val="0"/>
              <w:marBottom w:val="0"/>
              <w:divBdr>
                <w:top w:val="none" w:sz="0" w:space="0" w:color="auto"/>
                <w:left w:val="none" w:sz="0" w:space="0" w:color="auto"/>
                <w:bottom w:val="none" w:sz="0" w:space="0" w:color="auto"/>
                <w:right w:val="none" w:sz="0" w:space="0" w:color="auto"/>
              </w:divBdr>
            </w:div>
            <w:div w:id="11803175">
              <w:marLeft w:val="0"/>
              <w:marRight w:val="0"/>
              <w:marTop w:val="0"/>
              <w:marBottom w:val="0"/>
              <w:divBdr>
                <w:top w:val="none" w:sz="0" w:space="0" w:color="auto"/>
                <w:left w:val="none" w:sz="0" w:space="0" w:color="auto"/>
                <w:bottom w:val="none" w:sz="0" w:space="0" w:color="auto"/>
                <w:right w:val="none" w:sz="0" w:space="0" w:color="auto"/>
              </w:divBdr>
            </w:div>
            <w:div w:id="1711104757">
              <w:marLeft w:val="0"/>
              <w:marRight w:val="0"/>
              <w:marTop w:val="0"/>
              <w:marBottom w:val="0"/>
              <w:divBdr>
                <w:top w:val="none" w:sz="0" w:space="0" w:color="auto"/>
                <w:left w:val="none" w:sz="0" w:space="0" w:color="auto"/>
                <w:bottom w:val="none" w:sz="0" w:space="0" w:color="auto"/>
                <w:right w:val="none" w:sz="0" w:space="0" w:color="auto"/>
              </w:divBdr>
            </w:div>
            <w:div w:id="1965502146">
              <w:marLeft w:val="0"/>
              <w:marRight w:val="0"/>
              <w:marTop w:val="0"/>
              <w:marBottom w:val="0"/>
              <w:divBdr>
                <w:top w:val="none" w:sz="0" w:space="0" w:color="auto"/>
                <w:left w:val="none" w:sz="0" w:space="0" w:color="auto"/>
                <w:bottom w:val="none" w:sz="0" w:space="0" w:color="auto"/>
                <w:right w:val="none" w:sz="0" w:space="0" w:color="auto"/>
              </w:divBdr>
            </w:div>
            <w:div w:id="16768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280">
      <w:bodyDiv w:val="1"/>
      <w:marLeft w:val="0"/>
      <w:marRight w:val="0"/>
      <w:marTop w:val="0"/>
      <w:marBottom w:val="0"/>
      <w:divBdr>
        <w:top w:val="none" w:sz="0" w:space="0" w:color="auto"/>
        <w:left w:val="none" w:sz="0" w:space="0" w:color="auto"/>
        <w:bottom w:val="none" w:sz="0" w:space="0" w:color="auto"/>
        <w:right w:val="none" w:sz="0" w:space="0" w:color="auto"/>
      </w:divBdr>
      <w:divsChild>
        <w:div w:id="576986883">
          <w:marLeft w:val="0"/>
          <w:marRight w:val="0"/>
          <w:marTop w:val="0"/>
          <w:marBottom w:val="0"/>
          <w:divBdr>
            <w:top w:val="none" w:sz="0" w:space="0" w:color="auto"/>
            <w:left w:val="none" w:sz="0" w:space="0" w:color="auto"/>
            <w:bottom w:val="none" w:sz="0" w:space="0" w:color="auto"/>
            <w:right w:val="none" w:sz="0" w:space="0" w:color="auto"/>
          </w:divBdr>
          <w:divsChild>
            <w:div w:id="960258882">
              <w:marLeft w:val="0"/>
              <w:marRight w:val="0"/>
              <w:marTop w:val="0"/>
              <w:marBottom w:val="0"/>
              <w:divBdr>
                <w:top w:val="none" w:sz="0" w:space="0" w:color="auto"/>
                <w:left w:val="none" w:sz="0" w:space="0" w:color="auto"/>
                <w:bottom w:val="none" w:sz="0" w:space="0" w:color="auto"/>
                <w:right w:val="none" w:sz="0" w:space="0" w:color="auto"/>
              </w:divBdr>
            </w:div>
            <w:div w:id="31075793">
              <w:marLeft w:val="0"/>
              <w:marRight w:val="0"/>
              <w:marTop w:val="0"/>
              <w:marBottom w:val="0"/>
              <w:divBdr>
                <w:top w:val="none" w:sz="0" w:space="0" w:color="auto"/>
                <w:left w:val="none" w:sz="0" w:space="0" w:color="auto"/>
                <w:bottom w:val="none" w:sz="0" w:space="0" w:color="auto"/>
                <w:right w:val="none" w:sz="0" w:space="0" w:color="auto"/>
              </w:divBdr>
            </w:div>
            <w:div w:id="1205828508">
              <w:marLeft w:val="0"/>
              <w:marRight w:val="0"/>
              <w:marTop w:val="0"/>
              <w:marBottom w:val="0"/>
              <w:divBdr>
                <w:top w:val="none" w:sz="0" w:space="0" w:color="auto"/>
                <w:left w:val="none" w:sz="0" w:space="0" w:color="auto"/>
                <w:bottom w:val="none" w:sz="0" w:space="0" w:color="auto"/>
                <w:right w:val="none" w:sz="0" w:space="0" w:color="auto"/>
              </w:divBdr>
            </w:div>
            <w:div w:id="1315718484">
              <w:marLeft w:val="0"/>
              <w:marRight w:val="0"/>
              <w:marTop w:val="0"/>
              <w:marBottom w:val="0"/>
              <w:divBdr>
                <w:top w:val="none" w:sz="0" w:space="0" w:color="auto"/>
                <w:left w:val="none" w:sz="0" w:space="0" w:color="auto"/>
                <w:bottom w:val="none" w:sz="0" w:space="0" w:color="auto"/>
                <w:right w:val="none" w:sz="0" w:space="0" w:color="auto"/>
              </w:divBdr>
            </w:div>
            <w:div w:id="1245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088">
      <w:bodyDiv w:val="1"/>
      <w:marLeft w:val="0"/>
      <w:marRight w:val="0"/>
      <w:marTop w:val="0"/>
      <w:marBottom w:val="0"/>
      <w:divBdr>
        <w:top w:val="none" w:sz="0" w:space="0" w:color="auto"/>
        <w:left w:val="none" w:sz="0" w:space="0" w:color="auto"/>
        <w:bottom w:val="none" w:sz="0" w:space="0" w:color="auto"/>
        <w:right w:val="none" w:sz="0" w:space="0" w:color="auto"/>
      </w:divBdr>
      <w:divsChild>
        <w:div w:id="1226646042">
          <w:marLeft w:val="0"/>
          <w:marRight w:val="0"/>
          <w:marTop w:val="0"/>
          <w:marBottom w:val="0"/>
          <w:divBdr>
            <w:top w:val="none" w:sz="0" w:space="0" w:color="auto"/>
            <w:left w:val="none" w:sz="0" w:space="0" w:color="auto"/>
            <w:bottom w:val="none" w:sz="0" w:space="0" w:color="auto"/>
            <w:right w:val="none" w:sz="0" w:space="0" w:color="auto"/>
          </w:divBdr>
          <w:divsChild>
            <w:div w:id="1349910534">
              <w:marLeft w:val="0"/>
              <w:marRight w:val="0"/>
              <w:marTop w:val="0"/>
              <w:marBottom w:val="0"/>
              <w:divBdr>
                <w:top w:val="none" w:sz="0" w:space="0" w:color="auto"/>
                <w:left w:val="none" w:sz="0" w:space="0" w:color="auto"/>
                <w:bottom w:val="none" w:sz="0" w:space="0" w:color="auto"/>
                <w:right w:val="none" w:sz="0" w:space="0" w:color="auto"/>
              </w:divBdr>
            </w:div>
            <w:div w:id="2772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783">
      <w:bodyDiv w:val="1"/>
      <w:marLeft w:val="0"/>
      <w:marRight w:val="0"/>
      <w:marTop w:val="0"/>
      <w:marBottom w:val="0"/>
      <w:divBdr>
        <w:top w:val="none" w:sz="0" w:space="0" w:color="auto"/>
        <w:left w:val="none" w:sz="0" w:space="0" w:color="auto"/>
        <w:bottom w:val="none" w:sz="0" w:space="0" w:color="auto"/>
        <w:right w:val="none" w:sz="0" w:space="0" w:color="auto"/>
      </w:divBdr>
    </w:div>
    <w:div w:id="1849514014">
      <w:bodyDiv w:val="1"/>
      <w:marLeft w:val="0"/>
      <w:marRight w:val="0"/>
      <w:marTop w:val="0"/>
      <w:marBottom w:val="0"/>
      <w:divBdr>
        <w:top w:val="none" w:sz="0" w:space="0" w:color="auto"/>
        <w:left w:val="none" w:sz="0" w:space="0" w:color="auto"/>
        <w:bottom w:val="none" w:sz="0" w:space="0" w:color="auto"/>
        <w:right w:val="none" w:sz="0" w:space="0" w:color="auto"/>
      </w:divBdr>
      <w:divsChild>
        <w:div w:id="692806165">
          <w:marLeft w:val="0"/>
          <w:marRight w:val="0"/>
          <w:marTop w:val="0"/>
          <w:marBottom w:val="0"/>
          <w:divBdr>
            <w:top w:val="none" w:sz="0" w:space="0" w:color="auto"/>
            <w:left w:val="none" w:sz="0" w:space="0" w:color="auto"/>
            <w:bottom w:val="none" w:sz="0" w:space="0" w:color="auto"/>
            <w:right w:val="none" w:sz="0" w:space="0" w:color="auto"/>
          </w:divBdr>
          <w:divsChild>
            <w:div w:id="14503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2263</TotalTime>
  <Pages>1</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Pramod</cp:lastModifiedBy>
  <cp:revision>4</cp:revision>
  <dcterms:created xsi:type="dcterms:W3CDTF">2020-12-29T06:19:00Z</dcterms:created>
  <dcterms:modified xsi:type="dcterms:W3CDTF">2021-02-01T07:10:00Z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2021-02-01T07:09:48Z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df7f1387-5f3e-4639-a7b7-4ca9a167da66</vt:lpwstr>
  </property>
  <property fmtid="{D5CDD505-2E9C-101B-9397-08002B2CF9AE}" pid="8" name="MSIP_Label_1bc0f418-96a4-4caf-9d7c-ccc5ec7f9d91_ContentBits">
    <vt:lpwstr>0</vt:lpwstr>
  </property>
</Properties>
</file>