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ADD61" w14:textId="77777777" w:rsidR="000C0695" w:rsidRPr="000C0695" w:rsidRDefault="000C0695" w:rsidP="000C0695">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0C0695">
        <w:rPr>
          <w:rFonts w:ascii="Segoe UI" w:eastAsia="Times New Roman" w:hAnsi="Segoe UI" w:cs="Segoe UI"/>
          <w:b/>
          <w:bCs/>
          <w:color w:val="333333"/>
          <w:sz w:val="36"/>
          <w:szCs w:val="36"/>
        </w:rPr>
        <w:t>Discounting in the Sales Process</w:t>
      </w:r>
    </w:p>
    <w:p w14:paraId="2E4B9A78" w14:textId="77777777" w:rsidR="000C0695" w:rsidRPr="000C0695" w:rsidRDefault="000C0695" w:rsidP="000C069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0C0695">
        <w:rPr>
          <w:rFonts w:ascii="Segoe UI" w:eastAsia="Times New Roman" w:hAnsi="Segoe UI" w:cs="Segoe UI"/>
          <w:color w:val="1E1E1E"/>
          <w:sz w:val="24"/>
          <w:szCs w:val="24"/>
        </w:rPr>
        <w:t>When a sales rep puts together a quote, it’s almost certain they will want to apply discounts to at least a few products. After all, they’re trying to negotiate a deal. Salesforce CPQ supports this kind of basic discounting, but it also does much more. For example, your business can reward customers who buy large quantities of items by giving them a volume-based discount to encourage bigger sales. Salesforce CPQ can apply volume-based discounts automatically so that sales reps don’t have to search through tables of out-of-date discounting data. CPQ also keeps track of different types of discounts, such as partner or distributor discounts, so that pricing details are never lost. Salesforce CPQ aims to make discounting easy by simplifying or automating the process.</w:t>
      </w:r>
    </w:p>
    <w:p w14:paraId="56B8E7AA" w14:textId="69E2F81B" w:rsidR="00FF08B4" w:rsidRDefault="000C0695">
      <w:pPr>
        <w:rPr>
          <w:rFonts w:ascii="Segoe UI" w:hAnsi="Segoe UI" w:cs="Segoe UI"/>
          <w:color w:val="333333"/>
          <w:sz w:val="36"/>
          <w:szCs w:val="36"/>
          <w:shd w:val="clear" w:color="auto" w:fill="F5F5F5"/>
        </w:rPr>
      </w:pPr>
      <w:r>
        <w:rPr>
          <w:rFonts w:ascii="Segoe UI" w:hAnsi="Segoe UI" w:cs="Segoe UI"/>
          <w:color w:val="333333"/>
          <w:sz w:val="36"/>
          <w:szCs w:val="36"/>
          <w:shd w:val="clear" w:color="auto" w:fill="F5F5F5"/>
        </w:rPr>
        <w:t>The Price Waterfall</w:t>
      </w:r>
    </w:p>
    <w:p w14:paraId="54E535B7" w14:textId="77777777" w:rsidR="000C0695" w:rsidRPr="000C0695" w:rsidRDefault="000C0695" w:rsidP="000C0695">
      <w:pPr>
        <w:pStyle w:val="NormalWeb"/>
        <w:shd w:val="clear" w:color="auto" w:fill="F5F5F5"/>
        <w:rPr>
          <w:rFonts w:ascii="Segoe UI" w:hAnsi="Segoe UI" w:cs="Segoe UI"/>
          <w:color w:val="1E1E1E"/>
        </w:rPr>
      </w:pPr>
      <w:r>
        <w:rPr>
          <w:rFonts w:ascii="Segoe UI" w:hAnsi="Segoe UI" w:cs="Segoe UI"/>
          <w:color w:val="1E1E1E"/>
          <w:shd w:val="clear" w:color="auto" w:fill="F5F5F5"/>
        </w:rPr>
        <w:t xml:space="preserve">To keep track of adjustments to pricing and discounts, Salesforce CPQ uses multiple pricing fields on the quote line, each field representing specific changes. Some fields, such as List Price, represent adjustments </w:t>
      </w:r>
      <w:r w:rsidRPr="000C0695">
        <w:rPr>
          <w:rFonts w:ascii="Segoe UI" w:hAnsi="Segoe UI" w:cs="Segoe UI"/>
          <w:color w:val="1E1E1E"/>
        </w:rPr>
        <w:t xml:space="preserve">but most fields are affected by </w:t>
      </w:r>
      <w:proofErr w:type="gramStart"/>
      <w:r w:rsidRPr="000C0695">
        <w:rPr>
          <w:rFonts w:ascii="Segoe UI" w:hAnsi="Segoe UI" w:cs="Segoe UI"/>
          <w:color w:val="1E1E1E"/>
        </w:rPr>
        <w:t>some kind of discount</w:t>
      </w:r>
      <w:proofErr w:type="gramEnd"/>
      <w:r w:rsidRPr="000C0695">
        <w:rPr>
          <w:rFonts w:ascii="Segoe UI" w:hAnsi="Segoe UI" w:cs="Segoe UI"/>
          <w:color w:val="1E1E1E"/>
        </w:rPr>
        <w:t>.</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11"/>
        <w:gridCol w:w="7733"/>
      </w:tblGrid>
      <w:tr w:rsidR="000C0695" w:rsidRPr="000C0695" w14:paraId="1CDF52C5" w14:textId="77777777" w:rsidTr="000C069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784A9E52" w14:textId="77777777" w:rsidR="000C0695" w:rsidRPr="000C0695" w:rsidRDefault="000C0695" w:rsidP="000C0695">
            <w:pPr>
              <w:spacing w:after="0" w:line="240" w:lineRule="auto"/>
              <w:rPr>
                <w:rFonts w:ascii="Segoe UI" w:eastAsia="Times New Roman" w:hAnsi="Segoe UI" w:cs="Segoe UI"/>
                <w:b/>
                <w:bCs/>
                <w:color w:val="1E1E1C"/>
                <w:sz w:val="24"/>
                <w:szCs w:val="24"/>
              </w:rPr>
            </w:pPr>
            <w:r w:rsidRPr="000C0695">
              <w:rPr>
                <w:rFonts w:ascii="Segoe UI" w:eastAsia="Times New Roman" w:hAnsi="Segoe UI" w:cs="Segoe UI"/>
                <w:b/>
                <w:bCs/>
                <w:color w:val="1E1E1C"/>
                <w:sz w:val="24"/>
                <w:szCs w:val="24"/>
              </w:rPr>
              <w:t>Pricing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1A89EC2" w14:textId="77777777" w:rsidR="000C0695" w:rsidRPr="000C0695" w:rsidRDefault="000C0695" w:rsidP="000C0695">
            <w:pPr>
              <w:spacing w:after="0" w:line="240" w:lineRule="auto"/>
              <w:rPr>
                <w:rFonts w:ascii="Segoe UI" w:eastAsia="Times New Roman" w:hAnsi="Segoe UI" w:cs="Segoe UI"/>
                <w:b/>
                <w:bCs/>
                <w:color w:val="1E1E1C"/>
                <w:sz w:val="24"/>
                <w:szCs w:val="24"/>
              </w:rPr>
            </w:pPr>
            <w:r w:rsidRPr="000C0695">
              <w:rPr>
                <w:rFonts w:ascii="Segoe UI" w:eastAsia="Times New Roman" w:hAnsi="Segoe UI" w:cs="Segoe UI"/>
                <w:b/>
                <w:bCs/>
                <w:color w:val="1E1E1C"/>
                <w:sz w:val="24"/>
                <w:szCs w:val="24"/>
              </w:rPr>
              <w:t>What It Represents</w:t>
            </w:r>
          </w:p>
        </w:tc>
      </w:tr>
      <w:tr w:rsidR="000C0695" w:rsidRPr="000C0695" w14:paraId="17660067"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3E76FE52"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Original Price</w:t>
            </w:r>
          </w:p>
        </w:tc>
        <w:tc>
          <w:tcPr>
            <w:tcW w:w="0" w:type="auto"/>
            <w:tcBorders>
              <w:bottom w:val="single" w:sz="6" w:space="0" w:color="DEDEDE"/>
              <w:right w:val="single" w:sz="6" w:space="0" w:color="DEDEDE"/>
            </w:tcBorders>
            <w:shd w:val="clear" w:color="auto" w:fill="FFFFFF"/>
            <w:hideMark/>
          </w:tcPr>
          <w:p w14:paraId="760776D0"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Price book price</w:t>
            </w:r>
          </w:p>
        </w:tc>
      </w:tr>
      <w:tr w:rsidR="000C0695" w:rsidRPr="000C0695" w14:paraId="7FA236DC"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3F2A2631"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List Price</w:t>
            </w:r>
          </w:p>
        </w:tc>
        <w:tc>
          <w:tcPr>
            <w:tcW w:w="0" w:type="auto"/>
            <w:tcBorders>
              <w:bottom w:val="single" w:sz="6" w:space="0" w:color="DEDEDE"/>
              <w:right w:val="single" w:sz="6" w:space="0" w:color="DEDEDE"/>
            </w:tcBorders>
            <w:shd w:val="clear" w:color="auto" w:fill="FFFFFF"/>
            <w:hideMark/>
          </w:tcPr>
          <w:p w14:paraId="4F07F72C"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Price book price, percent of total price, block price, or option price override</w:t>
            </w:r>
          </w:p>
        </w:tc>
      </w:tr>
      <w:tr w:rsidR="000C0695" w:rsidRPr="000C0695" w14:paraId="1737EEE5"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0D1F9AFF"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Special Price</w:t>
            </w:r>
          </w:p>
        </w:tc>
        <w:tc>
          <w:tcPr>
            <w:tcW w:w="0" w:type="auto"/>
            <w:tcBorders>
              <w:bottom w:val="single" w:sz="6" w:space="0" w:color="DEDEDE"/>
              <w:right w:val="single" w:sz="6" w:space="0" w:color="DEDEDE"/>
            </w:tcBorders>
            <w:shd w:val="clear" w:color="auto" w:fill="FFFFFF"/>
            <w:hideMark/>
          </w:tcPr>
          <w:p w14:paraId="1089F2E5"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Cost plus markup price, contracted price, or option discount</w:t>
            </w:r>
          </w:p>
        </w:tc>
      </w:tr>
      <w:tr w:rsidR="000C0695" w:rsidRPr="000C0695" w14:paraId="41906D8C"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57D48767"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Regular Price</w:t>
            </w:r>
          </w:p>
        </w:tc>
        <w:tc>
          <w:tcPr>
            <w:tcW w:w="0" w:type="auto"/>
            <w:tcBorders>
              <w:bottom w:val="single" w:sz="6" w:space="0" w:color="DEDEDE"/>
              <w:right w:val="single" w:sz="6" w:space="0" w:color="DEDEDE"/>
            </w:tcBorders>
            <w:shd w:val="clear" w:color="auto" w:fill="FFFFFF"/>
            <w:hideMark/>
          </w:tcPr>
          <w:p w14:paraId="0F5B6DD0"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volume-based discounts</w:t>
            </w:r>
          </w:p>
        </w:tc>
      </w:tr>
      <w:tr w:rsidR="000C0695" w:rsidRPr="000C0695" w14:paraId="16498769"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5CC77B69"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Customer Price</w:t>
            </w:r>
          </w:p>
        </w:tc>
        <w:tc>
          <w:tcPr>
            <w:tcW w:w="0" w:type="auto"/>
            <w:tcBorders>
              <w:bottom w:val="single" w:sz="6" w:space="0" w:color="DEDEDE"/>
              <w:right w:val="single" w:sz="6" w:space="0" w:color="DEDEDE"/>
            </w:tcBorders>
            <w:shd w:val="clear" w:color="auto" w:fill="FFFFFF"/>
            <w:hideMark/>
          </w:tcPr>
          <w:p w14:paraId="6BD64608"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manually editable discounts</w:t>
            </w:r>
          </w:p>
        </w:tc>
      </w:tr>
      <w:tr w:rsidR="000C0695" w:rsidRPr="000C0695" w14:paraId="7A4FCB98"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1DDC8D34"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Partner Price</w:t>
            </w:r>
          </w:p>
        </w:tc>
        <w:tc>
          <w:tcPr>
            <w:tcW w:w="0" w:type="auto"/>
            <w:tcBorders>
              <w:bottom w:val="single" w:sz="6" w:space="0" w:color="DEDEDE"/>
              <w:right w:val="single" w:sz="6" w:space="0" w:color="DEDEDE"/>
            </w:tcBorders>
            <w:shd w:val="clear" w:color="auto" w:fill="FFFFFF"/>
            <w:hideMark/>
          </w:tcPr>
          <w:p w14:paraId="3121D75D"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partner discount, set manually or through automation</w:t>
            </w:r>
          </w:p>
        </w:tc>
      </w:tr>
      <w:tr w:rsidR="000C0695" w:rsidRPr="000C0695" w14:paraId="46A90F00" w14:textId="77777777" w:rsidTr="000C0695">
        <w:tc>
          <w:tcPr>
            <w:tcW w:w="0" w:type="auto"/>
            <w:tcBorders>
              <w:left w:val="single" w:sz="6" w:space="0" w:color="DEDEDE"/>
              <w:bottom w:val="single" w:sz="6" w:space="0" w:color="DEDEDE"/>
              <w:right w:val="single" w:sz="6" w:space="0" w:color="DEDEDE"/>
            </w:tcBorders>
            <w:shd w:val="clear" w:color="auto" w:fill="FFFFFF"/>
            <w:hideMark/>
          </w:tcPr>
          <w:p w14:paraId="62428AFD"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Net Price</w:t>
            </w:r>
          </w:p>
        </w:tc>
        <w:tc>
          <w:tcPr>
            <w:tcW w:w="0" w:type="auto"/>
            <w:tcBorders>
              <w:bottom w:val="single" w:sz="6" w:space="0" w:color="DEDEDE"/>
              <w:right w:val="single" w:sz="6" w:space="0" w:color="DEDEDE"/>
            </w:tcBorders>
            <w:shd w:val="clear" w:color="auto" w:fill="FFFFFF"/>
            <w:hideMark/>
          </w:tcPr>
          <w:p w14:paraId="2DDB0705" w14:textId="77777777" w:rsidR="000C0695" w:rsidRPr="000C0695" w:rsidRDefault="000C0695" w:rsidP="000C0695">
            <w:pPr>
              <w:spacing w:after="0" w:line="240" w:lineRule="auto"/>
              <w:rPr>
                <w:rFonts w:ascii="Segoe UI" w:eastAsia="Times New Roman" w:hAnsi="Segoe UI" w:cs="Segoe UI"/>
                <w:color w:val="1E1E1C"/>
                <w:sz w:val="24"/>
                <w:szCs w:val="24"/>
              </w:rPr>
            </w:pPr>
            <w:r w:rsidRPr="000C0695">
              <w:rPr>
                <w:rFonts w:ascii="Segoe UI" w:eastAsia="Times New Roman" w:hAnsi="Segoe UI" w:cs="Segoe UI"/>
                <w:color w:val="1E1E1C"/>
                <w:sz w:val="24"/>
                <w:szCs w:val="24"/>
              </w:rPr>
              <w:t>Result of distributor discount, set manually or through automation</w:t>
            </w:r>
          </w:p>
        </w:tc>
      </w:tr>
    </w:tbl>
    <w:p w14:paraId="43550ECE" w14:textId="6EDDBADB" w:rsidR="000C0695" w:rsidRDefault="000C0695"/>
    <w:p w14:paraId="18912B73" w14:textId="77777777" w:rsidR="000C0695" w:rsidRDefault="000C0695" w:rsidP="000C0695">
      <w:pPr>
        <w:pStyle w:val="NormalWeb"/>
        <w:shd w:val="clear" w:color="auto" w:fill="F5F5F5"/>
        <w:rPr>
          <w:rFonts w:ascii="Segoe UI" w:hAnsi="Segoe UI" w:cs="Segoe UI"/>
          <w:color w:val="1E1E1E"/>
        </w:rPr>
      </w:pPr>
      <w:r>
        <w:rPr>
          <w:rFonts w:ascii="Segoe UI" w:hAnsi="Segoe UI" w:cs="Segoe UI"/>
          <w:color w:val="1E1E1E"/>
        </w:rPr>
        <w:t>This list of prices is often referred to as the price waterfall because each price cascades down to affect the next price. For example, CPQ takes the special price and deducts the volume-based discounts to calculate the regular price. Then, it takes regular price and deducts manual discounts to calculate customer price, and so on.</w:t>
      </w:r>
    </w:p>
    <w:p w14:paraId="143CA6AF" w14:textId="77777777" w:rsidR="000C0695" w:rsidRDefault="000C0695" w:rsidP="000C0695">
      <w:pPr>
        <w:pStyle w:val="NormalWeb"/>
        <w:shd w:val="clear" w:color="auto" w:fill="F5F5F5"/>
        <w:rPr>
          <w:rFonts w:ascii="Segoe UI" w:hAnsi="Segoe UI" w:cs="Segoe UI"/>
          <w:color w:val="1E1E1E"/>
        </w:rPr>
      </w:pPr>
      <w:r>
        <w:rPr>
          <w:rFonts w:ascii="Segoe UI" w:hAnsi="Segoe UI" w:cs="Segoe UI"/>
          <w:color w:val="1E1E1E"/>
        </w:rPr>
        <w:lastRenderedPageBreak/>
        <w:t xml:space="preserve">It’s good to be familiar with the price waterfall so that you can understand how CPQ eventually calculates the net price. This is what we </w:t>
      </w:r>
      <w:proofErr w:type="gramStart"/>
      <w:r>
        <w:rPr>
          <w:rFonts w:ascii="Segoe UI" w:hAnsi="Segoe UI" w:cs="Segoe UI"/>
          <w:color w:val="1E1E1E"/>
        </w:rPr>
        <w:t>actually ask</w:t>
      </w:r>
      <w:proofErr w:type="gramEnd"/>
      <w:r>
        <w:rPr>
          <w:rFonts w:ascii="Segoe UI" w:hAnsi="Segoe UI" w:cs="Segoe UI"/>
          <w:color w:val="1E1E1E"/>
        </w:rPr>
        <w:t xml:space="preserve"> the customer to pay for a given product, and it is synchronized to the opportunity product price.</w:t>
      </w:r>
    </w:p>
    <w:p w14:paraId="17CC69BC"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 bundles are collections of products sold together as a set. They’re a great way to help sales reps remember what’s supposed to be sold together and what products are available for upsells.</w:t>
      </w:r>
    </w:p>
    <w:p w14:paraId="180114A9"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Have you ever come across a great deal on a bundle? Maybe it’s all three movies in your favorite sci-fi trilogy sold for one low price. Or maybe it’s a discount on the latest cell phone when packaged with a year of service. To encourage customers to buy bundles, businesses often discount the bundled products while leaving the unbundled products full price. Salesforce CPQ supports exactly this scenario, making it easy for administrators to set up bundle-based discounts.</w:t>
      </w:r>
    </w:p>
    <w:p w14:paraId="4B565B25" w14:textId="64410D6B" w:rsidR="000C0695" w:rsidRDefault="006A3D87">
      <w:pPr>
        <w:rPr>
          <w:rFonts w:ascii="Segoe UI" w:hAnsi="Segoe UI" w:cs="Segoe UI"/>
          <w:color w:val="333333"/>
          <w:sz w:val="36"/>
          <w:szCs w:val="36"/>
          <w:shd w:val="clear" w:color="auto" w:fill="F5F5F5"/>
        </w:rPr>
      </w:pPr>
      <w:r>
        <w:rPr>
          <w:rFonts w:ascii="Segoe UI" w:hAnsi="Segoe UI" w:cs="Segoe UI"/>
          <w:color w:val="333333"/>
          <w:sz w:val="36"/>
          <w:szCs w:val="36"/>
          <w:shd w:val="clear" w:color="auto" w:fill="F5F5F5"/>
        </w:rPr>
        <w:t>Option Discounts and Other Pricing Methods</w:t>
      </w:r>
    </w:p>
    <w:p w14:paraId="0E031071"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 xml:space="preserve"> the series of price fields CPQ uses to track quote line pricing. One field, Special Price, is used to represent option discounts. However, CPQ also uses the Special Price field to represent the outcome of </w:t>
      </w:r>
      <w:proofErr w:type="gramStart"/>
      <w:r>
        <w:rPr>
          <w:rFonts w:ascii="Segoe UI" w:hAnsi="Segoe UI" w:cs="Segoe UI"/>
          <w:color w:val="1E1E1E"/>
        </w:rPr>
        <w:t>cost plus</w:t>
      </w:r>
      <w:proofErr w:type="gramEnd"/>
      <w:r>
        <w:rPr>
          <w:rFonts w:ascii="Segoe UI" w:hAnsi="Segoe UI" w:cs="Segoe UI"/>
          <w:color w:val="1E1E1E"/>
        </w:rPr>
        <w:t xml:space="preserve"> markup and contracted pricing adjustments. </w:t>
      </w:r>
      <w:proofErr w:type="gramStart"/>
      <w:r>
        <w:rPr>
          <w:rFonts w:ascii="Segoe UI" w:hAnsi="Segoe UI" w:cs="Segoe UI"/>
          <w:color w:val="1E1E1E"/>
        </w:rPr>
        <w:t>So</w:t>
      </w:r>
      <w:proofErr w:type="gramEnd"/>
      <w:r>
        <w:rPr>
          <w:rFonts w:ascii="Segoe UI" w:hAnsi="Segoe UI" w:cs="Segoe UI"/>
          <w:color w:val="1E1E1E"/>
        </w:rPr>
        <w:t xml:space="preserve"> what happens if option discounts are used with one of the other pricing methods?</w:t>
      </w:r>
    </w:p>
    <w:p w14:paraId="269A6F75"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Only one adjustment can be used for the Special Price field, so Salesforce CPQ prioritizes them. Cost Plus Markup has the highest priority. If that’s not used, then Contracted Pricing is applied. Lastly, if no other adjustments exist, the Option discount is applied to the List Price.</w:t>
      </w:r>
    </w:p>
    <w:p w14:paraId="0DB2A786" w14:textId="57E1C157" w:rsidR="006A3D87" w:rsidRDefault="006A3D87" w:rsidP="006A3D87">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016154E9" wp14:editId="35173F3C">
            <wp:extent cx="3568700" cy="3600450"/>
            <wp:effectExtent l="0" t="0" r="0" b="0"/>
            <wp:docPr id="1" name="Picture 1" descr="Pricing Flow for Special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Flow for Special Pr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700" cy="3600450"/>
                    </a:xfrm>
                    <a:prstGeom prst="rect">
                      <a:avLst/>
                    </a:prstGeom>
                    <a:noFill/>
                    <a:ln>
                      <a:noFill/>
                    </a:ln>
                  </pic:spPr>
                </pic:pic>
              </a:graphicData>
            </a:graphic>
          </wp:inline>
        </w:drawing>
      </w:r>
    </w:p>
    <w:p w14:paraId="19D16A81" w14:textId="77777777" w:rsidR="006A3D87" w:rsidRDefault="006A3D87" w:rsidP="006A3D87">
      <w:pPr>
        <w:pStyle w:val="NormalWeb"/>
        <w:shd w:val="clear" w:color="auto" w:fill="F5F5F5"/>
        <w:rPr>
          <w:rFonts w:ascii="Segoe UI" w:hAnsi="Segoe UI" w:cs="Segoe UI"/>
          <w:color w:val="1E1E1E"/>
        </w:rPr>
      </w:pPr>
      <w:r>
        <w:rPr>
          <w:rFonts w:ascii="Segoe UI" w:hAnsi="Segoe UI" w:cs="Segoe UI"/>
          <w:color w:val="1E1E1E"/>
        </w:rPr>
        <w:t>Option discounting is an easy way to automatically discount products sold as part of a bundle. Another way to automate discounts is to use a tool called Discount Schedules, which lets admins set up volume-based pricing. In the next unit we see how to use Discount Schedules to reward customers who buy in bulk.</w:t>
      </w:r>
    </w:p>
    <w:p w14:paraId="2E6B6C9C" w14:textId="77777777" w:rsidR="000F5E7C" w:rsidRDefault="000F5E7C" w:rsidP="000F5E7C">
      <w:pPr>
        <w:pStyle w:val="Heading2"/>
        <w:shd w:val="clear" w:color="auto" w:fill="F5F5F5"/>
        <w:rPr>
          <w:rFonts w:ascii="Segoe UI" w:hAnsi="Segoe UI" w:cs="Segoe UI"/>
          <w:color w:val="333333"/>
        </w:rPr>
      </w:pPr>
      <w:r>
        <w:rPr>
          <w:rFonts w:ascii="Segoe UI" w:hAnsi="Segoe UI" w:cs="Segoe UI"/>
          <w:color w:val="333333"/>
        </w:rPr>
        <w:t>Pump Up the Volume</w:t>
      </w:r>
    </w:p>
    <w:p w14:paraId="6A327370" w14:textId="77777777" w:rsidR="000F5E7C" w:rsidRDefault="000F5E7C" w:rsidP="000F5E7C">
      <w:pPr>
        <w:pStyle w:val="NormalWeb"/>
        <w:shd w:val="clear" w:color="auto" w:fill="F5F5F5"/>
        <w:rPr>
          <w:rFonts w:ascii="Segoe UI" w:hAnsi="Segoe UI" w:cs="Segoe UI"/>
          <w:color w:val="1E1E1E"/>
        </w:rPr>
      </w:pPr>
      <w:r>
        <w:rPr>
          <w:rFonts w:ascii="Segoe UI" w:hAnsi="Segoe UI" w:cs="Segoe UI"/>
          <w:color w:val="1E1E1E"/>
        </w:rPr>
        <w:t>Buying in bulk is a good way to save money if you’re OK with buying a lot of something at one time. Why get a single roll of paper towels when you can get 40 at a nice discount? Businesses offer these quantity-based discounts to encourage larger deals, but it can be a challenge for sales reps to keep track of how much they should discount for given quantities. Salesforce CPQ can automatically apply the right volume-based discount for each specific deal by using a tool called Discount Schedules. You can think of a discount schedule as a table of quantities and percentages.</w:t>
      </w:r>
    </w:p>
    <w:tbl>
      <w:tblPr>
        <w:tblW w:w="6700" w:type="dxa"/>
        <w:shd w:val="clear" w:color="auto" w:fill="F5F5F5"/>
        <w:tblCellMar>
          <w:top w:w="15" w:type="dxa"/>
          <w:left w:w="15" w:type="dxa"/>
          <w:bottom w:w="15" w:type="dxa"/>
          <w:right w:w="15" w:type="dxa"/>
        </w:tblCellMar>
        <w:tblLook w:val="04A0" w:firstRow="1" w:lastRow="0" w:firstColumn="1" w:lastColumn="0" w:noHBand="0" w:noVBand="1"/>
      </w:tblPr>
      <w:tblGrid>
        <w:gridCol w:w="1716"/>
        <w:gridCol w:w="3707"/>
        <w:gridCol w:w="1277"/>
      </w:tblGrid>
      <w:tr w:rsidR="000F5E7C" w14:paraId="6B534684" w14:textId="77777777" w:rsidTr="000F5E7C">
        <w:trPr>
          <w:tblHeader/>
        </w:trPr>
        <w:tc>
          <w:tcPr>
            <w:tcW w:w="1713" w:type="dxa"/>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C837691" w14:textId="77777777" w:rsidR="000F5E7C" w:rsidRDefault="000F5E7C" w:rsidP="000F5E7C">
            <w:pPr>
              <w:rPr>
                <w:rFonts w:ascii="Segoe UI" w:hAnsi="Segoe UI" w:cs="Segoe UI"/>
                <w:b/>
                <w:bCs/>
                <w:color w:val="1E1E1C"/>
              </w:rPr>
            </w:pPr>
            <w:r>
              <w:rPr>
                <w:rFonts w:ascii="Segoe UI" w:hAnsi="Segoe UI" w:cs="Segoe UI"/>
                <w:b/>
                <w:bCs/>
                <w:color w:val="1E1E1C"/>
              </w:rPr>
              <w:t>Lower Quantity</w:t>
            </w:r>
          </w:p>
        </w:tc>
        <w:tc>
          <w:tcPr>
            <w:tcW w:w="3700" w:type="dxa"/>
            <w:tcBorders>
              <w:top w:val="single" w:sz="6" w:space="0" w:color="E2E2E2"/>
              <w:bottom w:val="single" w:sz="24" w:space="0" w:color="E2E2E2"/>
              <w:right w:val="single" w:sz="6" w:space="0" w:color="E2E2E2"/>
            </w:tcBorders>
            <w:shd w:val="clear" w:color="auto" w:fill="FFFFFF"/>
            <w:vAlign w:val="center"/>
            <w:hideMark/>
          </w:tcPr>
          <w:p w14:paraId="4A685B36" w14:textId="77777777" w:rsidR="000F5E7C" w:rsidRDefault="000F5E7C" w:rsidP="000F5E7C">
            <w:pPr>
              <w:rPr>
                <w:rFonts w:ascii="Segoe UI" w:hAnsi="Segoe UI" w:cs="Segoe UI"/>
                <w:b/>
                <w:bCs/>
                <w:color w:val="1E1E1C"/>
              </w:rPr>
            </w:pPr>
            <w:r>
              <w:rPr>
                <w:rFonts w:ascii="Segoe UI" w:hAnsi="Segoe UI" w:cs="Segoe UI"/>
                <w:b/>
                <w:bCs/>
                <w:color w:val="1E1E1C"/>
              </w:rPr>
              <w:t>Upper Quantity (up to but not including)</w:t>
            </w:r>
          </w:p>
        </w:tc>
        <w:tc>
          <w:tcPr>
            <w:tcW w:w="1275" w:type="dxa"/>
            <w:tcBorders>
              <w:top w:val="single" w:sz="6" w:space="0" w:color="E2E2E2"/>
              <w:bottom w:val="single" w:sz="24" w:space="0" w:color="E2E2E2"/>
              <w:right w:val="single" w:sz="6" w:space="0" w:color="E2E2E2"/>
            </w:tcBorders>
            <w:shd w:val="clear" w:color="auto" w:fill="FFFFFF"/>
            <w:vAlign w:val="center"/>
            <w:hideMark/>
          </w:tcPr>
          <w:p w14:paraId="20800BD9" w14:textId="77777777" w:rsidR="000F5E7C" w:rsidRDefault="000F5E7C" w:rsidP="000F5E7C">
            <w:pPr>
              <w:rPr>
                <w:rFonts w:ascii="Segoe UI" w:hAnsi="Segoe UI" w:cs="Segoe UI"/>
                <w:b/>
                <w:bCs/>
                <w:color w:val="1E1E1C"/>
              </w:rPr>
            </w:pPr>
            <w:r>
              <w:rPr>
                <w:rFonts w:ascii="Segoe UI" w:hAnsi="Segoe UI" w:cs="Segoe UI"/>
                <w:b/>
                <w:bCs/>
                <w:color w:val="1E1E1C"/>
              </w:rPr>
              <w:t>Percent</w:t>
            </w:r>
          </w:p>
        </w:tc>
      </w:tr>
      <w:tr w:rsidR="000F5E7C" w14:paraId="63B950DC" w14:textId="77777777" w:rsidTr="000F5E7C">
        <w:tc>
          <w:tcPr>
            <w:tcW w:w="1713" w:type="dxa"/>
            <w:tcBorders>
              <w:left w:val="single" w:sz="6" w:space="0" w:color="DEDEDE"/>
              <w:bottom w:val="single" w:sz="6" w:space="0" w:color="DEDEDE"/>
              <w:right w:val="single" w:sz="6" w:space="0" w:color="DEDEDE"/>
            </w:tcBorders>
            <w:shd w:val="clear" w:color="auto" w:fill="FFFFFF"/>
            <w:hideMark/>
          </w:tcPr>
          <w:p w14:paraId="74C5291D" w14:textId="77777777" w:rsidR="000F5E7C" w:rsidRDefault="000F5E7C">
            <w:pPr>
              <w:rPr>
                <w:rFonts w:ascii="Segoe UI" w:hAnsi="Segoe UI" w:cs="Segoe UI"/>
                <w:color w:val="1E1E1C"/>
              </w:rPr>
            </w:pPr>
            <w:r>
              <w:rPr>
                <w:rFonts w:ascii="Segoe UI" w:hAnsi="Segoe UI" w:cs="Segoe UI"/>
                <w:color w:val="1E1E1C"/>
              </w:rPr>
              <w:t>30</w:t>
            </w:r>
          </w:p>
        </w:tc>
        <w:tc>
          <w:tcPr>
            <w:tcW w:w="3700" w:type="dxa"/>
            <w:tcBorders>
              <w:bottom w:val="single" w:sz="6" w:space="0" w:color="DEDEDE"/>
              <w:right w:val="single" w:sz="6" w:space="0" w:color="DEDEDE"/>
            </w:tcBorders>
            <w:shd w:val="clear" w:color="auto" w:fill="FFFFFF"/>
            <w:hideMark/>
          </w:tcPr>
          <w:p w14:paraId="4AC744C8" w14:textId="77777777" w:rsidR="000F5E7C" w:rsidRDefault="000F5E7C">
            <w:pPr>
              <w:rPr>
                <w:rFonts w:ascii="Segoe UI" w:hAnsi="Segoe UI" w:cs="Segoe UI"/>
                <w:color w:val="1E1E1C"/>
              </w:rPr>
            </w:pPr>
            <w:r>
              <w:rPr>
                <w:rFonts w:ascii="Segoe UI" w:hAnsi="Segoe UI" w:cs="Segoe UI"/>
                <w:color w:val="1E1E1C"/>
              </w:rPr>
              <w:t>60</w:t>
            </w:r>
          </w:p>
        </w:tc>
        <w:tc>
          <w:tcPr>
            <w:tcW w:w="1275" w:type="dxa"/>
            <w:tcBorders>
              <w:bottom w:val="single" w:sz="6" w:space="0" w:color="DEDEDE"/>
              <w:right w:val="single" w:sz="6" w:space="0" w:color="DEDEDE"/>
            </w:tcBorders>
            <w:shd w:val="clear" w:color="auto" w:fill="FFFFFF"/>
            <w:hideMark/>
          </w:tcPr>
          <w:p w14:paraId="59A68140" w14:textId="77777777" w:rsidR="000F5E7C" w:rsidRDefault="000F5E7C">
            <w:pPr>
              <w:rPr>
                <w:rFonts w:ascii="Segoe UI" w:hAnsi="Segoe UI" w:cs="Segoe UI"/>
                <w:color w:val="1E1E1C"/>
              </w:rPr>
            </w:pPr>
            <w:r>
              <w:rPr>
                <w:rFonts w:ascii="Segoe UI" w:hAnsi="Segoe UI" w:cs="Segoe UI"/>
                <w:color w:val="1E1E1C"/>
              </w:rPr>
              <w:t>10%</w:t>
            </w:r>
          </w:p>
        </w:tc>
      </w:tr>
      <w:tr w:rsidR="000F5E7C" w14:paraId="04A77122" w14:textId="77777777" w:rsidTr="000F5E7C">
        <w:tc>
          <w:tcPr>
            <w:tcW w:w="1713" w:type="dxa"/>
            <w:tcBorders>
              <w:left w:val="single" w:sz="6" w:space="0" w:color="DEDEDE"/>
              <w:bottom w:val="single" w:sz="6" w:space="0" w:color="DEDEDE"/>
              <w:right w:val="single" w:sz="6" w:space="0" w:color="DEDEDE"/>
            </w:tcBorders>
            <w:shd w:val="clear" w:color="auto" w:fill="FFFFFF"/>
            <w:hideMark/>
          </w:tcPr>
          <w:p w14:paraId="575FF53E" w14:textId="77777777" w:rsidR="000F5E7C" w:rsidRDefault="000F5E7C">
            <w:pPr>
              <w:rPr>
                <w:rFonts w:ascii="Segoe UI" w:hAnsi="Segoe UI" w:cs="Segoe UI"/>
                <w:color w:val="1E1E1C"/>
              </w:rPr>
            </w:pPr>
            <w:r>
              <w:rPr>
                <w:rFonts w:ascii="Segoe UI" w:hAnsi="Segoe UI" w:cs="Segoe UI"/>
                <w:color w:val="1E1E1C"/>
              </w:rPr>
              <w:t>60</w:t>
            </w:r>
          </w:p>
        </w:tc>
        <w:tc>
          <w:tcPr>
            <w:tcW w:w="3700" w:type="dxa"/>
            <w:tcBorders>
              <w:bottom w:val="single" w:sz="6" w:space="0" w:color="DEDEDE"/>
              <w:right w:val="single" w:sz="6" w:space="0" w:color="DEDEDE"/>
            </w:tcBorders>
            <w:shd w:val="clear" w:color="auto" w:fill="FFFFFF"/>
            <w:hideMark/>
          </w:tcPr>
          <w:p w14:paraId="175025E4" w14:textId="77777777" w:rsidR="000F5E7C" w:rsidRDefault="000F5E7C">
            <w:pPr>
              <w:rPr>
                <w:rFonts w:ascii="Segoe UI" w:hAnsi="Segoe UI" w:cs="Segoe UI"/>
                <w:color w:val="1E1E1C"/>
              </w:rPr>
            </w:pPr>
            <w:r>
              <w:rPr>
                <w:rFonts w:ascii="Segoe UI" w:hAnsi="Segoe UI" w:cs="Segoe UI"/>
                <w:color w:val="1E1E1C"/>
              </w:rPr>
              <w:t>90</w:t>
            </w:r>
          </w:p>
        </w:tc>
        <w:tc>
          <w:tcPr>
            <w:tcW w:w="1275" w:type="dxa"/>
            <w:tcBorders>
              <w:bottom w:val="single" w:sz="6" w:space="0" w:color="DEDEDE"/>
              <w:right w:val="single" w:sz="6" w:space="0" w:color="DEDEDE"/>
            </w:tcBorders>
            <w:shd w:val="clear" w:color="auto" w:fill="FFFFFF"/>
            <w:hideMark/>
          </w:tcPr>
          <w:p w14:paraId="78CA518C" w14:textId="77777777" w:rsidR="000F5E7C" w:rsidRDefault="000F5E7C">
            <w:pPr>
              <w:rPr>
                <w:rFonts w:ascii="Segoe UI" w:hAnsi="Segoe UI" w:cs="Segoe UI"/>
                <w:color w:val="1E1E1C"/>
              </w:rPr>
            </w:pPr>
            <w:r>
              <w:rPr>
                <w:rFonts w:ascii="Segoe UI" w:hAnsi="Segoe UI" w:cs="Segoe UI"/>
                <w:color w:val="1E1E1C"/>
              </w:rPr>
              <w:t>20%</w:t>
            </w:r>
          </w:p>
        </w:tc>
      </w:tr>
      <w:tr w:rsidR="000F5E7C" w14:paraId="73E47F68" w14:textId="77777777" w:rsidTr="000F5E7C">
        <w:tc>
          <w:tcPr>
            <w:tcW w:w="1713" w:type="dxa"/>
            <w:tcBorders>
              <w:left w:val="single" w:sz="6" w:space="0" w:color="DEDEDE"/>
              <w:bottom w:val="single" w:sz="6" w:space="0" w:color="DEDEDE"/>
              <w:right w:val="single" w:sz="6" w:space="0" w:color="DEDEDE"/>
            </w:tcBorders>
            <w:shd w:val="clear" w:color="auto" w:fill="FFFFFF"/>
            <w:hideMark/>
          </w:tcPr>
          <w:p w14:paraId="26ABCFD6" w14:textId="77777777" w:rsidR="000F5E7C" w:rsidRDefault="000F5E7C">
            <w:pPr>
              <w:rPr>
                <w:rFonts w:ascii="Segoe UI" w:hAnsi="Segoe UI" w:cs="Segoe UI"/>
                <w:color w:val="1E1E1C"/>
              </w:rPr>
            </w:pPr>
            <w:r>
              <w:rPr>
                <w:rFonts w:ascii="Segoe UI" w:hAnsi="Segoe UI" w:cs="Segoe UI"/>
                <w:color w:val="1E1E1C"/>
              </w:rPr>
              <w:lastRenderedPageBreak/>
              <w:t>90</w:t>
            </w:r>
          </w:p>
        </w:tc>
        <w:tc>
          <w:tcPr>
            <w:tcW w:w="3700" w:type="dxa"/>
            <w:tcBorders>
              <w:bottom w:val="single" w:sz="6" w:space="0" w:color="DEDEDE"/>
              <w:right w:val="single" w:sz="6" w:space="0" w:color="DEDEDE"/>
            </w:tcBorders>
            <w:shd w:val="clear" w:color="auto" w:fill="FFFFFF"/>
            <w:hideMark/>
          </w:tcPr>
          <w:p w14:paraId="28511E35" w14:textId="77777777" w:rsidR="000F5E7C" w:rsidRDefault="000F5E7C">
            <w:pPr>
              <w:rPr>
                <w:rFonts w:ascii="Segoe UI" w:hAnsi="Segoe UI" w:cs="Segoe UI"/>
                <w:color w:val="1E1E1C"/>
              </w:rPr>
            </w:pPr>
            <w:r>
              <w:rPr>
                <w:rFonts w:ascii="Segoe UI" w:hAnsi="Segoe UI" w:cs="Segoe UI"/>
                <w:color w:val="1E1E1C"/>
              </w:rPr>
              <w:t>Unlimited</w:t>
            </w:r>
          </w:p>
        </w:tc>
        <w:tc>
          <w:tcPr>
            <w:tcW w:w="1275" w:type="dxa"/>
            <w:tcBorders>
              <w:bottom w:val="single" w:sz="6" w:space="0" w:color="DEDEDE"/>
              <w:right w:val="single" w:sz="6" w:space="0" w:color="DEDEDE"/>
            </w:tcBorders>
            <w:shd w:val="clear" w:color="auto" w:fill="FFFFFF"/>
            <w:hideMark/>
          </w:tcPr>
          <w:p w14:paraId="4B00AC72" w14:textId="77777777" w:rsidR="000F5E7C" w:rsidRDefault="000F5E7C">
            <w:pPr>
              <w:rPr>
                <w:rFonts w:ascii="Segoe UI" w:hAnsi="Segoe UI" w:cs="Segoe UI"/>
                <w:color w:val="1E1E1C"/>
              </w:rPr>
            </w:pPr>
            <w:r>
              <w:rPr>
                <w:rFonts w:ascii="Segoe UI" w:hAnsi="Segoe UI" w:cs="Segoe UI"/>
                <w:color w:val="1E1E1C"/>
              </w:rPr>
              <w:t>30%</w:t>
            </w:r>
          </w:p>
        </w:tc>
      </w:tr>
    </w:tbl>
    <w:p w14:paraId="1FF8AB80" w14:textId="77777777" w:rsidR="000F5E7C" w:rsidRDefault="000F5E7C" w:rsidP="000F5E7C">
      <w:pPr>
        <w:pStyle w:val="NormalWeb"/>
        <w:shd w:val="clear" w:color="auto" w:fill="F5F5F5"/>
        <w:rPr>
          <w:rFonts w:ascii="Segoe UI" w:hAnsi="Segoe UI" w:cs="Segoe UI"/>
          <w:color w:val="1E1E1E"/>
        </w:rPr>
      </w:pPr>
      <w:r>
        <w:rPr>
          <w:rFonts w:ascii="Segoe UI" w:hAnsi="Segoe UI" w:cs="Segoe UI"/>
          <w:color w:val="1E1E1E"/>
        </w:rPr>
        <w:t xml:space="preserve">In this example there is no discount for buying 29 of an </w:t>
      </w:r>
      <w:proofErr w:type="gramStart"/>
      <w:r>
        <w:rPr>
          <w:rFonts w:ascii="Segoe UI" w:hAnsi="Segoe UI" w:cs="Segoe UI"/>
          <w:color w:val="1E1E1E"/>
        </w:rPr>
        <w:t>item</w:t>
      </w:r>
      <w:proofErr w:type="gramEnd"/>
      <w:r>
        <w:rPr>
          <w:rFonts w:ascii="Segoe UI" w:hAnsi="Segoe UI" w:cs="Segoe UI"/>
          <w:color w:val="1E1E1E"/>
        </w:rPr>
        <w:t>, but 30 qualify for the 10% discount, and 60 qualify for 20% off. </w:t>
      </w:r>
      <w:r>
        <w:rPr>
          <w:rStyle w:val="Strong"/>
          <w:rFonts w:ascii="Segoe UI" w:eastAsiaTheme="majorEastAsia" w:hAnsi="Segoe UI" w:cs="Segoe UI"/>
          <w:color w:val="1E1E1E"/>
        </w:rPr>
        <w:t>There is no upper bound for the 90+ range because we want to give a 30% discount for any number of units above 90, whether it’s 100 or 1,000.</w:t>
      </w:r>
    </w:p>
    <w:p w14:paraId="21D80493" w14:textId="77777777" w:rsidR="000F5E7C" w:rsidRDefault="000F5E7C" w:rsidP="000F5E7C">
      <w:pPr>
        <w:pStyle w:val="NormalWeb"/>
        <w:shd w:val="clear" w:color="auto" w:fill="F5F5F5"/>
        <w:rPr>
          <w:rFonts w:ascii="Segoe UI" w:hAnsi="Segoe UI" w:cs="Segoe UI"/>
          <w:color w:val="1E1E1E"/>
        </w:rPr>
      </w:pPr>
      <w:r>
        <w:rPr>
          <w:rFonts w:ascii="Segoe UI" w:hAnsi="Segoe UI" w:cs="Segoe UI"/>
          <w:color w:val="1E1E1E"/>
        </w:rPr>
        <w:t>Notice that the discount schedule uses 60 for both the upper quantity of the first tier and the lower quantity of the second. This can seem odd, but it makes sure there are no gaps for fractional quantities to fall through. If the upper quantity of the first tier was 59, then 59.5 would fall through the cracks and no discount would be applied. So, with discount schedules it’s understood that the upper quantity of a tier is NOT included, which is why buying 60 units qualifies for a 20% discount.</w:t>
      </w:r>
    </w:p>
    <w:p w14:paraId="3AB98391" w14:textId="77777777" w:rsidR="000F5E7C" w:rsidRPr="000F5E7C" w:rsidRDefault="000F5E7C" w:rsidP="000F5E7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0F5E7C">
        <w:rPr>
          <w:rFonts w:ascii="Segoe UI" w:eastAsia="Times New Roman" w:hAnsi="Segoe UI" w:cs="Segoe UI"/>
          <w:color w:val="1E1E1E"/>
          <w:sz w:val="24"/>
          <w:szCs w:val="24"/>
        </w:rPr>
        <w:t>There are even more objects that have Discount Schedule lookups, allowing administrators to apply volume-based pricing in very targeted ways.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549"/>
        <w:gridCol w:w="6920"/>
        <w:gridCol w:w="875"/>
      </w:tblGrid>
      <w:tr w:rsidR="000F5E7C" w:rsidRPr="000F5E7C" w14:paraId="329AC9AD" w14:textId="77777777" w:rsidTr="004E3001">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79F92165" w14:textId="77777777" w:rsidR="000F5E7C" w:rsidRPr="000F5E7C" w:rsidRDefault="000F5E7C" w:rsidP="000F5E7C">
            <w:pPr>
              <w:spacing w:after="0" w:line="240" w:lineRule="auto"/>
              <w:rPr>
                <w:rFonts w:ascii="Segoe UI" w:eastAsia="Times New Roman" w:hAnsi="Segoe UI" w:cs="Segoe UI"/>
                <w:b/>
                <w:bCs/>
                <w:color w:val="1E1E1C"/>
                <w:sz w:val="24"/>
                <w:szCs w:val="24"/>
              </w:rPr>
            </w:pPr>
            <w:r w:rsidRPr="000F5E7C">
              <w:rPr>
                <w:rFonts w:ascii="Segoe UI" w:eastAsia="Times New Roman" w:hAnsi="Segoe UI" w:cs="Segoe UI"/>
                <w:b/>
                <w:bCs/>
                <w:color w:val="1E1E1C"/>
                <w:sz w:val="24"/>
                <w:szCs w:val="24"/>
              </w:rPr>
              <w:t>Object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5832A15" w14:textId="77777777" w:rsidR="000F5E7C" w:rsidRPr="000F5E7C" w:rsidRDefault="000F5E7C" w:rsidP="000F5E7C">
            <w:pPr>
              <w:spacing w:after="0" w:line="240" w:lineRule="auto"/>
              <w:rPr>
                <w:rFonts w:ascii="Segoe UI" w:eastAsia="Times New Roman" w:hAnsi="Segoe UI" w:cs="Segoe UI"/>
                <w:b/>
                <w:bCs/>
                <w:color w:val="1E1E1C"/>
                <w:sz w:val="24"/>
                <w:szCs w:val="24"/>
              </w:rPr>
            </w:pPr>
            <w:r w:rsidRPr="000F5E7C">
              <w:rPr>
                <w:rFonts w:ascii="Segoe UI" w:eastAsia="Times New Roman" w:hAnsi="Segoe UI" w:cs="Segoe UI"/>
                <w:b/>
                <w:bCs/>
                <w:color w:val="1E1E1C"/>
                <w:sz w:val="24"/>
                <w:szCs w:val="24"/>
              </w:rPr>
              <w:t>Volume Discount Scenario</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73F25459" w14:textId="77777777" w:rsidR="000F5E7C" w:rsidRPr="000F5E7C" w:rsidRDefault="000F5E7C" w:rsidP="000F5E7C">
            <w:pPr>
              <w:spacing w:after="0" w:line="240" w:lineRule="auto"/>
              <w:rPr>
                <w:rFonts w:ascii="Segoe UI" w:eastAsia="Times New Roman" w:hAnsi="Segoe UI" w:cs="Segoe UI"/>
                <w:b/>
                <w:bCs/>
                <w:color w:val="1E1E1C"/>
                <w:sz w:val="24"/>
                <w:szCs w:val="24"/>
              </w:rPr>
            </w:pPr>
            <w:r w:rsidRPr="000F5E7C">
              <w:rPr>
                <w:rFonts w:ascii="Segoe UI" w:eastAsia="Times New Roman" w:hAnsi="Segoe UI" w:cs="Segoe UI"/>
                <w:b/>
                <w:bCs/>
                <w:color w:val="1E1E1C"/>
                <w:sz w:val="24"/>
                <w:szCs w:val="24"/>
              </w:rPr>
              <w:t>Priority</w:t>
            </w:r>
          </w:p>
        </w:tc>
      </w:tr>
      <w:tr w:rsidR="000F5E7C" w:rsidRPr="000F5E7C" w14:paraId="5F8EEDAB"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7737C8B0"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Contracted Price</w:t>
            </w:r>
          </w:p>
        </w:tc>
        <w:tc>
          <w:tcPr>
            <w:tcW w:w="0" w:type="auto"/>
            <w:tcBorders>
              <w:bottom w:val="single" w:sz="6" w:space="0" w:color="DEDEDE"/>
              <w:right w:val="single" w:sz="6" w:space="0" w:color="DEDEDE"/>
            </w:tcBorders>
            <w:shd w:val="clear" w:color="auto" w:fill="FFFFFF"/>
            <w:hideMark/>
          </w:tcPr>
          <w:p w14:paraId="321AF5C9"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only for a specific account.</w:t>
            </w:r>
          </w:p>
        </w:tc>
        <w:tc>
          <w:tcPr>
            <w:tcW w:w="0" w:type="auto"/>
            <w:tcBorders>
              <w:bottom w:val="single" w:sz="6" w:space="0" w:color="DEDEDE"/>
              <w:right w:val="single" w:sz="6" w:space="0" w:color="DEDEDE"/>
            </w:tcBorders>
            <w:shd w:val="clear" w:color="auto" w:fill="FFFFFF"/>
            <w:hideMark/>
          </w:tcPr>
          <w:p w14:paraId="4F53DE96"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1</w:t>
            </w:r>
          </w:p>
        </w:tc>
      </w:tr>
      <w:tr w:rsidR="000F5E7C" w:rsidRPr="000F5E7C" w14:paraId="37B8B3BC"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09409669"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Price Dimension</w:t>
            </w:r>
          </w:p>
        </w:tc>
        <w:tc>
          <w:tcPr>
            <w:tcW w:w="0" w:type="auto"/>
            <w:tcBorders>
              <w:bottom w:val="single" w:sz="6" w:space="0" w:color="DEDEDE"/>
              <w:right w:val="single" w:sz="6" w:space="0" w:color="DEDEDE"/>
            </w:tcBorders>
            <w:shd w:val="clear" w:color="auto" w:fill="FFFFFF"/>
            <w:hideMark/>
          </w:tcPr>
          <w:p w14:paraId="0DD6F318"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for one-time fees attached to subscription products or segments of the subscription term.</w:t>
            </w:r>
          </w:p>
        </w:tc>
        <w:tc>
          <w:tcPr>
            <w:tcW w:w="0" w:type="auto"/>
            <w:tcBorders>
              <w:bottom w:val="single" w:sz="6" w:space="0" w:color="DEDEDE"/>
              <w:right w:val="single" w:sz="6" w:space="0" w:color="DEDEDE"/>
            </w:tcBorders>
            <w:shd w:val="clear" w:color="auto" w:fill="FFFFFF"/>
            <w:hideMark/>
          </w:tcPr>
          <w:p w14:paraId="0A3894FF"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2</w:t>
            </w:r>
          </w:p>
        </w:tc>
      </w:tr>
      <w:tr w:rsidR="000F5E7C" w:rsidRPr="000F5E7C" w14:paraId="6767380C"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43D3F682"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Product Option</w:t>
            </w:r>
          </w:p>
        </w:tc>
        <w:tc>
          <w:tcPr>
            <w:tcW w:w="0" w:type="auto"/>
            <w:tcBorders>
              <w:bottom w:val="single" w:sz="6" w:space="0" w:color="DEDEDE"/>
              <w:right w:val="single" w:sz="6" w:space="0" w:color="DEDEDE"/>
            </w:tcBorders>
            <w:shd w:val="clear" w:color="auto" w:fill="FFFFFF"/>
            <w:hideMark/>
          </w:tcPr>
          <w:p w14:paraId="35A4B072"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only when a product is sold in a bundle.</w:t>
            </w:r>
          </w:p>
        </w:tc>
        <w:tc>
          <w:tcPr>
            <w:tcW w:w="0" w:type="auto"/>
            <w:tcBorders>
              <w:bottom w:val="single" w:sz="6" w:space="0" w:color="DEDEDE"/>
              <w:right w:val="single" w:sz="6" w:space="0" w:color="DEDEDE"/>
            </w:tcBorders>
            <w:shd w:val="clear" w:color="auto" w:fill="FFFFFF"/>
            <w:hideMark/>
          </w:tcPr>
          <w:p w14:paraId="0A11C961"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3</w:t>
            </w:r>
          </w:p>
        </w:tc>
      </w:tr>
      <w:tr w:rsidR="000F5E7C" w:rsidRPr="000F5E7C" w14:paraId="7A650F7F"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7DDE0BD5"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Feature</w:t>
            </w:r>
          </w:p>
        </w:tc>
        <w:tc>
          <w:tcPr>
            <w:tcW w:w="0" w:type="auto"/>
            <w:tcBorders>
              <w:bottom w:val="single" w:sz="6" w:space="0" w:color="DEDEDE"/>
              <w:right w:val="single" w:sz="6" w:space="0" w:color="DEDEDE"/>
            </w:tcBorders>
            <w:shd w:val="clear" w:color="auto" w:fill="FFFFFF"/>
            <w:hideMark/>
          </w:tcPr>
          <w:p w14:paraId="4A78E4A9"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for every product in a bundle feature.</w:t>
            </w:r>
          </w:p>
        </w:tc>
        <w:tc>
          <w:tcPr>
            <w:tcW w:w="0" w:type="auto"/>
            <w:tcBorders>
              <w:bottom w:val="single" w:sz="6" w:space="0" w:color="DEDEDE"/>
              <w:right w:val="single" w:sz="6" w:space="0" w:color="DEDEDE"/>
            </w:tcBorders>
            <w:shd w:val="clear" w:color="auto" w:fill="FFFFFF"/>
            <w:hideMark/>
          </w:tcPr>
          <w:p w14:paraId="1AE91205"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4</w:t>
            </w:r>
          </w:p>
        </w:tc>
      </w:tr>
      <w:tr w:rsidR="000F5E7C" w:rsidRPr="000F5E7C" w14:paraId="3E831E7C" w14:textId="77777777" w:rsidTr="004E3001">
        <w:tc>
          <w:tcPr>
            <w:tcW w:w="0" w:type="auto"/>
            <w:tcBorders>
              <w:left w:val="single" w:sz="6" w:space="0" w:color="DEDEDE"/>
              <w:bottom w:val="single" w:sz="6" w:space="0" w:color="DEDEDE"/>
              <w:right w:val="single" w:sz="6" w:space="0" w:color="DEDEDE"/>
            </w:tcBorders>
            <w:shd w:val="clear" w:color="auto" w:fill="FFFFFF"/>
            <w:hideMark/>
          </w:tcPr>
          <w:p w14:paraId="1210787F"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Product</w:t>
            </w:r>
          </w:p>
        </w:tc>
        <w:tc>
          <w:tcPr>
            <w:tcW w:w="0" w:type="auto"/>
            <w:tcBorders>
              <w:bottom w:val="single" w:sz="6" w:space="0" w:color="DEDEDE"/>
              <w:right w:val="single" w:sz="6" w:space="0" w:color="DEDEDE"/>
            </w:tcBorders>
            <w:shd w:val="clear" w:color="auto" w:fill="FFFFFF"/>
            <w:hideMark/>
          </w:tcPr>
          <w:p w14:paraId="1CEB4F45"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Discounts whenever a product is added to the quote.</w:t>
            </w:r>
          </w:p>
        </w:tc>
        <w:tc>
          <w:tcPr>
            <w:tcW w:w="0" w:type="auto"/>
            <w:tcBorders>
              <w:bottom w:val="single" w:sz="6" w:space="0" w:color="DEDEDE"/>
              <w:right w:val="single" w:sz="6" w:space="0" w:color="DEDEDE"/>
            </w:tcBorders>
            <w:shd w:val="clear" w:color="auto" w:fill="FFFFFF"/>
            <w:hideMark/>
          </w:tcPr>
          <w:p w14:paraId="0A4CC736" w14:textId="77777777" w:rsidR="000F5E7C" w:rsidRPr="000F5E7C" w:rsidRDefault="000F5E7C" w:rsidP="000F5E7C">
            <w:pPr>
              <w:spacing w:after="0" w:line="240" w:lineRule="auto"/>
              <w:rPr>
                <w:rFonts w:ascii="Segoe UI" w:eastAsia="Times New Roman" w:hAnsi="Segoe UI" w:cs="Segoe UI"/>
                <w:color w:val="1E1E1C"/>
                <w:sz w:val="24"/>
                <w:szCs w:val="24"/>
              </w:rPr>
            </w:pPr>
            <w:r w:rsidRPr="000F5E7C">
              <w:rPr>
                <w:rFonts w:ascii="Segoe UI" w:eastAsia="Times New Roman" w:hAnsi="Segoe UI" w:cs="Segoe UI"/>
                <w:color w:val="1E1E1C"/>
                <w:sz w:val="24"/>
                <w:szCs w:val="24"/>
              </w:rPr>
              <w:t>5</w:t>
            </w:r>
          </w:p>
        </w:tc>
      </w:tr>
    </w:tbl>
    <w:p w14:paraId="2EACC034" w14:textId="4F98D6DA" w:rsidR="006A3D87" w:rsidRDefault="006A3D87"/>
    <w:p w14:paraId="35773FE3" w14:textId="2B882140" w:rsidR="004E3001" w:rsidRDefault="00C07106">
      <w:pPr>
        <w:rPr>
          <w:rFonts w:ascii="Segoe UI" w:hAnsi="Segoe UI" w:cs="Segoe UI"/>
          <w:color w:val="1E1E1E"/>
          <w:shd w:val="clear" w:color="auto" w:fill="F5F5F5"/>
        </w:rPr>
      </w:pPr>
      <w:r>
        <w:rPr>
          <w:rFonts w:ascii="Segoe UI" w:hAnsi="Segoe UI" w:cs="Segoe UI"/>
          <w:color w:val="1E1E1E"/>
          <w:shd w:val="clear" w:color="auto" w:fill="F5F5F5"/>
        </w:rPr>
        <w:t>Since discount schedules can be applied in so many different places, there are times when there can be a quote line that qualifies for two or more discount schedules.</w:t>
      </w:r>
    </w:p>
    <w:p w14:paraId="207053CB" w14:textId="104B476D" w:rsidR="00C07106" w:rsidRDefault="00C07106">
      <w:pPr>
        <w:rPr>
          <w:rFonts w:ascii="Segoe UI" w:hAnsi="Segoe UI" w:cs="Segoe UI"/>
          <w:color w:val="1E1E1E"/>
          <w:shd w:val="clear" w:color="auto" w:fill="F5F5F5"/>
        </w:rPr>
      </w:pPr>
    </w:p>
    <w:p w14:paraId="6A0E533B" w14:textId="77777777" w:rsidR="00C07106" w:rsidRDefault="00C07106" w:rsidP="00C07106">
      <w:pPr>
        <w:pStyle w:val="Heading2"/>
        <w:shd w:val="clear" w:color="auto" w:fill="F5F5F5"/>
        <w:rPr>
          <w:rFonts w:ascii="Segoe UI" w:hAnsi="Segoe UI" w:cs="Segoe UI"/>
          <w:color w:val="333333"/>
        </w:rPr>
      </w:pPr>
      <w:r>
        <w:rPr>
          <w:rFonts w:ascii="Segoe UI" w:hAnsi="Segoe UI" w:cs="Segoe UI"/>
          <w:color w:val="333333"/>
        </w:rPr>
        <w:t xml:space="preserve">Limiting Discount Schedules </w:t>
      </w:r>
      <w:proofErr w:type="gramStart"/>
      <w:r>
        <w:rPr>
          <w:rFonts w:ascii="Segoe UI" w:hAnsi="Segoe UI" w:cs="Segoe UI"/>
          <w:color w:val="333333"/>
        </w:rPr>
        <w:t>By</w:t>
      </w:r>
      <w:proofErr w:type="gramEnd"/>
      <w:r>
        <w:rPr>
          <w:rFonts w:ascii="Segoe UI" w:hAnsi="Segoe UI" w:cs="Segoe UI"/>
          <w:color w:val="333333"/>
        </w:rPr>
        <w:t xml:space="preserve"> Price Book</w:t>
      </w:r>
    </w:p>
    <w:p w14:paraId="429BF5DF" w14:textId="77777777" w:rsidR="00C07106" w:rsidRDefault="00C07106" w:rsidP="00C07106">
      <w:pPr>
        <w:pStyle w:val="NormalWeb"/>
        <w:shd w:val="clear" w:color="auto" w:fill="F5F5F5"/>
        <w:rPr>
          <w:rFonts w:ascii="Segoe UI" w:hAnsi="Segoe UI" w:cs="Segoe UI"/>
          <w:color w:val="1E1E1E"/>
        </w:rPr>
      </w:pPr>
      <w:r>
        <w:rPr>
          <w:rFonts w:ascii="Segoe UI" w:hAnsi="Segoe UI" w:cs="Segoe UI"/>
          <w:color w:val="1E1E1E"/>
        </w:rPr>
        <w:t xml:space="preserve">Sometimes businesses use different price books to control pricing for certain types of customers. For example, they can have a price book specifically for academic </w:t>
      </w:r>
      <w:r>
        <w:rPr>
          <w:rFonts w:ascii="Segoe UI" w:hAnsi="Segoe UI" w:cs="Segoe UI"/>
          <w:color w:val="1E1E1E"/>
        </w:rPr>
        <w:lastRenderedPageBreak/>
        <w:t>institutions. By default, discount schedules apply to all quotes, regardless of which price book is used. However, it is possible to identify price books that should not use a given Discount Schedule. Here’s how. </w:t>
      </w:r>
    </w:p>
    <w:p w14:paraId="74343404" w14:textId="77777777" w:rsidR="00C07106" w:rsidRDefault="00C07106" w:rsidP="00C07106">
      <w:pPr>
        <w:pStyle w:val="NormalWeb"/>
        <w:shd w:val="clear" w:color="auto" w:fill="F5F5F5"/>
        <w:rPr>
          <w:rFonts w:ascii="Segoe UI" w:hAnsi="Segoe UI" w:cs="Segoe UI"/>
          <w:color w:val="1E1E1E"/>
        </w:rPr>
      </w:pPr>
      <w:r>
        <w:rPr>
          <w:rFonts w:ascii="Segoe UI" w:hAnsi="Segoe UI" w:cs="Segoe UI"/>
          <w:color w:val="1E1E1E"/>
        </w:rPr>
        <w:t>Find the Excluded Pricebook IDs field on the Discount Schedule record. Now, paste in the Salesforce ID of the price book that shouldn’t use the discount schedule. From now on, quotes including that price book will stop using it.</w:t>
      </w:r>
    </w:p>
    <w:p w14:paraId="11BC6CA6" w14:textId="77777777" w:rsidR="00C07106" w:rsidRDefault="00C07106" w:rsidP="00C07106">
      <w:pPr>
        <w:pStyle w:val="NormalWeb"/>
        <w:shd w:val="clear" w:color="auto" w:fill="F5F5F5"/>
        <w:rPr>
          <w:rFonts w:ascii="Segoe UI" w:hAnsi="Segoe UI" w:cs="Segoe UI"/>
          <w:color w:val="1E1E1E"/>
        </w:rPr>
      </w:pPr>
      <w:r>
        <w:rPr>
          <w:rFonts w:ascii="Segoe UI" w:hAnsi="Segoe UI" w:cs="Segoe UI"/>
          <w:color w:val="1E1E1E"/>
        </w:rPr>
        <w:t>If you have multiple price books that shouldn’t use the discount schedule, add them to Excluded Pricebook IDs in a comma-separated list.</w:t>
      </w:r>
    </w:p>
    <w:p w14:paraId="3C05805D"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There’s one last way to limit when a discount schedule is applied—by using the Product and Price Book fields together on the Discount Schedule record. These two lookup fields are always used together and cause the discount schedule to apply only when the specified product is added to a quote that uses the specified price book. Note that these fields are rarely used because they’re so limiting, but they can be helpful in fringe use cases.</w:t>
      </w:r>
    </w:p>
    <w:p w14:paraId="3A1A51F1"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Additionally, be aware that a discount schedule set up this way overrides the Discount Schedule lookup field on the Product record. That said, it still has the lowest priority when compared to other places discount schedules can be applied. For example, a discount schedule used for a contracted price still takes priority over a product and price book-specific schedule.</w:t>
      </w:r>
    </w:p>
    <w:p w14:paraId="1EC66272"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Now you know how to create discount schedules and where to use them. Next, we look at how to adjust the way discount schedules count quantities when determining which discount tier to use.</w:t>
      </w:r>
    </w:p>
    <w:p w14:paraId="32FFC850" w14:textId="3B91F525" w:rsidR="00C07106" w:rsidRDefault="00C07106"/>
    <w:p w14:paraId="375126E1" w14:textId="77777777" w:rsidR="00703B89" w:rsidRPr="00703B89" w:rsidRDefault="00703B89" w:rsidP="00703B8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703B89">
        <w:rPr>
          <w:rFonts w:ascii="Segoe UI" w:eastAsia="Times New Roman" w:hAnsi="Segoe UI" w:cs="Segoe UI"/>
          <w:b/>
          <w:bCs/>
          <w:color w:val="333333"/>
          <w:sz w:val="36"/>
          <w:szCs w:val="36"/>
        </w:rPr>
        <w:t>Aggregation Scope</w:t>
      </w:r>
    </w:p>
    <w:p w14:paraId="3F4D6845"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One of the most important discount schedule settings is the Aggregation Scope field. This tells CPQ how to handle multiple quote lines that share the same discount schedule. There are three possible choices for Aggregation Scope. To illustrate how each affects pricing, let’s consider the quote from the screenshot below.</w:t>
      </w:r>
    </w:p>
    <w:p w14:paraId="17A5F370" w14:textId="14402F20"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noProof/>
          <w:color w:val="1E1E1E"/>
          <w:sz w:val="24"/>
          <w:szCs w:val="24"/>
        </w:rPr>
        <w:lastRenderedPageBreak/>
        <w:drawing>
          <wp:inline distT="0" distB="0" distL="0" distR="0" wp14:anchorId="5F861E9C" wp14:editId="059A872B">
            <wp:extent cx="5943600" cy="2463800"/>
            <wp:effectExtent l="0" t="0" r="0" b="0"/>
            <wp:docPr id="2" name="Picture 2" descr="Quote Lin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e Line Ed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3800"/>
                    </a:xfrm>
                    <a:prstGeom prst="rect">
                      <a:avLst/>
                    </a:prstGeom>
                    <a:noFill/>
                    <a:ln>
                      <a:noFill/>
                    </a:ln>
                  </pic:spPr>
                </pic:pic>
              </a:graphicData>
            </a:graphic>
          </wp:inline>
        </w:drawing>
      </w:r>
    </w:p>
    <w:p w14:paraId="5478D765" w14:textId="77777777" w:rsidR="00703B89" w:rsidRPr="00703B89" w:rsidRDefault="00703B89" w:rsidP="00703B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b/>
          <w:bCs/>
          <w:color w:val="1E1E1E"/>
          <w:sz w:val="24"/>
          <w:szCs w:val="24"/>
        </w:rPr>
        <w:t>None</w:t>
      </w:r>
      <w:r w:rsidRPr="00703B89">
        <w:rPr>
          <w:rFonts w:ascii="Segoe UI" w:eastAsia="Times New Roman" w:hAnsi="Segoe UI" w:cs="Segoe UI"/>
          <w:color w:val="1E1E1E"/>
          <w:sz w:val="24"/>
          <w:szCs w:val="24"/>
        </w:rPr>
        <w:t xml:space="preserve">: This setting is the default </w:t>
      </w:r>
      <w:proofErr w:type="gramStart"/>
      <w:r w:rsidRPr="00703B89">
        <w:rPr>
          <w:rFonts w:ascii="Segoe UI" w:eastAsia="Times New Roman" w:hAnsi="Segoe UI" w:cs="Segoe UI"/>
          <w:color w:val="1E1E1E"/>
          <w:sz w:val="24"/>
          <w:szCs w:val="24"/>
        </w:rPr>
        <w:t>value, and</w:t>
      </w:r>
      <w:proofErr w:type="gramEnd"/>
      <w:r w:rsidRPr="00703B89">
        <w:rPr>
          <w:rFonts w:ascii="Segoe UI" w:eastAsia="Times New Roman" w:hAnsi="Segoe UI" w:cs="Segoe UI"/>
          <w:color w:val="1E1E1E"/>
          <w:sz w:val="24"/>
          <w:szCs w:val="24"/>
        </w:rPr>
        <w:t xml:space="preserve"> causes CPQ to treat each quote line independently; no aggregation is performed. In the quote above, no discount would apply to any of the quote lines!</w:t>
      </w:r>
    </w:p>
    <w:p w14:paraId="3AEC1103" w14:textId="77777777" w:rsidR="00703B89" w:rsidRPr="00703B89" w:rsidRDefault="00703B89" w:rsidP="00703B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b/>
          <w:bCs/>
          <w:color w:val="1E1E1E"/>
          <w:sz w:val="24"/>
          <w:szCs w:val="24"/>
        </w:rPr>
        <w:t>Quote</w:t>
      </w:r>
      <w:r w:rsidRPr="00703B89">
        <w:rPr>
          <w:rFonts w:ascii="Segoe UI" w:eastAsia="Times New Roman" w:hAnsi="Segoe UI" w:cs="Segoe UI"/>
          <w:color w:val="1E1E1E"/>
          <w:sz w:val="24"/>
          <w:szCs w:val="24"/>
        </w:rPr>
        <w:t xml:space="preserve">: This setting counts the quantities of every quote line across the entire quote. For example, in the quote above, CPQ would add all three lines together for a total of 225, so the customer would get the </w:t>
      </w:r>
      <w:proofErr w:type="gramStart"/>
      <w:r w:rsidRPr="00703B89">
        <w:rPr>
          <w:rFonts w:ascii="Segoe UI" w:eastAsia="Times New Roman" w:hAnsi="Segoe UI" w:cs="Segoe UI"/>
          <w:color w:val="1E1E1E"/>
          <w:sz w:val="24"/>
          <w:szCs w:val="24"/>
        </w:rPr>
        <w:t>second tier</w:t>
      </w:r>
      <w:proofErr w:type="gramEnd"/>
      <w:r w:rsidRPr="00703B89">
        <w:rPr>
          <w:rFonts w:ascii="Segoe UI" w:eastAsia="Times New Roman" w:hAnsi="Segoe UI" w:cs="Segoe UI"/>
          <w:color w:val="1E1E1E"/>
          <w:sz w:val="24"/>
          <w:szCs w:val="24"/>
        </w:rPr>
        <w:t xml:space="preserve"> discount of 20%.</w:t>
      </w:r>
    </w:p>
    <w:p w14:paraId="0D557955" w14:textId="77777777" w:rsidR="00703B89" w:rsidRPr="00703B89" w:rsidRDefault="00703B89" w:rsidP="00703B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b/>
          <w:bCs/>
          <w:color w:val="1E1E1E"/>
          <w:sz w:val="24"/>
          <w:szCs w:val="24"/>
        </w:rPr>
        <w:t>Group</w:t>
      </w:r>
      <w:r w:rsidRPr="00703B89">
        <w:rPr>
          <w:rFonts w:ascii="Segoe UI" w:eastAsia="Times New Roman" w:hAnsi="Segoe UI" w:cs="Segoe UI"/>
          <w:color w:val="1E1E1E"/>
          <w:sz w:val="24"/>
          <w:szCs w:val="24"/>
        </w:rPr>
        <w:t xml:space="preserve">: </w:t>
      </w:r>
      <w:proofErr w:type="gramStart"/>
      <w:r w:rsidRPr="00703B89">
        <w:rPr>
          <w:rFonts w:ascii="Segoe UI" w:eastAsia="Times New Roman" w:hAnsi="Segoe UI" w:cs="Segoe UI"/>
          <w:color w:val="1E1E1E"/>
          <w:sz w:val="24"/>
          <w:szCs w:val="24"/>
        </w:rPr>
        <w:t>This setting counts quantities of quote</w:t>
      </w:r>
      <w:proofErr w:type="gramEnd"/>
      <w:r w:rsidRPr="00703B89">
        <w:rPr>
          <w:rFonts w:ascii="Segoe UI" w:eastAsia="Times New Roman" w:hAnsi="Segoe UI" w:cs="Segoe UI"/>
          <w:color w:val="1E1E1E"/>
          <w:sz w:val="24"/>
          <w:szCs w:val="24"/>
        </w:rPr>
        <w:t xml:space="preserve"> lines that are in the same quote line group. The quote lines in the first group would be added together for 150 </w:t>
      </w:r>
      <w:proofErr w:type="gramStart"/>
      <w:r w:rsidRPr="00703B89">
        <w:rPr>
          <w:rFonts w:ascii="Segoe UI" w:eastAsia="Times New Roman" w:hAnsi="Segoe UI" w:cs="Segoe UI"/>
          <w:color w:val="1E1E1E"/>
          <w:sz w:val="24"/>
          <w:szCs w:val="24"/>
        </w:rPr>
        <w:t>total</w:t>
      </w:r>
      <w:proofErr w:type="gramEnd"/>
      <w:r w:rsidRPr="00703B89">
        <w:rPr>
          <w:rFonts w:ascii="Segoe UI" w:eastAsia="Times New Roman" w:hAnsi="Segoe UI" w:cs="Segoe UI"/>
          <w:color w:val="1E1E1E"/>
          <w:sz w:val="24"/>
          <w:szCs w:val="24"/>
        </w:rPr>
        <w:t>, qualifying for the first tier discount of 10%. The quote line in the second group would not be counted toward a discount.</w:t>
      </w:r>
    </w:p>
    <w:p w14:paraId="231C722B" w14:textId="77777777" w:rsidR="00703B89" w:rsidRPr="00703B89" w:rsidRDefault="00703B89" w:rsidP="00703B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03B89">
        <w:rPr>
          <w:rFonts w:ascii="Segoe UI" w:eastAsia="Times New Roman" w:hAnsi="Segoe UI" w:cs="Segoe UI"/>
          <w:color w:val="1E1E1E"/>
          <w:sz w:val="24"/>
          <w:szCs w:val="24"/>
        </w:rPr>
        <w:t xml:space="preserve">It’s worth noting that quote lines flagged as optional are never counted in the aggregated quantity. Optional items are meant to show customers what is possible, not what they </w:t>
      </w:r>
      <w:proofErr w:type="gramStart"/>
      <w:r w:rsidRPr="00703B89">
        <w:rPr>
          <w:rFonts w:ascii="Segoe UI" w:eastAsia="Times New Roman" w:hAnsi="Segoe UI" w:cs="Segoe UI"/>
          <w:color w:val="1E1E1E"/>
          <w:sz w:val="24"/>
          <w:szCs w:val="24"/>
        </w:rPr>
        <w:t>actually get</w:t>
      </w:r>
      <w:proofErr w:type="gramEnd"/>
      <w:r w:rsidRPr="00703B89">
        <w:rPr>
          <w:rFonts w:ascii="Segoe UI" w:eastAsia="Times New Roman" w:hAnsi="Segoe UI" w:cs="Segoe UI"/>
          <w:color w:val="1E1E1E"/>
          <w:sz w:val="24"/>
          <w:szCs w:val="24"/>
        </w:rPr>
        <w:t>.</w:t>
      </w:r>
    </w:p>
    <w:p w14:paraId="721B31FF" w14:textId="77777777" w:rsidR="003C176B" w:rsidRDefault="003C176B" w:rsidP="003C176B">
      <w:pPr>
        <w:pStyle w:val="Heading2"/>
        <w:shd w:val="clear" w:color="auto" w:fill="F5F5F5"/>
        <w:rPr>
          <w:rFonts w:ascii="Segoe UI" w:hAnsi="Segoe UI" w:cs="Segoe UI"/>
          <w:color w:val="333333"/>
        </w:rPr>
      </w:pPr>
      <w:r>
        <w:rPr>
          <w:rFonts w:ascii="Segoe UI" w:hAnsi="Segoe UI" w:cs="Segoe UI"/>
          <w:color w:val="333333"/>
        </w:rPr>
        <w:t>Aggregation Scope with Bundles</w:t>
      </w:r>
    </w:p>
    <w:p w14:paraId="1859FF45"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 xml:space="preserve">While it’s usually easy to see how the Aggregation Scope field determines which quantity to use with discount schedules, there’s one instance that’s counterintuitive. Imagine that the Bulk Keys discount schedule is applied to the bundle option for the RFID key card, but NOT applied to the RFID key card product record. Then, the sales rep sells the Security Console bundle with key cards, </w:t>
      </w:r>
      <w:proofErr w:type="gramStart"/>
      <w:r>
        <w:rPr>
          <w:rFonts w:ascii="Segoe UI" w:hAnsi="Segoe UI" w:cs="Segoe UI"/>
          <w:color w:val="1E1E1E"/>
        </w:rPr>
        <w:t>and also</w:t>
      </w:r>
      <w:proofErr w:type="gramEnd"/>
      <w:r>
        <w:rPr>
          <w:rFonts w:ascii="Segoe UI" w:hAnsi="Segoe UI" w:cs="Segoe UI"/>
          <w:color w:val="1E1E1E"/>
        </w:rPr>
        <w:t xml:space="preserve"> adds extra key cards as a separate line, as seen below.</w:t>
      </w:r>
    </w:p>
    <w:p w14:paraId="4FA2C8D1" w14:textId="58A02ED1" w:rsidR="003C176B" w:rsidRDefault="003C176B" w:rsidP="003C176B">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11BBF10D" wp14:editId="0E6F230C">
            <wp:extent cx="5943600" cy="1485900"/>
            <wp:effectExtent l="0" t="0" r="0" b="0"/>
            <wp:docPr id="3" name="Picture 3" descr="Quote Lin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e Line Ed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32FED018"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 xml:space="preserve">Even if the aggregation scope of the discount schedule is set to Quote, only the quantity of the bundled key cards is counted. </w:t>
      </w:r>
      <w:proofErr w:type="gramStart"/>
      <w:r>
        <w:rPr>
          <w:rFonts w:ascii="Segoe UI" w:hAnsi="Segoe UI" w:cs="Segoe UI"/>
          <w:color w:val="1E1E1E"/>
        </w:rPr>
        <w:t>Therefore</w:t>
      </w:r>
      <w:proofErr w:type="gramEnd"/>
      <w:r>
        <w:rPr>
          <w:rFonts w:ascii="Segoe UI" w:hAnsi="Segoe UI" w:cs="Segoe UI"/>
          <w:color w:val="1E1E1E"/>
        </w:rPr>
        <w:t xml:space="preserve"> the bundled quote line only qualifies for the 100–200 tier discount, ignoring the 400 extra key cards. Because the two quote lines do not share the same discount schedule, the stand-alone key cards aren’t included in the aggregation. If you want the stand-alone key cards to aggregate with the bundled key cards, you must add the Bulk Keys discount schedule to the product record of the RFID Key Card.</w:t>
      </w:r>
    </w:p>
    <w:p w14:paraId="7481FE36"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There’s one last consideration when using discount schedules with bundles. Some bundled products are included free of charge due to the Bundled checkbox on the product option. By default, the quantities of these free products are not included in discount schedule calculations. If you need them to count toward a discount, check the Include Bundled Quantities checkbox on the Discount Schedule record.</w:t>
      </w:r>
    </w:p>
    <w:p w14:paraId="5D9680FB" w14:textId="77777777" w:rsidR="003C176B" w:rsidRDefault="003C176B" w:rsidP="003C176B">
      <w:pPr>
        <w:pStyle w:val="Heading2"/>
        <w:shd w:val="clear" w:color="auto" w:fill="F5F5F5"/>
        <w:rPr>
          <w:rFonts w:ascii="Segoe UI" w:hAnsi="Segoe UI" w:cs="Segoe UI"/>
          <w:color w:val="333333"/>
        </w:rPr>
      </w:pPr>
      <w:r>
        <w:rPr>
          <w:rFonts w:ascii="Segoe UI" w:hAnsi="Segoe UI" w:cs="Segoe UI"/>
          <w:color w:val="333333"/>
        </w:rPr>
        <w:t>Cross Products Aggregation</w:t>
      </w:r>
    </w:p>
    <w:p w14:paraId="71DF0482"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Along with RFID Key Cards, AW Computing also sells RFID Key Fobs that work with the same security system. They want customers to get the same volume discount on key fobs as they do key cards, so they reuse the Bulk Keys discount schedule on the Key Fob product record. This seems to work well until a sales rep realizes that when both products are sold on the same quote, the quantities are considered independently. They ask their CPQ admin if the volume discount can be applied to the total amount of cards and fobs combined—this is called cross product aggregation.</w:t>
      </w:r>
    </w:p>
    <w:p w14:paraId="13BCDB93"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 xml:space="preserve">Thankfully, it’s easy for admins to have Salesforce CPQ aggregate quantities of different products, </w:t>
      </w:r>
      <w:proofErr w:type="gramStart"/>
      <w:r>
        <w:rPr>
          <w:rFonts w:ascii="Segoe UI" w:hAnsi="Segoe UI" w:cs="Segoe UI"/>
          <w:color w:val="1E1E1E"/>
        </w:rPr>
        <w:t>as long as</w:t>
      </w:r>
      <w:proofErr w:type="gramEnd"/>
      <w:r>
        <w:rPr>
          <w:rFonts w:ascii="Segoe UI" w:hAnsi="Segoe UI" w:cs="Segoe UI"/>
          <w:color w:val="1E1E1E"/>
        </w:rPr>
        <w:t xml:space="preserve"> they share the same discount schedule. Just check the field named Cross Products on the Discount Schedule record. Then, when a sales rep sells 75 key cards and 25 key fobs, both quote lines are discounted at 10%.</w:t>
      </w:r>
    </w:p>
    <w:p w14:paraId="4F40630E" w14:textId="31724FA6" w:rsidR="003C176B" w:rsidRDefault="003C176B" w:rsidP="003C176B">
      <w:pPr>
        <w:pStyle w:val="NormalWeb"/>
        <w:shd w:val="clear" w:color="auto" w:fill="F5F5F5"/>
        <w:rPr>
          <w:rFonts w:ascii="Segoe UI" w:hAnsi="Segoe UI" w:cs="Segoe UI"/>
          <w:color w:val="1E1E1E"/>
        </w:rPr>
      </w:pPr>
      <w:r>
        <w:rPr>
          <w:rFonts w:ascii="Segoe UI" w:hAnsi="Segoe UI" w:cs="Segoe UI"/>
          <w:noProof/>
          <w:color w:val="1E1E1E"/>
        </w:rPr>
        <w:lastRenderedPageBreak/>
        <w:drawing>
          <wp:inline distT="0" distB="0" distL="0" distR="0" wp14:anchorId="085B1821" wp14:editId="2F1771B7">
            <wp:extent cx="5943600" cy="1003300"/>
            <wp:effectExtent l="0" t="0" r="0" b="6350"/>
            <wp:docPr id="6" name="Picture 6" descr="Quote Lin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e Line Ed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p>
    <w:p w14:paraId="7424E2F4" w14:textId="22BED955" w:rsidR="003C176B" w:rsidRDefault="003C176B" w:rsidP="003C176B">
      <w:pPr>
        <w:shd w:val="clear" w:color="auto" w:fill="FFFCDD"/>
        <w:rPr>
          <w:rFonts w:ascii="Segoe UI" w:hAnsi="Segoe UI" w:cs="Segoe UI"/>
          <w:color w:val="1E1E1E"/>
        </w:rPr>
      </w:pPr>
      <w:r>
        <w:rPr>
          <w:rFonts w:ascii="Segoe UI" w:hAnsi="Segoe UI" w:cs="Segoe UI"/>
          <w:noProof/>
          <w:color w:val="1E1E1E"/>
        </w:rPr>
        <w:drawing>
          <wp:inline distT="0" distB="0" distL="0" distR="0" wp14:anchorId="29B9627C" wp14:editId="07F6D10F">
            <wp:extent cx="419100" cy="527050"/>
            <wp:effectExtent l="0" t="0" r="0" b="635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4623A6CC" w14:textId="77777777" w:rsidR="003C176B" w:rsidRDefault="003C176B" w:rsidP="003C176B">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60C2B933" w14:textId="77777777" w:rsidR="003C176B" w:rsidRDefault="003C176B" w:rsidP="003C176B">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Cross Products only works if the Aggregation Scope field is set to either Quote or Group.</w:t>
      </w:r>
    </w:p>
    <w:p w14:paraId="2947B23F" w14:textId="77777777" w:rsidR="003C176B" w:rsidRDefault="003C176B" w:rsidP="003C176B">
      <w:pPr>
        <w:pStyle w:val="Heading2"/>
        <w:shd w:val="clear" w:color="auto" w:fill="F5F5F5"/>
        <w:rPr>
          <w:rFonts w:ascii="Segoe UI" w:hAnsi="Segoe UI" w:cs="Segoe UI"/>
          <w:color w:val="333333"/>
        </w:rPr>
      </w:pPr>
      <w:r>
        <w:rPr>
          <w:rFonts w:ascii="Segoe UI" w:hAnsi="Segoe UI" w:cs="Segoe UI"/>
          <w:color w:val="333333"/>
        </w:rPr>
        <w:t>Cross Order Aggregation</w:t>
      </w:r>
    </w:p>
    <w:p w14:paraId="3E8DD0C3"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 xml:space="preserve">Imagine that last time you closed a RFID Key Card deal, the customer bought 80 RFID Key Cards, which wasn’t quite enough for a volume discount. Then, this week, the customer comes back to buy 50 more key cards. Remember, they’ve now bought 130 </w:t>
      </w:r>
      <w:proofErr w:type="gramStart"/>
      <w:r>
        <w:rPr>
          <w:rFonts w:ascii="Segoe UI" w:hAnsi="Segoe UI" w:cs="Segoe UI"/>
          <w:color w:val="1E1E1E"/>
        </w:rPr>
        <w:t>total</w:t>
      </w:r>
      <w:proofErr w:type="gramEnd"/>
      <w:r>
        <w:rPr>
          <w:rFonts w:ascii="Segoe UI" w:hAnsi="Segoe UI" w:cs="Segoe UI"/>
          <w:color w:val="1E1E1E"/>
        </w:rPr>
        <w:t xml:space="preserve">, which would qualify for a discount if they’d been purchased at the same time. By default, CPQ treats each quote independently. However, your discount schedule can be configured to count the </w:t>
      </w:r>
      <w:proofErr w:type="gramStart"/>
      <w:r>
        <w:rPr>
          <w:rFonts w:ascii="Segoe UI" w:hAnsi="Segoe UI" w:cs="Segoe UI"/>
          <w:color w:val="1E1E1E"/>
        </w:rPr>
        <w:t>amount</w:t>
      </w:r>
      <w:proofErr w:type="gramEnd"/>
      <w:r>
        <w:rPr>
          <w:rFonts w:ascii="Segoe UI" w:hAnsi="Segoe UI" w:cs="Segoe UI"/>
          <w:color w:val="1E1E1E"/>
        </w:rPr>
        <w:t xml:space="preserve"> of products sold in previous sales. All you </w:t>
      </w:r>
      <w:proofErr w:type="gramStart"/>
      <w:r>
        <w:rPr>
          <w:rFonts w:ascii="Segoe UI" w:hAnsi="Segoe UI" w:cs="Segoe UI"/>
          <w:color w:val="1E1E1E"/>
        </w:rPr>
        <w:t>have to</w:t>
      </w:r>
      <w:proofErr w:type="gramEnd"/>
      <w:r>
        <w:rPr>
          <w:rFonts w:ascii="Segoe UI" w:hAnsi="Segoe UI" w:cs="Segoe UI"/>
          <w:color w:val="1E1E1E"/>
        </w:rPr>
        <w:t xml:space="preserve"> do is check the Cross Orders field on the Discount Schedule record.</w:t>
      </w:r>
    </w:p>
    <w:p w14:paraId="618E9351"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CPQ knows what the customer has purchased in the past by looking to asset records associated with the customer’s Account. Asset records are created automatically during the CPQ contracting process, so the information is there when needed.</w:t>
      </w:r>
    </w:p>
    <w:p w14:paraId="35B67965" w14:textId="401BDF4D" w:rsidR="003C176B" w:rsidRDefault="003C176B" w:rsidP="003C176B">
      <w:pPr>
        <w:pStyle w:val="NormalWeb"/>
        <w:shd w:val="clear" w:color="auto" w:fill="F5F5F5"/>
        <w:rPr>
          <w:rFonts w:ascii="Segoe UI" w:hAnsi="Segoe UI" w:cs="Segoe UI"/>
          <w:color w:val="1E1E1E"/>
        </w:rPr>
      </w:pPr>
      <w:r>
        <w:rPr>
          <w:rFonts w:ascii="Segoe UI" w:hAnsi="Segoe UI" w:cs="Segoe UI"/>
          <w:noProof/>
          <w:color w:val="1E1E1E"/>
        </w:rPr>
        <w:drawing>
          <wp:inline distT="0" distB="0" distL="0" distR="0" wp14:anchorId="4804073D" wp14:editId="7849BE71">
            <wp:extent cx="4540250" cy="1219200"/>
            <wp:effectExtent l="0" t="0" r="0" b="0"/>
            <wp:docPr id="4" name="Picture 4" descr="Asset relat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et related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250" cy="1219200"/>
                    </a:xfrm>
                    <a:prstGeom prst="rect">
                      <a:avLst/>
                    </a:prstGeom>
                    <a:noFill/>
                    <a:ln>
                      <a:noFill/>
                    </a:ln>
                  </pic:spPr>
                </pic:pic>
              </a:graphicData>
            </a:graphic>
          </wp:inline>
        </w:drawing>
      </w:r>
    </w:p>
    <w:p w14:paraId="345BF1E8"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Note that Cross Orders only affects the price of the key cards on the current quote. It doesn’t retroactively discount previous sales, nor does it discount the current sale to make up for what the customer would’ve saved if they had bought everything at once.</w:t>
      </w:r>
    </w:p>
    <w:p w14:paraId="465C1F6E" w14:textId="77777777" w:rsidR="003C176B" w:rsidRDefault="003C176B" w:rsidP="003C176B">
      <w:pPr>
        <w:pStyle w:val="NormalWeb"/>
        <w:shd w:val="clear" w:color="auto" w:fill="F5F5F5"/>
        <w:rPr>
          <w:rFonts w:ascii="Segoe UI" w:hAnsi="Segoe UI" w:cs="Segoe UI"/>
          <w:color w:val="1E1E1E"/>
        </w:rPr>
      </w:pPr>
      <w:r>
        <w:rPr>
          <w:rFonts w:ascii="Segoe UI" w:hAnsi="Segoe UI" w:cs="Segoe UI"/>
          <w:color w:val="1E1E1E"/>
        </w:rPr>
        <w:t xml:space="preserve">Be aware that Cross Orders uses all assets records a customer has when aggregating the total quantity to use for the discount schedule. This includes assets that were bought </w:t>
      </w:r>
      <w:r>
        <w:rPr>
          <w:rFonts w:ascii="Segoe UI" w:hAnsi="Segoe UI" w:cs="Segoe UI"/>
          <w:color w:val="1E1E1E"/>
        </w:rPr>
        <w:lastRenderedPageBreak/>
        <w:t>years ago! It’s possible to limit which assets are included in Cross Orders, but it takes some adjusting. We look at how to handle this situation in the next unit.</w:t>
      </w:r>
    </w:p>
    <w:p w14:paraId="0B27DFC7" w14:textId="77777777" w:rsidR="001A13D8" w:rsidRDefault="001A13D8" w:rsidP="001A13D8">
      <w:pPr>
        <w:pStyle w:val="Heading2"/>
        <w:shd w:val="clear" w:color="auto" w:fill="F5F5F5"/>
        <w:rPr>
          <w:rFonts w:ascii="Segoe UI" w:hAnsi="Segoe UI" w:cs="Segoe UI"/>
          <w:color w:val="333333"/>
        </w:rPr>
      </w:pPr>
      <w:r>
        <w:rPr>
          <w:rFonts w:ascii="Segoe UI" w:hAnsi="Segoe UI" w:cs="Segoe UI"/>
          <w:color w:val="333333"/>
        </w:rPr>
        <w:t>Introduction</w:t>
      </w:r>
    </w:p>
    <w:p w14:paraId="13C09762" w14:textId="77777777" w:rsidR="001A13D8" w:rsidRDefault="001A13D8" w:rsidP="001A13D8">
      <w:pPr>
        <w:pStyle w:val="NormalWeb"/>
        <w:shd w:val="clear" w:color="auto" w:fill="F5F5F5"/>
        <w:rPr>
          <w:rFonts w:ascii="Segoe UI" w:hAnsi="Segoe UI" w:cs="Segoe UI"/>
          <w:color w:val="1E1E1E"/>
        </w:rPr>
      </w:pPr>
      <w:r>
        <w:rPr>
          <w:rFonts w:ascii="Segoe UI" w:hAnsi="Segoe UI" w:cs="Segoe UI"/>
          <w:color w:val="1E1E1E"/>
        </w:rPr>
        <w:t>As you saw in the last unit, Salesforce CPQ can aggregate quantities from multiple records across orders to determine the right discount tier to use for a discount schedule. However, there are times when we don’t want every single record to count toward the total quantity. For example, a cross order schedule tells CPQ to aggregate every asset that exists on the account, but AW Computing wants only those assets purchased in the last 365 days to count. With a little work it is possible to filter which asset records are included in the aggregated sum.</w:t>
      </w:r>
    </w:p>
    <w:p w14:paraId="5E7C4605" w14:textId="77777777" w:rsidR="001A13D8" w:rsidRDefault="001A13D8" w:rsidP="001A13D8">
      <w:pPr>
        <w:pStyle w:val="Heading2"/>
        <w:shd w:val="clear" w:color="auto" w:fill="F5F5F5"/>
        <w:rPr>
          <w:rFonts w:ascii="Segoe UI" w:hAnsi="Segoe UI" w:cs="Segoe UI"/>
          <w:color w:val="333333"/>
        </w:rPr>
      </w:pPr>
      <w:r>
        <w:rPr>
          <w:rFonts w:ascii="Segoe UI" w:hAnsi="Segoe UI" w:cs="Segoe UI"/>
          <w:color w:val="333333"/>
        </w:rPr>
        <w:t>Distinguish Old and New Assets</w:t>
      </w:r>
    </w:p>
    <w:p w14:paraId="6097093A" w14:textId="77777777" w:rsidR="001A13D8" w:rsidRDefault="001A13D8" w:rsidP="001A13D8">
      <w:pPr>
        <w:pStyle w:val="NormalWeb"/>
        <w:shd w:val="clear" w:color="auto" w:fill="F5F5F5"/>
        <w:rPr>
          <w:rFonts w:ascii="Segoe UI" w:hAnsi="Segoe UI" w:cs="Segoe UI"/>
          <w:color w:val="1E1E1E"/>
        </w:rPr>
      </w:pPr>
      <w:r>
        <w:rPr>
          <w:rFonts w:ascii="Segoe UI" w:hAnsi="Segoe UI" w:cs="Segoe UI"/>
          <w:color w:val="1E1E1E"/>
        </w:rPr>
        <w:t>The first step in filtering records is to distinguish which assets have been purchased in the last 365 days. In this example, AW Computing has diligently maintained an asset field named Purchase Date over the years. You use this information to create a custom formula checkbox field named Purchased This Year, which returns “True” when the Purchase Date is less than 365 days from today’s date.</w:t>
      </w:r>
    </w:p>
    <w:p w14:paraId="697659B1" w14:textId="77777777" w:rsidR="00703B89" w:rsidRDefault="00703B89"/>
    <w:sectPr w:rsidR="00703B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5D3B3" w14:textId="77777777" w:rsidR="00F803DD" w:rsidRDefault="00F803DD" w:rsidP="001A13D8">
      <w:pPr>
        <w:spacing w:after="0" w:line="240" w:lineRule="auto"/>
      </w:pPr>
      <w:r>
        <w:separator/>
      </w:r>
    </w:p>
  </w:endnote>
  <w:endnote w:type="continuationSeparator" w:id="0">
    <w:p w14:paraId="3FCD7138" w14:textId="77777777" w:rsidR="00F803DD" w:rsidRDefault="00F803DD" w:rsidP="001A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9DD69" w14:textId="77777777" w:rsidR="00F803DD" w:rsidRDefault="00F803DD" w:rsidP="001A13D8">
      <w:pPr>
        <w:spacing w:after="0" w:line="240" w:lineRule="auto"/>
      </w:pPr>
      <w:r>
        <w:separator/>
      </w:r>
    </w:p>
  </w:footnote>
  <w:footnote w:type="continuationSeparator" w:id="0">
    <w:p w14:paraId="3F6512D0" w14:textId="77777777" w:rsidR="00F803DD" w:rsidRDefault="00F803DD" w:rsidP="001A1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F6C92"/>
    <w:multiLevelType w:val="multilevel"/>
    <w:tmpl w:val="F51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B5"/>
    <w:rsid w:val="000C0695"/>
    <w:rsid w:val="000F5E7C"/>
    <w:rsid w:val="001A13D8"/>
    <w:rsid w:val="00334BDD"/>
    <w:rsid w:val="003C176B"/>
    <w:rsid w:val="004E3001"/>
    <w:rsid w:val="006A3D87"/>
    <w:rsid w:val="00703B89"/>
    <w:rsid w:val="009C1CB5"/>
    <w:rsid w:val="00C07106"/>
    <w:rsid w:val="00F803DD"/>
    <w:rsid w:val="00FF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FC69A"/>
  <w15:chartTrackingRefBased/>
  <w15:docId w15:val="{5BD5FEDE-F2F2-45F7-A6C1-1A0787A4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0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C17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6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06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E7C"/>
    <w:rPr>
      <w:b/>
      <w:bCs/>
    </w:rPr>
  </w:style>
  <w:style w:type="character" w:customStyle="1" w:styleId="Heading4Char">
    <w:name w:val="Heading 4 Char"/>
    <w:basedOn w:val="DefaultParagraphFont"/>
    <w:link w:val="Heading4"/>
    <w:uiPriority w:val="9"/>
    <w:semiHidden/>
    <w:rsid w:val="003C17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68227">
      <w:bodyDiv w:val="1"/>
      <w:marLeft w:val="0"/>
      <w:marRight w:val="0"/>
      <w:marTop w:val="0"/>
      <w:marBottom w:val="0"/>
      <w:divBdr>
        <w:top w:val="none" w:sz="0" w:space="0" w:color="auto"/>
        <w:left w:val="none" w:sz="0" w:space="0" w:color="auto"/>
        <w:bottom w:val="none" w:sz="0" w:space="0" w:color="auto"/>
        <w:right w:val="none" w:sz="0" w:space="0" w:color="auto"/>
      </w:divBdr>
      <w:divsChild>
        <w:div w:id="1555461312">
          <w:marLeft w:val="0"/>
          <w:marRight w:val="0"/>
          <w:marTop w:val="0"/>
          <w:marBottom w:val="0"/>
          <w:divBdr>
            <w:top w:val="none" w:sz="0" w:space="0" w:color="auto"/>
            <w:left w:val="none" w:sz="0" w:space="0" w:color="auto"/>
            <w:bottom w:val="none" w:sz="0" w:space="0" w:color="auto"/>
            <w:right w:val="none" w:sz="0" w:space="0" w:color="auto"/>
          </w:divBdr>
        </w:div>
      </w:divsChild>
    </w:div>
    <w:div w:id="261764016">
      <w:bodyDiv w:val="1"/>
      <w:marLeft w:val="0"/>
      <w:marRight w:val="0"/>
      <w:marTop w:val="0"/>
      <w:marBottom w:val="0"/>
      <w:divBdr>
        <w:top w:val="none" w:sz="0" w:space="0" w:color="auto"/>
        <w:left w:val="none" w:sz="0" w:space="0" w:color="auto"/>
        <w:bottom w:val="none" w:sz="0" w:space="0" w:color="auto"/>
        <w:right w:val="none" w:sz="0" w:space="0" w:color="auto"/>
      </w:divBdr>
      <w:divsChild>
        <w:div w:id="1755852954">
          <w:marLeft w:val="0"/>
          <w:marRight w:val="0"/>
          <w:marTop w:val="0"/>
          <w:marBottom w:val="0"/>
          <w:divBdr>
            <w:top w:val="none" w:sz="0" w:space="0" w:color="auto"/>
            <w:left w:val="none" w:sz="0" w:space="0" w:color="auto"/>
            <w:bottom w:val="none" w:sz="0" w:space="0" w:color="auto"/>
            <w:right w:val="none" w:sz="0" w:space="0" w:color="auto"/>
          </w:divBdr>
        </w:div>
      </w:divsChild>
    </w:div>
    <w:div w:id="312873526">
      <w:bodyDiv w:val="1"/>
      <w:marLeft w:val="0"/>
      <w:marRight w:val="0"/>
      <w:marTop w:val="0"/>
      <w:marBottom w:val="0"/>
      <w:divBdr>
        <w:top w:val="none" w:sz="0" w:space="0" w:color="auto"/>
        <w:left w:val="none" w:sz="0" w:space="0" w:color="auto"/>
        <w:bottom w:val="none" w:sz="0" w:space="0" w:color="auto"/>
        <w:right w:val="none" w:sz="0" w:space="0" w:color="auto"/>
      </w:divBdr>
    </w:div>
    <w:div w:id="457337745">
      <w:bodyDiv w:val="1"/>
      <w:marLeft w:val="0"/>
      <w:marRight w:val="0"/>
      <w:marTop w:val="0"/>
      <w:marBottom w:val="0"/>
      <w:divBdr>
        <w:top w:val="none" w:sz="0" w:space="0" w:color="auto"/>
        <w:left w:val="none" w:sz="0" w:space="0" w:color="auto"/>
        <w:bottom w:val="none" w:sz="0" w:space="0" w:color="auto"/>
        <w:right w:val="none" w:sz="0" w:space="0" w:color="auto"/>
      </w:divBdr>
      <w:divsChild>
        <w:div w:id="362873272">
          <w:marLeft w:val="0"/>
          <w:marRight w:val="0"/>
          <w:marTop w:val="0"/>
          <w:marBottom w:val="0"/>
          <w:divBdr>
            <w:top w:val="none" w:sz="0" w:space="0" w:color="auto"/>
            <w:left w:val="none" w:sz="0" w:space="0" w:color="auto"/>
            <w:bottom w:val="none" w:sz="0" w:space="0" w:color="auto"/>
            <w:right w:val="none" w:sz="0" w:space="0" w:color="auto"/>
          </w:divBdr>
        </w:div>
        <w:div w:id="1230504464">
          <w:marLeft w:val="0"/>
          <w:marRight w:val="0"/>
          <w:marTop w:val="0"/>
          <w:marBottom w:val="0"/>
          <w:divBdr>
            <w:top w:val="none" w:sz="0" w:space="0" w:color="auto"/>
            <w:left w:val="none" w:sz="0" w:space="0" w:color="auto"/>
            <w:bottom w:val="none" w:sz="0" w:space="0" w:color="auto"/>
            <w:right w:val="none" w:sz="0" w:space="0" w:color="auto"/>
          </w:divBdr>
          <w:divsChild>
            <w:div w:id="970016791">
              <w:marLeft w:val="0"/>
              <w:marRight w:val="0"/>
              <w:marTop w:val="0"/>
              <w:marBottom w:val="0"/>
              <w:divBdr>
                <w:top w:val="none" w:sz="0" w:space="0" w:color="auto"/>
                <w:left w:val="none" w:sz="0" w:space="0" w:color="auto"/>
                <w:bottom w:val="none" w:sz="0" w:space="0" w:color="auto"/>
                <w:right w:val="none" w:sz="0" w:space="0" w:color="auto"/>
              </w:divBdr>
              <w:divsChild>
                <w:div w:id="911814120">
                  <w:marLeft w:val="0"/>
                  <w:marRight w:val="0"/>
                  <w:marTop w:val="0"/>
                  <w:marBottom w:val="0"/>
                  <w:divBdr>
                    <w:top w:val="none" w:sz="0" w:space="0" w:color="auto"/>
                    <w:left w:val="none" w:sz="0" w:space="0" w:color="auto"/>
                    <w:bottom w:val="none" w:sz="0" w:space="0" w:color="auto"/>
                    <w:right w:val="none" w:sz="0" w:space="0" w:color="auto"/>
                  </w:divBdr>
                  <w:divsChild>
                    <w:div w:id="2016109957">
                      <w:marLeft w:val="0"/>
                      <w:marRight w:val="0"/>
                      <w:marTop w:val="0"/>
                      <w:marBottom w:val="0"/>
                      <w:divBdr>
                        <w:top w:val="none" w:sz="0" w:space="0" w:color="auto"/>
                        <w:left w:val="none" w:sz="0" w:space="0" w:color="auto"/>
                        <w:bottom w:val="none" w:sz="0" w:space="0" w:color="auto"/>
                        <w:right w:val="none" w:sz="0" w:space="0" w:color="auto"/>
                      </w:divBdr>
                      <w:divsChild>
                        <w:div w:id="1634871318">
                          <w:marLeft w:val="0"/>
                          <w:marRight w:val="0"/>
                          <w:marTop w:val="0"/>
                          <w:marBottom w:val="0"/>
                          <w:divBdr>
                            <w:top w:val="none" w:sz="0" w:space="0" w:color="auto"/>
                            <w:left w:val="none" w:sz="0" w:space="0" w:color="auto"/>
                            <w:bottom w:val="none" w:sz="0" w:space="0" w:color="auto"/>
                            <w:right w:val="none" w:sz="0" w:space="0" w:color="auto"/>
                          </w:divBdr>
                          <w:divsChild>
                            <w:div w:id="17894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43631">
          <w:marLeft w:val="0"/>
          <w:marRight w:val="0"/>
          <w:marTop w:val="0"/>
          <w:marBottom w:val="0"/>
          <w:divBdr>
            <w:top w:val="none" w:sz="0" w:space="0" w:color="auto"/>
            <w:left w:val="none" w:sz="0" w:space="0" w:color="auto"/>
            <w:bottom w:val="none" w:sz="0" w:space="0" w:color="auto"/>
            <w:right w:val="none" w:sz="0" w:space="0" w:color="auto"/>
          </w:divBdr>
        </w:div>
      </w:divsChild>
    </w:div>
    <w:div w:id="720978415">
      <w:bodyDiv w:val="1"/>
      <w:marLeft w:val="0"/>
      <w:marRight w:val="0"/>
      <w:marTop w:val="0"/>
      <w:marBottom w:val="0"/>
      <w:divBdr>
        <w:top w:val="none" w:sz="0" w:space="0" w:color="auto"/>
        <w:left w:val="none" w:sz="0" w:space="0" w:color="auto"/>
        <w:bottom w:val="none" w:sz="0" w:space="0" w:color="auto"/>
        <w:right w:val="none" w:sz="0" w:space="0" w:color="auto"/>
      </w:divBdr>
    </w:div>
    <w:div w:id="737677901">
      <w:bodyDiv w:val="1"/>
      <w:marLeft w:val="0"/>
      <w:marRight w:val="0"/>
      <w:marTop w:val="0"/>
      <w:marBottom w:val="0"/>
      <w:divBdr>
        <w:top w:val="none" w:sz="0" w:space="0" w:color="auto"/>
        <w:left w:val="none" w:sz="0" w:space="0" w:color="auto"/>
        <w:bottom w:val="none" w:sz="0" w:space="0" w:color="auto"/>
        <w:right w:val="none" w:sz="0" w:space="0" w:color="auto"/>
      </w:divBdr>
    </w:div>
    <w:div w:id="786314554">
      <w:bodyDiv w:val="1"/>
      <w:marLeft w:val="0"/>
      <w:marRight w:val="0"/>
      <w:marTop w:val="0"/>
      <w:marBottom w:val="0"/>
      <w:divBdr>
        <w:top w:val="none" w:sz="0" w:space="0" w:color="auto"/>
        <w:left w:val="none" w:sz="0" w:space="0" w:color="auto"/>
        <w:bottom w:val="none" w:sz="0" w:space="0" w:color="auto"/>
        <w:right w:val="none" w:sz="0" w:space="0" w:color="auto"/>
      </w:divBdr>
      <w:divsChild>
        <w:div w:id="1770466125">
          <w:marLeft w:val="0"/>
          <w:marRight w:val="0"/>
          <w:marTop w:val="0"/>
          <w:marBottom w:val="0"/>
          <w:divBdr>
            <w:top w:val="none" w:sz="0" w:space="0" w:color="auto"/>
            <w:left w:val="none" w:sz="0" w:space="0" w:color="auto"/>
            <w:bottom w:val="none" w:sz="0" w:space="0" w:color="auto"/>
            <w:right w:val="none" w:sz="0" w:space="0" w:color="auto"/>
          </w:divBdr>
        </w:div>
        <w:div w:id="1317106017">
          <w:marLeft w:val="0"/>
          <w:marRight w:val="0"/>
          <w:marTop w:val="0"/>
          <w:marBottom w:val="0"/>
          <w:divBdr>
            <w:top w:val="none" w:sz="0" w:space="0" w:color="auto"/>
            <w:left w:val="none" w:sz="0" w:space="0" w:color="auto"/>
            <w:bottom w:val="none" w:sz="0" w:space="0" w:color="auto"/>
            <w:right w:val="none" w:sz="0" w:space="0" w:color="auto"/>
          </w:divBdr>
        </w:div>
      </w:divsChild>
    </w:div>
    <w:div w:id="792595359">
      <w:bodyDiv w:val="1"/>
      <w:marLeft w:val="0"/>
      <w:marRight w:val="0"/>
      <w:marTop w:val="0"/>
      <w:marBottom w:val="0"/>
      <w:divBdr>
        <w:top w:val="none" w:sz="0" w:space="0" w:color="auto"/>
        <w:left w:val="none" w:sz="0" w:space="0" w:color="auto"/>
        <w:bottom w:val="none" w:sz="0" w:space="0" w:color="auto"/>
        <w:right w:val="none" w:sz="0" w:space="0" w:color="auto"/>
      </w:divBdr>
    </w:div>
    <w:div w:id="1046490016">
      <w:bodyDiv w:val="1"/>
      <w:marLeft w:val="0"/>
      <w:marRight w:val="0"/>
      <w:marTop w:val="0"/>
      <w:marBottom w:val="0"/>
      <w:divBdr>
        <w:top w:val="none" w:sz="0" w:space="0" w:color="auto"/>
        <w:left w:val="none" w:sz="0" w:space="0" w:color="auto"/>
        <w:bottom w:val="none" w:sz="0" w:space="0" w:color="auto"/>
        <w:right w:val="none" w:sz="0" w:space="0" w:color="auto"/>
      </w:divBdr>
    </w:div>
    <w:div w:id="1060127463">
      <w:bodyDiv w:val="1"/>
      <w:marLeft w:val="0"/>
      <w:marRight w:val="0"/>
      <w:marTop w:val="0"/>
      <w:marBottom w:val="0"/>
      <w:divBdr>
        <w:top w:val="none" w:sz="0" w:space="0" w:color="auto"/>
        <w:left w:val="none" w:sz="0" w:space="0" w:color="auto"/>
        <w:bottom w:val="none" w:sz="0" w:space="0" w:color="auto"/>
        <w:right w:val="none" w:sz="0" w:space="0" w:color="auto"/>
      </w:divBdr>
      <w:divsChild>
        <w:div w:id="437408895">
          <w:marLeft w:val="0"/>
          <w:marRight w:val="0"/>
          <w:marTop w:val="0"/>
          <w:marBottom w:val="0"/>
          <w:divBdr>
            <w:top w:val="none" w:sz="0" w:space="0" w:color="auto"/>
            <w:left w:val="none" w:sz="0" w:space="0" w:color="auto"/>
            <w:bottom w:val="none" w:sz="0" w:space="0" w:color="auto"/>
            <w:right w:val="none" w:sz="0" w:space="0" w:color="auto"/>
          </w:divBdr>
        </w:div>
      </w:divsChild>
    </w:div>
    <w:div w:id="1243639832">
      <w:bodyDiv w:val="1"/>
      <w:marLeft w:val="0"/>
      <w:marRight w:val="0"/>
      <w:marTop w:val="0"/>
      <w:marBottom w:val="0"/>
      <w:divBdr>
        <w:top w:val="none" w:sz="0" w:space="0" w:color="auto"/>
        <w:left w:val="none" w:sz="0" w:space="0" w:color="auto"/>
        <w:bottom w:val="none" w:sz="0" w:space="0" w:color="auto"/>
        <w:right w:val="none" w:sz="0" w:space="0" w:color="auto"/>
      </w:divBdr>
      <w:divsChild>
        <w:div w:id="770048539">
          <w:marLeft w:val="0"/>
          <w:marRight w:val="0"/>
          <w:marTop w:val="0"/>
          <w:marBottom w:val="0"/>
          <w:divBdr>
            <w:top w:val="none" w:sz="0" w:space="0" w:color="auto"/>
            <w:left w:val="none" w:sz="0" w:space="0" w:color="auto"/>
            <w:bottom w:val="none" w:sz="0" w:space="0" w:color="auto"/>
            <w:right w:val="none" w:sz="0" w:space="0" w:color="auto"/>
          </w:divBdr>
        </w:div>
      </w:divsChild>
    </w:div>
    <w:div w:id="1282106357">
      <w:bodyDiv w:val="1"/>
      <w:marLeft w:val="0"/>
      <w:marRight w:val="0"/>
      <w:marTop w:val="0"/>
      <w:marBottom w:val="0"/>
      <w:divBdr>
        <w:top w:val="none" w:sz="0" w:space="0" w:color="auto"/>
        <w:left w:val="none" w:sz="0" w:space="0" w:color="auto"/>
        <w:bottom w:val="none" w:sz="0" w:space="0" w:color="auto"/>
        <w:right w:val="none" w:sz="0" w:space="0" w:color="auto"/>
      </w:divBdr>
      <w:divsChild>
        <w:div w:id="1762796834">
          <w:marLeft w:val="0"/>
          <w:marRight w:val="0"/>
          <w:marTop w:val="0"/>
          <w:marBottom w:val="0"/>
          <w:divBdr>
            <w:top w:val="none" w:sz="0" w:space="0" w:color="auto"/>
            <w:left w:val="none" w:sz="0" w:space="0" w:color="auto"/>
            <w:bottom w:val="none" w:sz="0" w:space="0" w:color="auto"/>
            <w:right w:val="none" w:sz="0" w:space="0" w:color="auto"/>
          </w:divBdr>
        </w:div>
        <w:div w:id="459766431">
          <w:marLeft w:val="0"/>
          <w:marRight w:val="0"/>
          <w:marTop w:val="0"/>
          <w:marBottom w:val="0"/>
          <w:divBdr>
            <w:top w:val="none" w:sz="0" w:space="0" w:color="auto"/>
            <w:left w:val="none" w:sz="0" w:space="0" w:color="auto"/>
            <w:bottom w:val="none" w:sz="0" w:space="0" w:color="auto"/>
            <w:right w:val="none" w:sz="0" w:space="0" w:color="auto"/>
          </w:divBdr>
        </w:div>
        <w:div w:id="1691881338">
          <w:marLeft w:val="0"/>
          <w:marRight w:val="0"/>
          <w:marTop w:val="0"/>
          <w:marBottom w:val="0"/>
          <w:divBdr>
            <w:top w:val="none" w:sz="0" w:space="0" w:color="auto"/>
            <w:left w:val="none" w:sz="0" w:space="0" w:color="auto"/>
            <w:bottom w:val="none" w:sz="0" w:space="0" w:color="auto"/>
            <w:right w:val="none" w:sz="0" w:space="0" w:color="auto"/>
          </w:divBdr>
        </w:div>
      </w:divsChild>
    </w:div>
    <w:div w:id="15117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9</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5</cp:revision>
  <dcterms:created xsi:type="dcterms:W3CDTF">2021-02-18T07:19:00Z</dcterms:created>
  <dcterms:modified xsi:type="dcterms:W3CDTF">2021-02-18T11:51:00Z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2021-02-18T07:19:37Z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840a549e-1c2e-4fc1-a539-80fa9a126e92</vt:lpwstr>
  </property>
  <property fmtid="{D5CDD505-2E9C-101B-9397-08002B2CF9AE}" pid="8" name="MSIP_Label_1bc0f418-96a4-4caf-9d7c-ccc5ec7f9d91_ContentBits">
    <vt:lpwstr>0</vt:lpwstr>
  </property>
</Properties>
</file>