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0A8B0998"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r w:rsidR="002B615C">
        <w:rPr>
          <w:rFonts w:ascii="Segoe UI" w:hAnsi="Segoe UI" w:cs="Segoe UI"/>
          <w:color w:val="333333"/>
        </w:rPr>
        <w:t>s</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5BBFB3E9" w:rsidR="00AA339B" w:rsidRDefault="00AA339B"/>
    <w:p w14:paraId="02352F72" w14:textId="77777777" w:rsidR="000D5663" w:rsidRDefault="000D5663" w:rsidP="000D5663">
      <w:pPr>
        <w:pStyle w:val="Heading2"/>
        <w:shd w:val="clear" w:color="auto" w:fill="F5F5F5"/>
        <w:rPr>
          <w:rFonts w:ascii="Segoe UI" w:hAnsi="Segoe UI" w:cs="Segoe UI"/>
          <w:color w:val="333333"/>
        </w:rPr>
      </w:pPr>
      <w:r>
        <w:rPr>
          <w:rFonts w:ascii="Segoe UI" w:hAnsi="Segoe UI" w:cs="Segoe UI"/>
          <w:color w:val="333333"/>
        </w:rPr>
        <w:t>Proposal Options</w:t>
      </w:r>
    </w:p>
    <w:p w14:paraId="4D69E422"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Multidimensional quoting allows sales reps to pack in more information about a subscription over its duration. It’s important that your customer can see those MDQ details when they receive a proposal.</w:t>
      </w:r>
    </w:p>
    <w:p w14:paraId="7261BD46"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CPQ gives you three out-of-the-box ways to present MDQ subscriptions to your customers. The first treats the multiple quote lines like any other, so they appear as rows in the line items table.</w:t>
      </w:r>
    </w:p>
    <w:p w14:paraId="2AA71DDE" w14:textId="6F833006"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1DD826B7" wp14:editId="4E06A20A">
            <wp:extent cx="5943600" cy="1133475"/>
            <wp:effectExtent l="0" t="0" r="0" b="9525"/>
            <wp:docPr id="7" name="Picture 7" descr="Proposal document with standard line ite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 document with standard line item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683195CD"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Second, you can tell CPQ to put all MDQ subscriptions into their own specially made table, with a row for each segment, along with a summary row. This is a great option for MDQ subscriptions with lots of segments, like if you sell quarterly segments over a number of years.</w:t>
      </w:r>
    </w:p>
    <w:p w14:paraId="514CD69A" w14:textId="664BE131"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0851F1EE" wp14:editId="051A8ACF">
            <wp:extent cx="5943600" cy="1285875"/>
            <wp:effectExtent l="0" t="0" r="0" b="9525"/>
            <wp:docPr id="6" name="Picture 6" descr="Proposal document with dimensions as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 document with dimensions as r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0BD1B8D3"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Third, you can have CPQ create a special table for each MDQ subscription. It creates a column for each segment, much like how it appears in the Quote Line Editor. Keep in mind that a page is only so wide, so this option works best with fewer segments.</w:t>
      </w:r>
    </w:p>
    <w:p w14:paraId="07AC3931" w14:textId="1EF48D89"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ABAFAD2" wp14:editId="49C4D38C">
            <wp:extent cx="5943600" cy="1362075"/>
            <wp:effectExtent l="0" t="0" r="0" b="9525"/>
            <wp:docPr id="5" name="Picture 5" descr="Proposal document with dimensions a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 document with dimensions as colum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54FFCA92" w14:textId="77777777" w:rsidR="000D5663" w:rsidRDefault="000D5663"/>
    <w:p w14:paraId="25C1135A"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One last thing to note: Any product that is used as the top level of a bundle cannot be enabled for MDQ. That said</w:t>
      </w:r>
      <w:proofErr w:type="gramStart"/>
      <w:r w:rsidRPr="003126EC">
        <w:rPr>
          <w:rFonts w:ascii="Segoe UI" w:eastAsia="Times New Roman" w:hAnsi="Segoe UI" w:cs="Segoe UI"/>
          <w:color w:val="1E1E1E"/>
          <w:sz w:val="24"/>
          <w:szCs w:val="24"/>
          <w:lang w:val="en-IN" w:eastAsia="en-IN"/>
        </w:rPr>
        <w:t>,</w:t>
      </w:r>
      <w:proofErr w:type="gramEnd"/>
      <w:r w:rsidRPr="003126EC">
        <w:rPr>
          <w:rFonts w:ascii="Segoe UI" w:eastAsia="Times New Roman" w:hAnsi="Segoe UI" w:cs="Segoe UI"/>
          <w:color w:val="1E1E1E"/>
          <w:sz w:val="24"/>
          <w:szCs w:val="24"/>
          <w:lang w:val="en-IN" w:eastAsia="en-IN"/>
        </w:rPr>
        <w:t xml:space="preserve"> MDQ products can be included within bundles as options.</w:t>
      </w:r>
    </w:p>
    <w:p w14:paraId="7B103BBC"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Setting up and selling MDQ subscriptions is easy, but there’s even more you can do to take MDQ to the next level. You learn how in the next unit.</w:t>
      </w:r>
    </w:p>
    <w:p w14:paraId="775D923E" w14:textId="590C31F4" w:rsidR="003126EC" w:rsidRDefault="00F66BBF">
      <w:pPr>
        <w:rPr>
          <w:rFonts w:ascii="Segoe UI" w:hAnsi="Segoe UI" w:cs="Segoe UI"/>
          <w:color w:val="1E1E1E"/>
          <w:shd w:val="clear" w:color="auto" w:fill="F5F5F5"/>
        </w:rPr>
      </w:pPr>
      <w:r>
        <w:rPr>
          <w:rFonts w:ascii="Segoe UI" w:hAnsi="Segoe UI" w:cs="Segoe UI"/>
          <w:color w:val="1E1E1E"/>
          <w:shd w:val="clear" w:color="auto" w:fill="F5F5F5"/>
        </w:rPr>
        <w:t>To add fields into the MDQ header, update the Segmented Line Editor Summary field set</w:t>
      </w:r>
      <w:r>
        <w:rPr>
          <w:rFonts w:ascii="Segoe UI" w:hAnsi="Segoe UI" w:cs="Segoe UI"/>
          <w:color w:val="1E1E1E"/>
          <w:shd w:val="clear" w:color="auto" w:fill="F5F5F5"/>
        </w:rPr>
        <w:t>.</w:t>
      </w:r>
      <w:r w:rsidRPr="00F66BBF">
        <w:rPr>
          <w:rFonts w:ascii="Segoe UI" w:hAnsi="Segoe UI" w:cs="Segoe UI"/>
          <w:color w:val="1E1E1E"/>
          <w:shd w:val="clear" w:color="auto" w:fill="F5F5F5"/>
        </w:rPr>
        <w:t xml:space="preserve"> </w:t>
      </w:r>
      <w:r>
        <w:rPr>
          <w:rFonts w:ascii="Segoe UI" w:hAnsi="Segoe UI" w:cs="Segoe UI"/>
          <w:color w:val="1E1E1E"/>
          <w:shd w:val="clear" w:color="auto" w:fill="F5F5F5"/>
        </w:rPr>
        <w:t> Just be aware that these fields can’t be edited in the Quote Line Editor—they are for informational purposes only.</w:t>
      </w:r>
    </w:p>
    <w:p w14:paraId="43E53E00" w14:textId="77777777" w:rsidR="00F66BBF" w:rsidRDefault="00F66BBF">
      <w:pPr>
        <w:rPr>
          <w:rFonts w:ascii="Segoe UI" w:hAnsi="Segoe UI" w:cs="Segoe UI"/>
          <w:color w:val="1E1E1E"/>
          <w:shd w:val="clear" w:color="auto" w:fill="F5F5F5"/>
        </w:rPr>
      </w:pPr>
    </w:p>
    <w:p w14:paraId="79CC0CE4" w14:textId="77777777" w:rsidR="00F66BBF" w:rsidRDefault="00F66BBF" w:rsidP="00F66BBF">
      <w:pPr>
        <w:pStyle w:val="Heading2"/>
        <w:shd w:val="clear" w:color="auto" w:fill="F5F5F5"/>
        <w:rPr>
          <w:rFonts w:ascii="Segoe UI" w:hAnsi="Segoe UI" w:cs="Segoe UI"/>
          <w:color w:val="333333"/>
        </w:rPr>
      </w:pPr>
      <w:r>
        <w:rPr>
          <w:rFonts w:ascii="Segoe UI" w:hAnsi="Segoe UI" w:cs="Segoe UI"/>
          <w:color w:val="333333"/>
        </w:rPr>
        <w:t>Accounting for Partial Segments</w:t>
      </w:r>
    </w:p>
    <w:p w14:paraId="24178BAE" w14:textId="77777777" w:rsidR="00F66BBF" w:rsidRDefault="00F66BBF" w:rsidP="00F66BBF">
      <w:pPr>
        <w:pStyle w:val="NormalWeb"/>
        <w:shd w:val="clear" w:color="auto" w:fill="F5F5F5"/>
        <w:rPr>
          <w:rFonts w:ascii="Segoe UI" w:hAnsi="Segoe UI" w:cs="Segoe UI"/>
          <w:color w:val="1E1E1E"/>
        </w:rPr>
      </w:pPr>
      <w:r>
        <w:rPr>
          <w:rFonts w:ascii="Segoe UI" w:hAnsi="Segoe UI" w:cs="Segoe UI"/>
          <w:color w:val="1E1E1E"/>
        </w:rPr>
        <w:t>In the MDQ examples so far, we’ve had perfectly sized subscription terms so that each segment was a full year. In the real world, you sometimes need to sell subscriptions that have odd lengths like 18 months. So, how does CPQ break 18 months into two segments?</w:t>
      </w:r>
    </w:p>
    <w:p w14:paraId="365647A3" w14:textId="77777777" w:rsidR="00F66BBF" w:rsidRDefault="00F66BBF" w:rsidP="00F66BBF">
      <w:pPr>
        <w:pStyle w:val="NormalWeb"/>
        <w:shd w:val="clear" w:color="auto" w:fill="F5F5F5"/>
        <w:rPr>
          <w:rFonts w:ascii="Segoe UI" w:hAnsi="Segoe UI" w:cs="Segoe UI"/>
          <w:color w:val="1E1E1E"/>
        </w:rPr>
      </w:pPr>
      <w:r>
        <w:rPr>
          <w:rFonts w:ascii="Segoe UI" w:hAnsi="Segoe UI" w:cs="Segoe UI"/>
          <w:color w:val="1E1E1E"/>
        </w:rPr>
        <w:t>By default, CPQ puts full segments first and the partial segment at the end.</w:t>
      </w:r>
    </w:p>
    <w:p w14:paraId="04FDE11E" w14:textId="77777777" w:rsidR="0044159B" w:rsidRPr="0044159B" w:rsidRDefault="0044159B" w:rsidP="0044159B">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4159B">
        <w:rPr>
          <w:rFonts w:ascii="Segoe UI" w:eastAsia="Times New Roman" w:hAnsi="Segoe UI" w:cs="Segoe UI"/>
          <w:color w:val="1E1E1E"/>
          <w:sz w:val="24"/>
          <w:szCs w:val="24"/>
          <w:lang w:val="en-IN" w:eastAsia="en-IN"/>
        </w:rPr>
        <w:lastRenderedPageBreak/>
        <w:t>Sometimes customers don’t want the partial segment to appear at the end. Maybe they’re trying to buy a subscription that coincides with existing service that renews July 1, not January 1. In that example, the partial segment would work best in the front.</w:t>
      </w:r>
    </w:p>
    <w:p w14:paraId="1AB1FE23" w14:textId="77777777" w:rsidR="0044159B" w:rsidRPr="0044159B" w:rsidRDefault="0044159B" w:rsidP="0044159B">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4159B">
        <w:rPr>
          <w:rFonts w:ascii="Segoe UI" w:eastAsia="Times New Roman" w:hAnsi="Segoe UI" w:cs="Segoe UI"/>
          <w:color w:val="1E1E1E"/>
          <w:sz w:val="24"/>
          <w:szCs w:val="24"/>
          <w:lang w:val="en-IN" w:eastAsia="en-IN"/>
        </w:rPr>
        <w:t>Thankfully CPQ gives sales reps a way to control where breaks in subscription segments fall. The field named First Segment Term End Date is a mouthful, but it’s how you can shift breakpoints for MDQ subscriptions. This quote-level field tells CPQ where the first segment should end, which affects all subsequent segments.</w:t>
      </w:r>
    </w:p>
    <w:p w14:paraId="4C88501B" w14:textId="77777777" w:rsidR="00F66BBF" w:rsidRDefault="00F66BBF"/>
    <w:p w14:paraId="7868FD56" w14:textId="77777777" w:rsidR="0044159B" w:rsidRDefault="0044159B" w:rsidP="0044159B">
      <w:pPr>
        <w:pStyle w:val="Heading2"/>
        <w:shd w:val="clear" w:color="auto" w:fill="F5F5F5"/>
        <w:rPr>
          <w:rFonts w:ascii="Segoe UI" w:hAnsi="Segoe UI" w:cs="Segoe UI"/>
          <w:color w:val="333333"/>
        </w:rPr>
      </w:pPr>
      <w:r>
        <w:rPr>
          <w:rFonts w:ascii="Segoe UI" w:hAnsi="Segoe UI" w:cs="Segoe UI"/>
          <w:color w:val="333333"/>
        </w:rPr>
        <w:t>Custom Segments</w:t>
      </w:r>
    </w:p>
    <w:p w14:paraId="6ECBD31C" w14:textId="77777777" w:rsidR="0044159B" w:rsidRDefault="0044159B" w:rsidP="0044159B">
      <w:pPr>
        <w:pStyle w:val="NormalWeb"/>
        <w:shd w:val="clear" w:color="auto" w:fill="F5F5F5"/>
        <w:rPr>
          <w:rFonts w:ascii="Segoe UI" w:hAnsi="Segoe UI" w:cs="Segoe UI"/>
          <w:color w:val="1E1E1E"/>
        </w:rPr>
      </w:pPr>
      <w:r>
        <w:rPr>
          <w:rFonts w:ascii="Segoe UI" w:hAnsi="Segoe UI" w:cs="Segoe UI"/>
          <w:color w:val="1E1E1E"/>
        </w:rPr>
        <w:t>You may remember seeing a field on the Price Dimension record named Type when you set up the VPN License product to support MDQ. You left it as “Year” then, which forced CPQ to create year-long segments. But what if you want to give your sales reps the option of setting their own segment lengths, such as 6 months? You can do that by setting the Type field to Custom.</w:t>
      </w:r>
    </w:p>
    <w:p w14:paraId="396F4E12" w14:textId="1EFA3FA9" w:rsidR="0044159B" w:rsidRDefault="00EA38BD">
      <w:pPr>
        <w:rPr>
          <w:rFonts w:ascii="Segoe UI" w:hAnsi="Segoe UI" w:cs="Segoe UI"/>
          <w:color w:val="1E1E1E"/>
          <w:shd w:val="clear" w:color="auto" w:fill="F5F5F5"/>
        </w:rPr>
      </w:pPr>
      <w:r>
        <w:rPr>
          <w:rFonts w:ascii="Segoe UI" w:hAnsi="Segoe UI" w:cs="Segoe UI"/>
          <w:color w:val="1E1E1E"/>
          <w:shd w:val="clear" w:color="auto" w:fill="F5F5F5"/>
        </w:rPr>
        <w:t>By default, CPQ does not allow gaps or overlaps in custom segments. For example, if you try to start the second segment a month after the first ends, you receive an error message.</w:t>
      </w:r>
    </w:p>
    <w:p w14:paraId="5453381B" w14:textId="77777777" w:rsidR="00EA38BD" w:rsidRPr="00EA38BD" w:rsidRDefault="00EA38BD" w:rsidP="00EA38BD">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EA38BD">
        <w:rPr>
          <w:rFonts w:ascii="Segoe UI" w:eastAsia="Times New Roman" w:hAnsi="Segoe UI" w:cs="Segoe UI"/>
          <w:color w:val="1E1E1E"/>
          <w:sz w:val="24"/>
          <w:szCs w:val="24"/>
          <w:lang w:val="en-IN" w:eastAsia="en-IN"/>
        </w:rPr>
        <w:t xml:space="preserve">If you ever want your sales reps to have the option to include subscription gaps and overlaps, you must navigate to Setup &gt; Installed Packages &gt; Configure (for </w:t>
      </w:r>
      <w:proofErr w:type="spellStart"/>
      <w:r w:rsidRPr="00EA38BD">
        <w:rPr>
          <w:rFonts w:ascii="Segoe UI" w:eastAsia="Times New Roman" w:hAnsi="Segoe UI" w:cs="Segoe UI"/>
          <w:color w:val="1E1E1E"/>
          <w:sz w:val="24"/>
          <w:szCs w:val="24"/>
          <w:lang w:val="en-IN" w:eastAsia="en-IN"/>
        </w:rPr>
        <w:t>Salesforce</w:t>
      </w:r>
      <w:proofErr w:type="spellEnd"/>
      <w:r w:rsidRPr="00EA38BD">
        <w:rPr>
          <w:rFonts w:ascii="Segoe UI" w:eastAsia="Times New Roman" w:hAnsi="Segoe UI" w:cs="Segoe UI"/>
          <w:color w:val="1E1E1E"/>
          <w:sz w:val="24"/>
          <w:szCs w:val="24"/>
          <w:lang w:val="en-IN" w:eastAsia="en-IN"/>
        </w:rPr>
        <w:t xml:space="preserve"> CPQ) &gt; Pricing and Calculation tab, and change the Allow Non-Consecutive Custom Segments setting to true.</w:t>
      </w:r>
    </w:p>
    <w:p w14:paraId="179C57BA" w14:textId="77777777" w:rsidR="00EA38BD" w:rsidRPr="00EA38BD" w:rsidRDefault="00EA38BD" w:rsidP="00EA38BD">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EA38BD">
        <w:rPr>
          <w:rFonts w:ascii="Segoe UI" w:eastAsia="Times New Roman" w:hAnsi="Segoe UI" w:cs="Segoe UI"/>
          <w:color w:val="1E1E1E"/>
          <w:sz w:val="24"/>
          <w:szCs w:val="24"/>
          <w:lang w:val="en-IN" w:eastAsia="en-IN"/>
        </w:rPr>
        <w:t>Lastly, regardless of this package setting, be aware that sales reps can edit the start and end dates of custom segments if the fields are included in the layout.</w:t>
      </w:r>
    </w:p>
    <w:p w14:paraId="45A20B69" w14:textId="77777777" w:rsidR="00EA38BD" w:rsidRDefault="00EA38BD" w:rsidP="00EA38BD">
      <w:pPr>
        <w:pStyle w:val="NormalWeb"/>
        <w:shd w:val="clear" w:color="auto" w:fill="F5F5F5"/>
        <w:rPr>
          <w:rFonts w:ascii="Segoe UI" w:hAnsi="Segoe UI" w:cs="Segoe UI"/>
          <w:color w:val="1E1E1E"/>
        </w:rPr>
      </w:pPr>
      <w:r>
        <w:rPr>
          <w:rFonts w:ascii="Segoe UI" w:hAnsi="Segoe UI" w:cs="Segoe UI"/>
          <w:color w:val="1E1E1E"/>
        </w:rPr>
        <w:t xml:space="preserve">Currently, editing the dates here does NOT produce a validation message if gaps or overlaps exist, even if you don’t allow nonconsecutive custom </w:t>
      </w:r>
      <w:proofErr w:type="gramStart"/>
      <w:r>
        <w:rPr>
          <w:rFonts w:ascii="Segoe UI" w:hAnsi="Segoe UI" w:cs="Segoe UI"/>
          <w:color w:val="1E1E1E"/>
        </w:rPr>
        <w:t>segments.</w:t>
      </w:r>
      <w:proofErr w:type="gramEnd"/>
      <w:r>
        <w:rPr>
          <w:rFonts w:ascii="Segoe UI" w:hAnsi="Segoe UI" w:cs="Segoe UI"/>
          <w:color w:val="1E1E1E"/>
        </w:rPr>
        <w:t xml:space="preserve"> If this is a concern, either remove the date fields from the layout, or create your own validation rule to check for gaps and overlaps.</w:t>
      </w:r>
    </w:p>
    <w:p w14:paraId="749C9F52" w14:textId="77777777" w:rsidR="00EA38BD" w:rsidRDefault="00EA38BD" w:rsidP="00EA38BD">
      <w:pPr>
        <w:pStyle w:val="Heading2"/>
        <w:shd w:val="clear" w:color="auto" w:fill="F5F5F5"/>
        <w:rPr>
          <w:rFonts w:ascii="Segoe UI" w:hAnsi="Segoe UI" w:cs="Segoe UI"/>
          <w:color w:val="333333"/>
        </w:rPr>
      </w:pPr>
      <w:r>
        <w:rPr>
          <w:rFonts w:ascii="Segoe UI" w:hAnsi="Segoe UI" w:cs="Segoe UI"/>
          <w:color w:val="333333"/>
        </w:rPr>
        <w:t>One-time Price Dimensions</w:t>
      </w:r>
    </w:p>
    <w:p w14:paraId="3799075F" w14:textId="77777777" w:rsidR="00EA38BD" w:rsidRDefault="00EA38BD" w:rsidP="00EA38BD">
      <w:pPr>
        <w:pStyle w:val="NormalWeb"/>
        <w:shd w:val="clear" w:color="auto" w:fill="F5F5F5"/>
        <w:rPr>
          <w:rFonts w:ascii="Segoe UI" w:hAnsi="Segoe UI" w:cs="Segoe UI"/>
          <w:color w:val="1E1E1E"/>
        </w:rPr>
      </w:pPr>
      <w:r>
        <w:rPr>
          <w:rFonts w:ascii="Segoe UI" w:hAnsi="Segoe UI" w:cs="Segoe UI"/>
          <w:color w:val="1E1E1E"/>
        </w:rPr>
        <w:t xml:space="preserve">While MDQ is mainly used to split a subscription into pieces, it has one more trick to offer. Imagine that anytime you sell a VPN License, there’s a one-time $20 setup fee for </w:t>
      </w:r>
      <w:r>
        <w:rPr>
          <w:rFonts w:ascii="Segoe UI" w:hAnsi="Segoe UI" w:cs="Segoe UI"/>
          <w:color w:val="1E1E1E"/>
        </w:rPr>
        <w:lastRenderedPageBreak/>
        <w:t>the customer regardless of subscription length, and this fee can’t be discounted. You can do that and more using MDQ one-time price dimensions.</w:t>
      </w:r>
    </w:p>
    <w:p w14:paraId="0169060C" w14:textId="77777777" w:rsidR="00EA38BD" w:rsidRDefault="00EA38BD">
      <w:pPr>
        <w:rPr>
          <w:lang w:val="en-IN"/>
        </w:rPr>
      </w:pPr>
    </w:p>
    <w:p w14:paraId="56D5B7A8" w14:textId="77777777" w:rsidR="00450D35" w:rsidRDefault="00450D35" w:rsidP="00450D35">
      <w:pPr>
        <w:pStyle w:val="Heading2"/>
        <w:shd w:val="clear" w:color="auto" w:fill="F5F5F5"/>
        <w:rPr>
          <w:rFonts w:ascii="Segoe UI" w:hAnsi="Segoe UI" w:cs="Segoe UI"/>
          <w:color w:val="333333"/>
        </w:rPr>
      </w:pPr>
      <w:r>
        <w:rPr>
          <w:rFonts w:ascii="Segoe UI" w:hAnsi="Segoe UI" w:cs="Segoe UI"/>
          <w:color w:val="333333"/>
        </w:rPr>
        <w:t>Term Discount Level</w:t>
      </w:r>
    </w:p>
    <w:p w14:paraId="5FF37A3A" w14:textId="77777777" w:rsidR="00450D35" w:rsidRDefault="00450D35" w:rsidP="00450D35">
      <w:pPr>
        <w:pStyle w:val="NormalWeb"/>
        <w:shd w:val="clear" w:color="auto" w:fill="F5F5F5"/>
        <w:rPr>
          <w:rFonts w:ascii="Segoe UI" w:hAnsi="Segoe UI" w:cs="Segoe UI"/>
          <w:color w:val="1E1E1E"/>
        </w:rPr>
      </w:pPr>
      <w:r>
        <w:rPr>
          <w:rFonts w:ascii="Segoe UI" w:hAnsi="Segoe UI" w:cs="Segoe UI"/>
          <w:color w:val="1E1E1E"/>
        </w:rPr>
        <w:t>Using term-based discount schedules is easy, but there’s one use case that requires a little more consideration. Imagine you have a quote with a 3-year term, and it has a bunch of subscriptions lines. Most subscriptions run the whole 3 years, but your customer only wants 1 year of Password Manager License. So, you change its quote line subscription term to 12.</w:t>
      </w:r>
    </w:p>
    <w:p w14:paraId="53E8F702" w14:textId="77777777" w:rsidR="00450D35" w:rsidRDefault="00450D35">
      <w:pPr>
        <w:rPr>
          <w:lang w:val="en-IN"/>
        </w:rPr>
      </w:pPr>
    </w:p>
    <w:p w14:paraId="41E6FF95"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So here’s the question: Does the Password Manager License qualify for the “25% for 2 years” term discount schedule? The quote is 3 years, but the quote line is only 1...</w:t>
      </w:r>
    </w:p>
    <w:p w14:paraId="55E7CD25"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Before answering the question, let’s review what CPQ does when the quote and line-level subscription terms differ. In a previous unit, you learned that CPQ determines the length of a subscription quote line by first looking for the most specific start and end dates. If CPQ can’t find either of those dates, it looks for the most specific subscription term.</w:t>
      </w:r>
    </w:p>
    <w:p w14:paraId="38B5F25D"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By default, CPQ does the same thing when deciding if a quote line qualifies for a term discount schedule. So in the Password Manager License example, it would NOT get the discount because the 12 months at the line level is not enough.</w:t>
      </w:r>
    </w:p>
    <w:p w14:paraId="371F9F2B"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But wait—you can change what happens! On every product there is a field named Term Discount Level. Basically, this field tells CPQ which level (quote, quote line group, or quote line) is “most specific,” and to ignore lower levels (unless they’re the only source of data). This is a little hard to imagine at first, so let’s look at a few examples.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382"/>
        <w:gridCol w:w="2099"/>
        <w:gridCol w:w="2110"/>
        <w:gridCol w:w="2021"/>
        <w:gridCol w:w="1778"/>
      </w:tblGrid>
      <w:tr w:rsidR="00450D35" w:rsidRPr="00450D35" w14:paraId="60DCA8B4" w14:textId="77777777" w:rsidTr="00450D3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32A161A" w14:textId="77777777" w:rsidR="00450D35" w:rsidRPr="00450D35" w:rsidRDefault="00450D35" w:rsidP="00450D35">
            <w:pPr>
              <w:spacing w:after="0" w:line="240" w:lineRule="auto"/>
              <w:rPr>
                <w:rFonts w:ascii="Segoe UI" w:eastAsia="Times New Roman" w:hAnsi="Segoe UI" w:cs="Segoe UI"/>
                <w:b/>
                <w:bCs/>
                <w:color w:val="1E1E1C"/>
                <w:sz w:val="24"/>
                <w:szCs w:val="24"/>
                <w:lang w:val="en-IN" w:eastAsia="en-IN"/>
              </w:rPr>
            </w:pPr>
          </w:p>
        </w:tc>
        <w:tc>
          <w:tcPr>
            <w:tcW w:w="0" w:type="auto"/>
            <w:tcBorders>
              <w:top w:val="single" w:sz="6" w:space="0" w:color="E2E2E2"/>
              <w:bottom w:val="single" w:sz="24" w:space="0" w:color="E2E2E2"/>
              <w:right w:val="single" w:sz="6" w:space="0" w:color="E2E2E2"/>
            </w:tcBorders>
            <w:shd w:val="clear" w:color="auto" w:fill="FFFFFF"/>
            <w:vAlign w:val="center"/>
            <w:hideMark/>
          </w:tcPr>
          <w:p w14:paraId="109EC95A" w14:textId="77777777" w:rsidR="00450D35" w:rsidRPr="00450D35" w:rsidRDefault="00450D35" w:rsidP="00450D35">
            <w:pPr>
              <w:spacing w:after="0" w:line="240" w:lineRule="auto"/>
              <w:rPr>
                <w:rFonts w:ascii="Segoe UI" w:eastAsia="Times New Roman" w:hAnsi="Segoe UI" w:cs="Segoe UI"/>
                <w:b/>
                <w:bCs/>
                <w:color w:val="1E1E1C"/>
                <w:sz w:val="24"/>
                <w:szCs w:val="24"/>
                <w:lang w:val="en-IN" w:eastAsia="en-IN"/>
              </w:rPr>
            </w:pPr>
            <w:r w:rsidRPr="00450D35">
              <w:rPr>
                <w:rFonts w:ascii="Segoe UI" w:eastAsia="Times New Roman" w:hAnsi="Segoe UI" w:cs="Segoe UI"/>
                <w:b/>
                <w:bCs/>
                <w:color w:val="1E1E1C"/>
                <w:sz w:val="24"/>
                <w:szCs w:val="24"/>
                <w:lang w:val="en-IN" w:eastAsia="en-IN"/>
              </w:rPr>
              <w:t>Example 1</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69F365F" w14:textId="77777777" w:rsidR="00450D35" w:rsidRPr="00450D35" w:rsidRDefault="00450D35" w:rsidP="00450D35">
            <w:pPr>
              <w:spacing w:after="0" w:line="240" w:lineRule="auto"/>
              <w:rPr>
                <w:rFonts w:ascii="Segoe UI" w:eastAsia="Times New Roman" w:hAnsi="Segoe UI" w:cs="Segoe UI"/>
                <w:b/>
                <w:bCs/>
                <w:color w:val="1E1E1C"/>
                <w:sz w:val="24"/>
                <w:szCs w:val="24"/>
                <w:lang w:val="en-IN" w:eastAsia="en-IN"/>
              </w:rPr>
            </w:pPr>
            <w:r w:rsidRPr="00450D35">
              <w:rPr>
                <w:rFonts w:ascii="Segoe UI" w:eastAsia="Times New Roman" w:hAnsi="Segoe UI" w:cs="Segoe UI"/>
                <w:b/>
                <w:bCs/>
                <w:color w:val="1E1E1C"/>
                <w:sz w:val="24"/>
                <w:szCs w:val="24"/>
                <w:lang w:val="en-IN" w:eastAsia="en-IN"/>
              </w:rPr>
              <w:t>Example 2</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4F5A897" w14:textId="77777777" w:rsidR="00450D35" w:rsidRPr="00450D35" w:rsidRDefault="00450D35" w:rsidP="00450D35">
            <w:pPr>
              <w:spacing w:after="0" w:line="240" w:lineRule="auto"/>
              <w:rPr>
                <w:rFonts w:ascii="Segoe UI" w:eastAsia="Times New Roman" w:hAnsi="Segoe UI" w:cs="Segoe UI"/>
                <w:b/>
                <w:bCs/>
                <w:color w:val="1E1E1C"/>
                <w:sz w:val="24"/>
                <w:szCs w:val="24"/>
                <w:lang w:val="en-IN" w:eastAsia="en-IN"/>
              </w:rPr>
            </w:pPr>
            <w:r w:rsidRPr="00450D35">
              <w:rPr>
                <w:rFonts w:ascii="Segoe UI" w:eastAsia="Times New Roman" w:hAnsi="Segoe UI" w:cs="Segoe UI"/>
                <w:b/>
                <w:bCs/>
                <w:color w:val="1E1E1C"/>
                <w:sz w:val="24"/>
                <w:szCs w:val="24"/>
                <w:lang w:val="en-IN" w:eastAsia="en-IN"/>
              </w:rPr>
              <w:t>Example 3</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F5166AC" w14:textId="77777777" w:rsidR="00450D35" w:rsidRPr="00450D35" w:rsidRDefault="00450D35" w:rsidP="00450D35">
            <w:pPr>
              <w:spacing w:after="0" w:line="240" w:lineRule="auto"/>
              <w:rPr>
                <w:rFonts w:ascii="Segoe UI" w:eastAsia="Times New Roman" w:hAnsi="Segoe UI" w:cs="Segoe UI"/>
                <w:b/>
                <w:bCs/>
                <w:color w:val="1E1E1C"/>
                <w:sz w:val="24"/>
                <w:szCs w:val="24"/>
                <w:lang w:val="en-IN" w:eastAsia="en-IN"/>
              </w:rPr>
            </w:pPr>
            <w:r w:rsidRPr="00450D35">
              <w:rPr>
                <w:rFonts w:ascii="Segoe UI" w:eastAsia="Times New Roman" w:hAnsi="Segoe UI" w:cs="Segoe UI"/>
                <w:b/>
                <w:bCs/>
                <w:color w:val="1E1E1C"/>
                <w:sz w:val="24"/>
                <w:szCs w:val="24"/>
                <w:lang w:val="en-IN" w:eastAsia="en-IN"/>
              </w:rPr>
              <w:t>Example 4</w:t>
            </w:r>
          </w:p>
        </w:tc>
      </w:tr>
      <w:tr w:rsidR="00450D35" w:rsidRPr="00450D35" w14:paraId="150E32C5"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0C40E187"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Quote Start/End Dates</w:t>
            </w:r>
          </w:p>
        </w:tc>
        <w:tc>
          <w:tcPr>
            <w:tcW w:w="0" w:type="auto"/>
            <w:tcBorders>
              <w:bottom w:val="single" w:sz="6" w:space="0" w:color="DEDEDE"/>
              <w:right w:val="single" w:sz="6" w:space="0" w:color="DEDEDE"/>
            </w:tcBorders>
            <w:shd w:val="clear" w:color="auto" w:fill="FFFFFF"/>
            <w:hideMark/>
          </w:tcPr>
          <w:p w14:paraId="3018AD3E"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3DBAFC04"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4962ECC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Jan 1, 2020 to</w:t>
            </w:r>
            <w:r w:rsidRPr="00450D35">
              <w:rPr>
                <w:rFonts w:ascii="Segoe UI" w:eastAsia="Times New Roman" w:hAnsi="Segoe UI" w:cs="Segoe UI"/>
                <w:color w:val="1E1E1C"/>
                <w:sz w:val="24"/>
                <w:szCs w:val="24"/>
                <w:lang w:val="en-IN" w:eastAsia="en-IN"/>
              </w:rPr>
              <w:br/>
              <w:t>Dec 31, 2020</w:t>
            </w:r>
          </w:p>
        </w:tc>
        <w:tc>
          <w:tcPr>
            <w:tcW w:w="0" w:type="auto"/>
            <w:tcBorders>
              <w:bottom w:val="single" w:sz="6" w:space="0" w:color="DEDEDE"/>
              <w:right w:val="single" w:sz="6" w:space="0" w:color="DEDEDE"/>
            </w:tcBorders>
            <w:shd w:val="clear" w:color="auto" w:fill="FFFFFF"/>
            <w:hideMark/>
          </w:tcPr>
          <w:p w14:paraId="7322B1DC"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r>
      <w:tr w:rsidR="00450D35" w:rsidRPr="00450D35" w14:paraId="01F2686C"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5CBE6E21"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Quote Sub Term</w:t>
            </w:r>
          </w:p>
        </w:tc>
        <w:tc>
          <w:tcPr>
            <w:tcW w:w="0" w:type="auto"/>
            <w:tcBorders>
              <w:bottom w:val="single" w:sz="6" w:space="0" w:color="DEDEDE"/>
              <w:right w:val="single" w:sz="6" w:space="0" w:color="DEDEDE"/>
            </w:tcBorders>
            <w:shd w:val="clear" w:color="auto" w:fill="FFFFFF"/>
            <w:hideMark/>
          </w:tcPr>
          <w:p w14:paraId="1093DB8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36</w:t>
            </w:r>
          </w:p>
        </w:tc>
        <w:tc>
          <w:tcPr>
            <w:tcW w:w="0" w:type="auto"/>
            <w:tcBorders>
              <w:bottom w:val="single" w:sz="6" w:space="0" w:color="DEDEDE"/>
              <w:right w:val="single" w:sz="6" w:space="0" w:color="DEDEDE"/>
            </w:tcBorders>
            <w:shd w:val="clear" w:color="auto" w:fill="FFFFFF"/>
            <w:hideMark/>
          </w:tcPr>
          <w:p w14:paraId="1359A755"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717520D2"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35791A4A"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36</w:t>
            </w:r>
          </w:p>
        </w:tc>
      </w:tr>
      <w:tr w:rsidR="00450D35" w:rsidRPr="00450D35" w14:paraId="017F364E"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4B9C9B0D"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 xml:space="preserve">Group </w:t>
            </w:r>
            <w:r w:rsidRPr="00450D35">
              <w:rPr>
                <w:rFonts w:ascii="Segoe UI" w:eastAsia="Times New Roman" w:hAnsi="Segoe UI" w:cs="Segoe UI"/>
                <w:color w:val="1E1E1C"/>
                <w:sz w:val="24"/>
                <w:szCs w:val="24"/>
                <w:lang w:val="en-IN" w:eastAsia="en-IN"/>
              </w:rPr>
              <w:lastRenderedPageBreak/>
              <w:t>Start/End Dates</w:t>
            </w:r>
          </w:p>
        </w:tc>
        <w:tc>
          <w:tcPr>
            <w:tcW w:w="0" w:type="auto"/>
            <w:tcBorders>
              <w:bottom w:val="single" w:sz="6" w:space="0" w:color="DEDEDE"/>
              <w:right w:val="single" w:sz="6" w:space="0" w:color="DEDEDE"/>
            </w:tcBorders>
            <w:shd w:val="clear" w:color="auto" w:fill="FFFFFF"/>
            <w:hideMark/>
          </w:tcPr>
          <w:p w14:paraId="51F514D2"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422C97A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43C1BF13"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7ACC0F9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Jan 1, 2020 to</w:t>
            </w:r>
            <w:r w:rsidRPr="00450D35">
              <w:rPr>
                <w:rFonts w:ascii="Segoe UI" w:eastAsia="Times New Roman" w:hAnsi="Segoe UI" w:cs="Segoe UI"/>
                <w:color w:val="1E1E1C"/>
                <w:sz w:val="24"/>
                <w:szCs w:val="24"/>
                <w:lang w:val="en-IN" w:eastAsia="en-IN"/>
              </w:rPr>
              <w:br/>
            </w:r>
            <w:r w:rsidRPr="00450D35">
              <w:rPr>
                <w:rFonts w:ascii="Segoe UI" w:eastAsia="Times New Roman" w:hAnsi="Segoe UI" w:cs="Segoe UI"/>
                <w:color w:val="1E1E1C"/>
                <w:sz w:val="24"/>
                <w:szCs w:val="24"/>
                <w:lang w:val="en-IN" w:eastAsia="en-IN"/>
              </w:rPr>
              <w:lastRenderedPageBreak/>
              <w:t>Dec 31, 2020</w:t>
            </w:r>
          </w:p>
        </w:tc>
      </w:tr>
      <w:tr w:rsidR="00450D35" w:rsidRPr="00450D35" w14:paraId="0909EA43"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0852FA06"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lastRenderedPageBreak/>
              <w:t>Group Sub Term</w:t>
            </w:r>
          </w:p>
        </w:tc>
        <w:tc>
          <w:tcPr>
            <w:tcW w:w="0" w:type="auto"/>
            <w:tcBorders>
              <w:bottom w:val="single" w:sz="6" w:space="0" w:color="DEDEDE"/>
              <w:right w:val="single" w:sz="6" w:space="0" w:color="DEDEDE"/>
            </w:tcBorders>
            <w:shd w:val="clear" w:color="auto" w:fill="FFFFFF"/>
            <w:hideMark/>
          </w:tcPr>
          <w:p w14:paraId="724E67AF"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44EC900F"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425F6BD6"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36</w:t>
            </w:r>
          </w:p>
        </w:tc>
        <w:tc>
          <w:tcPr>
            <w:tcW w:w="0" w:type="auto"/>
            <w:tcBorders>
              <w:bottom w:val="single" w:sz="6" w:space="0" w:color="DEDEDE"/>
              <w:right w:val="single" w:sz="6" w:space="0" w:color="DEDEDE"/>
            </w:tcBorders>
            <w:shd w:val="clear" w:color="auto" w:fill="FFFFFF"/>
            <w:hideMark/>
          </w:tcPr>
          <w:p w14:paraId="61B8C92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r>
      <w:tr w:rsidR="00450D35" w:rsidRPr="00450D35" w14:paraId="79F2F116"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5C6CC0F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Line Start/End Dates</w:t>
            </w:r>
          </w:p>
        </w:tc>
        <w:tc>
          <w:tcPr>
            <w:tcW w:w="0" w:type="auto"/>
            <w:tcBorders>
              <w:bottom w:val="single" w:sz="6" w:space="0" w:color="DEDEDE"/>
              <w:right w:val="single" w:sz="6" w:space="0" w:color="DEDEDE"/>
            </w:tcBorders>
            <w:shd w:val="clear" w:color="auto" w:fill="FFFFFF"/>
            <w:hideMark/>
          </w:tcPr>
          <w:p w14:paraId="5332A4A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58E3A955"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30E3F5BA"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Jan 1, 2020 to</w:t>
            </w:r>
            <w:r w:rsidRPr="00450D35">
              <w:rPr>
                <w:rFonts w:ascii="Segoe UI" w:eastAsia="Times New Roman" w:hAnsi="Segoe UI" w:cs="Segoe UI"/>
                <w:color w:val="1E1E1C"/>
                <w:sz w:val="24"/>
                <w:szCs w:val="24"/>
                <w:lang w:val="en-IN" w:eastAsia="en-IN"/>
              </w:rPr>
              <w:br/>
              <w:t>Dec 31, 2022</w:t>
            </w:r>
          </w:p>
        </w:tc>
        <w:tc>
          <w:tcPr>
            <w:tcW w:w="0" w:type="auto"/>
            <w:tcBorders>
              <w:bottom w:val="single" w:sz="6" w:space="0" w:color="DEDEDE"/>
              <w:right w:val="single" w:sz="6" w:space="0" w:color="DEDEDE"/>
            </w:tcBorders>
            <w:shd w:val="clear" w:color="auto" w:fill="FFFFFF"/>
            <w:hideMark/>
          </w:tcPr>
          <w:p w14:paraId="34569DDD"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Jan 1, 2020 to</w:t>
            </w:r>
            <w:r w:rsidRPr="00450D35">
              <w:rPr>
                <w:rFonts w:ascii="Segoe UI" w:eastAsia="Times New Roman" w:hAnsi="Segoe UI" w:cs="Segoe UI"/>
                <w:color w:val="1E1E1C"/>
                <w:sz w:val="24"/>
                <w:szCs w:val="24"/>
                <w:lang w:val="en-IN" w:eastAsia="en-IN"/>
              </w:rPr>
              <w:br/>
              <w:t>Dec 31, 2020</w:t>
            </w:r>
          </w:p>
        </w:tc>
      </w:tr>
      <w:tr w:rsidR="00450D35" w:rsidRPr="00450D35" w14:paraId="3B0BD385"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7817D5F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Line Sub Term</w:t>
            </w:r>
          </w:p>
        </w:tc>
        <w:tc>
          <w:tcPr>
            <w:tcW w:w="0" w:type="auto"/>
            <w:tcBorders>
              <w:bottom w:val="single" w:sz="6" w:space="0" w:color="DEDEDE"/>
              <w:right w:val="single" w:sz="6" w:space="0" w:color="DEDEDE"/>
            </w:tcBorders>
            <w:shd w:val="clear" w:color="auto" w:fill="FFFFFF"/>
            <w:hideMark/>
          </w:tcPr>
          <w:p w14:paraId="45788A66"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12</w:t>
            </w:r>
          </w:p>
        </w:tc>
        <w:tc>
          <w:tcPr>
            <w:tcW w:w="0" w:type="auto"/>
            <w:tcBorders>
              <w:bottom w:val="single" w:sz="6" w:space="0" w:color="DEDEDE"/>
              <w:right w:val="single" w:sz="6" w:space="0" w:color="DEDEDE"/>
            </w:tcBorders>
            <w:shd w:val="clear" w:color="auto" w:fill="FFFFFF"/>
            <w:hideMark/>
          </w:tcPr>
          <w:p w14:paraId="3C6235E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12</w:t>
            </w:r>
          </w:p>
        </w:tc>
        <w:tc>
          <w:tcPr>
            <w:tcW w:w="0" w:type="auto"/>
            <w:tcBorders>
              <w:bottom w:val="single" w:sz="6" w:space="0" w:color="DEDEDE"/>
              <w:right w:val="single" w:sz="6" w:space="0" w:color="DEDEDE"/>
            </w:tcBorders>
            <w:shd w:val="clear" w:color="auto" w:fill="FFFFFF"/>
            <w:hideMark/>
          </w:tcPr>
          <w:p w14:paraId="1EBAF0BB"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c>
          <w:tcPr>
            <w:tcW w:w="0" w:type="auto"/>
            <w:tcBorders>
              <w:bottom w:val="single" w:sz="6" w:space="0" w:color="DEDEDE"/>
              <w:right w:val="single" w:sz="6" w:space="0" w:color="DEDEDE"/>
            </w:tcBorders>
            <w:shd w:val="clear" w:color="auto" w:fill="FFFFFF"/>
            <w:hideMark/>
          </w:tcPr>
          <w:p w14:paraId="04B1FB8C"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p>
        </w:tc>
      </w:tr>
      <w:tr w:rsidR="00450D35" w:rsidRPr="00450D35" w14:paraId="1DE1316A"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4FBE6EDB"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b/>
                <w:bCs/>
                <w:color w:val="1E1E1C"/>
                <w:sz w:val="24"/>
                <w:szCs w:val="24"/>
                <w:lang w:val="en-IN" w:eastAsia="en-IN"/>
              </w:rPr>
              <w:t>Term Discount Level (TDL)</w:t>
            </w:r>
          </w:p>
        </w:tc>
        <w:tc>
          <w:tcPr>
            <w:tcW w:w="0" w:type="auto"/>
            <w:tcBorders>
              <w:bottom w:val="single" w:sz="6" w:space="0" w:color="DEDEDE"/>
              <w:right w:val="single" w:sz="6" w:space="0" w:color="DEDEDE"/>
            </w:tcBorders>
            <w:shd w:val="clear" w:color="auto" w:fill="FFFFFF"/>
            <w:hideMark/>
          </w:tcPr>
          <w:p w14:paraId="57AFA3B8"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b/>
                <w:bCs/>
                <w:color w:val="1E1E1C"/>
                <w:sz w:val="24"/>
                <w:szCs w:val="24"/>
                <w:lang w:val="en-IN" w:eastAsia="en-IN"/>
              </w:rPr>
              <w:t>Group</w:t>
            </w:r>
          </w:p>
        </w:tc>
        <w:tc>
          <w:tcPr>
            <w:tcW w:w="0" w:type="auto"/>
            <w:tcBorders>
              <w:bottom w:val="single" w:sz="6" w:space="0" w:color="DEDEDE"/>
              <w:right w:val="single" w:sz="6" w:space="0" w:color="DEDEDE"/>
            </w:tcBorders>
            <w:shd w:val="clear" w:color="auto" w:fill="FFFFFF"/>
            <w:hideMark/>
          </w:tcPr>
          <w:p w14:paraId="0828B3B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b/>
                <w:bCs/>
                <w:color w:val="1E1E1C"/>
                <w:sz w:val="24"/>
                <w:szCs w:val="24"/>
                <w:lang w:val="en-IN" w:eastAsia="en-IN"/>
              </w:rPr>
              <w:t>Group</w:t>
            </w:r>
          </w:p>
        </w:tc>
        <w:tc>
          <w:tcPr>
            <w:tcW w:w="0" w:type="auto"/>
            <w:tcBorders>
              <w:bottom w:val="single" w:sz="6" w:space="0" w:color="DEDEDE"/>
              <w:right w:val="single" w:sz="6" w:space="0" w:color="DEDEDE"/>
            </w:tcBorders>
            <w:shd w:val="clear" w:color="auto" w:fill="FFFFFF"/>
            <w:hideMark/>
          </w:tcPr>
          <w:p w14:paraId="1C836693"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b/>
                <w:bCs/>
                <w:color w:val="1E1E1C"/>
                <w:sz w:val="24"/>
                <w:szCs w:val="24"/>
                <w:lang w:val="en-IN" w:eastAsia="en-IN"/>
              </w:rPr>
              <w:t>Group</w:t>
            </w:r>
          </w:p>
        </w:tc>
        <w:tc>
          <w:tcPr>
            <w:tcW w:w="0" w:type="auto"/>
            <w:tcBorders>
              <w:bottom w:val="single" w:sz="6" w:space="0" w:color="DEDEDE"/>
              <w:right w:val="single" w:sz="6" w:space="0" w:color="DEDEDE"/>
            </w:tcBorders>
            <w:shd w:val="clear" w:color="auto" w:fill="FFFFFF"/>
            <w:hideMark/>
          </w:tcPr>
          <w:p w14:paraId="7802C8E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b/>
                <w:bCs/>
                <w:color w:val="1E1E1C"/>
                <w:sz w:val="24"/>
                <w:szCs w:val="24"/>
                <w:lang w:val="en-IN" w:eastAsia="en-IN"/>
              </w:rPr>
              <w:t>Quote</w:t>
            </w:r>
          </w:p>
        </w:tc>
      </w:tr>
      <w:tr w:rsidR="00450D35" w:rsidRPr="00450D35" w14:paraId="06BB0692"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633162AF"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Recognized Term Length</w:t>
            </w:r>
          </w:p>
        </w:tc>
        <w:tc>
          <w:tcPr>
            <w:tcW w:w="0" w:type="auto"/>
            <w:tcBorders>
              <w:bottom w:val="single" w:sz="6" w:space="0" w:color="DEDEDE"/>
              <w:right w:val="single" w:sz="6" w:space="0" w:color="DEDEDE"/>
            </w:tcBorders>
            <w:shd w:val="clear" w:color="auto" w:fill="FFFFFF"/>
            <w:hideMark/>
          </w:tcPr>
          <w:p w14:paraId="78A3AFBC"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36</w:t>
            </w:r>
          </w:p>
        </w:tc>
        <w:tc>
          <w:tcPr>
            <w:tcW w:w="0" w:type="auto"/>
            <w:tcBorders>
              <w:bottom w:val="single" w:sz="6" w:space="0" w:color="DEDEDE"/>
              <w:right w:val="single" w:sz="6" w:space="0" w:color="DEDEDE"/>
            </w:tcBorders>
            <w:shd w:val="clear" w:color="auto" w:fill="FFFFFF"/>
            <w:hideMark/>
          </w:tcPr>
          <w:p w14:paraId="3A99A92C"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12</w:t>
            </w:r>
          </w:p>
        </w:tc>
        <w:tc>
          <w:tcPr>
            <w:tcW w:w="0" w:type="auto"/>
            <w:tcBorders>
              <w:bottom w:val="single" w:sz="6" w:space="0" w:color="DEDEDE"/>
              <w:right w:val="single" w:sz="6" w:space="0" w:color="DEDEDE"/>
            </w:tcBorders>
            <w:shd w:val="clear" w:color="auto" w:fill="FFFFFF"/>
            <w:hideMark/>
          </w:tcPr>
          <w:p w14:paraId="33FBC9C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12</w:t>
            </w:r>
          </w:p>
        </w:tc>
        <w:tc>
          <w:tcPr>
            <w:tcW w:w="0" w:type="auto"/>
            <w:tcBorders>
              <w:bottom w:val="single" w:sz="6" w:space="0" w:color="DEDEDE"/>
              <w:right w:val="single" w:sz="6" w:space="0" w:color="DEDEDE"/>
            </w:tcBorders>
            <w:shd w:val="clear" w:color="auto" w:fill="FFFFFF"/>
            <w:hideMark/>
          </w:tcPr>
          <w:p w14:paraId="5D7904D3"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36</w:t>
            </w:r>
          </w:p>
        </w:tc>
      </w:tr>
      <w:tr w:rsidR="00450D35" w:rsidRPr="00450D35" w14:paraId="49E5B673"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4FF7C27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25% for 2 years applied?</w:t>
            </w:r>
          </w:p>
        </w:tc>
        <w:tc>
          <w:tcPr>
            <w:tcW w:w="0" w:type="auto"/>
            <w:tcBorders>
              <w:bottom w:val="single" w:sz="6" w:space="0" w:color="DEDEDE"/>
              <w:right w:val="single" w:sz="6" w:space="0" w:color="DEDEDE"/>
            </w:tcBorders>
            <w:shd w:val="clear" w:color="auto" w:fill="FFFFFF"/>
            <w:hideMark/>
          </w:tcPr>
          <w:p w14:paraId="6EEB33C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Yes</w:t>
            </w:r>
          </w:p>
        </w:tc>
        <w:tc>
          <w:tcPr>
            <w:tcW w:w="0" w:type="auto"/>
            <w:tcBorders>
              <w:bottom w:val="single" w:sz="6" w:space="0" w:color="DEDEDE"/>
              <w:right w:val="single" w:sz="6" w:space="0" w:color="DEDEDE"/>
            </w:tcBorders>
            <w:shd w:val="clear" w:color="auto" w:fill="FFFFFF"/>
            <w:hideMark/>
          </w:tcPr>
          <w:p w14:paraId="502D50A0"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No</w:t>
            </w:r>
          </w:p>
        </w:tc>
        <w:tc>
          <w:tcPr>
            <w:tcW w:w="0" w:type="auto"/>
            <w:tcBorders>
              <w:bottom w:val="single" w:sz="6" w:space="0" w:color="DEDEDE"/>
              <w:right w:val="single" w:sz="6" w:space="0" w:color="DEDEDE"/>
            </w:tcBorders>
            <w:shd w:val="clear" w:color="auto" w:fill="FFFFFF"/>
            <w:hideMark/>
          </w:tcPr>
          <w:p w14:paraId="757AD7F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No</w:t>
            </w:r>
          </w:p>
        </w:tc>
        <w:tc>
          <w:tcPr>
            <w:tcW w:w="0" w:type="auto"/>
            <w:tcBorders>
              <w:bottom w:val="single" w:sz="6" w:space="0" w:color="DEDEDE"/>
              <w:right w:val="single" w:sz="6" w:space="0" w:color="DEDEDE"/>
            </w:tcBorders>
            <w:shd w:val="clear" w:color="auto" w:fill="FFFFFF"/>
            <w:hideMark/>
          </w:tcPr>
          <w:p w14:paraId="04BC611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Yes</w:t>
            </w:r>
          </w:p>
        </w:tc>
      </w:tr>
      <w:tr w:rsidR="00450D35" w:rsidRPr="00450D35" w14:paraId="66A56B6B" w14:textId="77777777" w:rsidTr="00450D35">
        <w:tc>
          <w:tcPr>
            <w:tcW w:w="0" w:type="auto"/>
            <w:tcBorders>
              <w:left w:val="single" w:sz="6" w:space="0" w:color="DEDEDE"/>
              <w:bottom w:val="single" w:sz="6" w:space="0" w:color="DEDEDE"/>
              <w:right w:val="single" w:sz="6" w:space="0" w:color="DEDEDE"/>
            </w:tcBorders>
            <w:shd w:val="clear" w:color="auto" w:fill="FFFFFF"/>
            <w:hideMark/>
          </w:tcPr>
          <w:p w14:paraId="0C9546BA"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Explanation</w:t>
            </w:r>
          </w:p>
        </w:tc>
        <w:tc>
          <w:tcPr>
            <w:tcW w:w="0" w:type="auto"/>
            <w:tcBorders>
              <w:bottom w:val="single" w:sz="6" w:space="0" w:color="DEDEDE"/>
              <w:right w:val="single" w:sz="6" w:space="0" w:color="DEDEDE"/>
            </w:tcBorders>
            <w:shd w:val="clear" w:color="auto" w:fill="FFFFFF"/>
            <w:hideMark/>
          </w:tcPr>
          <w:p w14:paraId="55C70517"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The group level is most specific, but it has no data. CPQ ignores data “below” the TDL if there’s data “above” it. In this case it uses the 36 months at the quote level.</w:t>
            </w:r>
          </w:p>
        </w:tc>
        <w:tc>
          <w:tcPr>
            <w:tcW w:w="0" w:type="auto"/>
            <w:tcBorders>
              <w:bottom w:val="single" w:sz="6" w:space="0" w:color="DEDEDE"/>
              <w:right w:val="single" w:sz="6" w:space="0" w:color="DEDEDE"/>
            </w:tcBorders>
            <w:shd w:val="clear" w:color="auto" w:fill="FFFFFF"/>
            <w:hideMark/>
          </w:tcPr>
          <w:p w14:paraId="4F1B340C"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The group level is most specific, but it has no data. CPQ uses data “below” the TDL only when there’s nothing else to use. In this case, the 12 months at the line level.</w:t>
            </w:r>
          </w:p>
        </w:tc>
        <w:tc>
          <w:tcPr>
            <w:tcW w:w="0" w:type="auto"/>
            <w:tcBorders>
              <w:bottom w:val="single" w:sz="6" w:space="0" w:color="DEDEDE"/>
              <w:right w:val="single" w:sz="6" w:space="0" w:color="DEDEDE"/>
            </w:tcBorders>
            <w:shd w:val="clear" w:color="auto" w:fill="FFFFFF"/>
            <w:hideMark/>
          </w:tcPr>
          <w:p w14:paraId="61A89164"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Although group level is most specific, CPQ always prioritizes the most specific dates "above" the TDL. CPQ ignores the dates “below” the TDL.</w:t>
            </w:r>
          </w:p>
        </w:tc>
        <w:tc>
          <w:tcPr>
            <w:tcW w:w="0" w:type="auto"/>
            <w:tcBorders>
              <w:bottom w:val="single" w:sz="6" w:space="0" w:color="DEDEDE"/>
              <w:right w:val="single" w:sz="6" w:space="0" w:color="DEDEDE"/>
            </w:tcBorders>
            <w:shd w:val="clear" w:color="auto" w:fill="FFFFFF"/>
            <w:hideMark/>
          </w:tcPr>
          <w:p w14:paraId="1ADE8BC9" w14:textId="77777777" w:rsidR="00450D35" w:rsidRPr="00450D35" w:rsidRDefault="00450D35" w:rsidP="00450D35">
            <w:pPr>
              <w:spacing w:after="0" w:line="240" w:lineRule="auto"/>
              <w:rPr>
                <w:rFonts w:ascii="Segoe UI" w:eastAsia="Times New Roman" w:hAnsi="Segoe UI" w:cs="Segoe UI"/>
                <w:color w:val="1E1E1C"/>
                <w:sz w:val="24"/>
                <w:szCs w:val="24"/>
                <w:lang w:val="en-IN" w:eastAsia="en-IN"/>
              </w:rPr>
            </w:pPr>
            <w:r w:rsidRPr="00450D35">
              <w:rPr>
                <w:rFonts w:ascii="Segoe UI" w:eastAsia="Times New Roman" w:hAnsi="Segoe UI" w:cs="Segoe UI"/>
                <w:color w:val="1E1E1C"/>
                <w:sz w:val="24"/>
                <w:szCs w:val="24"/>
                <w:lang w:val="en-IN" w:eastAsia="en-IN"/>
              </w:rPr>
              <w:t>The quote level is most specific and data exists there. CPQ ignores all data “below” the TDL, even though they’re dates.</w:t>
            </w:r>
          </w:p>
        </w:tc>
      </w:tr>
    </w:tbl>
    <w:p w14:paraId="7316DA0F"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One important thing to note about term discount level is that CPQ looks up the TDL value from the product record every time a recalculation of the quote occurs. Be careful when changing the TDL on a product because the new value is applied every time you recalculate a quote that contains that product. Avoid changing the TDL unless absolutely necessary.</w:t>
      </w:r>
    </w:p>
    <w:p w14:paraId="4EB86AC2" w14:textId="77777777" w:rsidR="00450D35" w:rsidRPr="00450D35" w:rsidRDefault="00450D35" w:rsidP="00450D35">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50D35">
        <w:rPr>
          <w:rFonts w:ascii="Segoe UI" w:eastAsia="Times New Roman" w:hAnsi="Segoe UI" w:cs="Segoe UI"/>
          <w:color w:val="1E1E1E"/>
          <w:sz w:val="24"/>
          <w:szCs w:val="24"/>
          <w:lang w:val="en-IN" w:eastAsia="en-IN"/>
        </w:rPr>
        <w:t xml:space="preserve">Finally, you might notice that Term Discount Level defaults to a blank value. That’s fine, when </w:t>
      </w:r>
      <w:proofErr w:type="gramStart"/>
      <w:r w:rsidRPr="00450D35">
        <w:rPr>
          <w:rFonts w:ascii="Segoe UI" w:eastAsia="Times New Roman" w:hAnsi="Segoe UI" w:cs="Segoe UI"/>
          <w:color w:val="1E1E1E"/>
          <w:sz w:val="24"/>
          <w:szCs w:val="24"/>
          <w:lang w:val="en-IN" w:eastAsia="en-IN"/>
        </w:rPr>
        <w:t>blank,</w:t>
      </w:r>
      <w:proofErr w:type="gramEnd"/>
      <w:r w:rsidRPr="00450D35">
        <w:rPr>
          <w:rFonts w:ascii="Segoe UI" w:eastAsia="Times New Roman" w:hAnsi="Segoe UI" w:cs="Segoe UI"/>
          <w:color w:val="1E1E1E"/>
          <w:sz w:val="24"/>
          <w:szCs w:val="24"/>
          <w:lang w:val="en-IN" w:eastAsia="en-IN"/>
        </w:rPr>
        <w:t xml:space="preserve"> it behaves as though you chose “Line,” which is the most specific you can get anyhow.</w:t>
      </w:r>
    </w:p>
    <w:p w14:paraId="1AA4E6E1" w14:textId="77777777" w:rsidR="00450D35" w:rsidRPr="00EA38BD" w:rsidRDefault="00450D35">
      <w:pPr>
        <w:rPr>
          <w:lang w:val="en-IN"/>
        </w:rPr>
      </w:pPr>
      <w:bookmarkStart w:id="0" w:name="_GoBack"/>
      <w:bookmarkEnd w:id="0"/>
    </w:p>
    <w:sectPr w:rsidR="00450D35" w:rsidRPr="00EA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0D5663"/>
    <w:rsid w:val="001B42A5"/>
    <w:rsid w:val="00256A93"/>
    <w:rsid w:val="002B615C"/>
    <w:rsid w:val="003126EC"/>
    <w:rsid w:val="00380079"/>
    <w:rsid w:val="0044159B"/>
    <w:rsid w:val="00450D35"/>
    <w:rsid w:val="005779C7"/>
    <w:rsid w:val="00614768"/>
    <w:rsid w:val="00A509DF"/>
    <w:rsid w:val="00AA339B"/>
    <w:rsid w:val="00AB582A"/>
    <w:rsid w:val="00AE3B22"/>
    <w:rsid w:val="00DE1690"/>
    <w:rsid w:val="00EA38BD"/>
    <w:rsid w:val="00F6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370960571">
      <w:bodyDiv w:val="1"/>
      <w:marLeft w:val="0"/>
      <w:marRight w:val="0"/>
      <w:marTop w:val="0"/>
      <w:marBottom w:val="0"/>
      <w:divBdr>
        <w:top w:val="none" w:sz="0" w:space="0" w:color="auto"/>
        <w:left w:val="none" w:sz="0" w:space="0" w:color="auto"/>
        <w:bottom w:val="none" w:sz="0" w:space="0" w:color="auto"/>
        <w:right w:val="none" w:sz="0" w:space="0" w:color="auto"/>
      </w:divBdr>
    </w:div>
    <w:div w:id="634412768">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950864342">
      <w:bodyDiv w:val="1"/>
      <w:marLeft w:val="0"/>
      <w:marRight w:val="0"/>
      <w:marTop w:val="0"/>
      <w:marBottom w:val="0"/>
      <w:divBdr>
        <w:top w:val="none" w:sz="0" w:space="0" w:color="auto"/>
        <w:left w:val="none" w:sz="0" w:space="0" w:color="auto"/>
        <w:bottom w:val="none" w:sz="0" w:space="0" w:color="auto"/>
        <w:right w:val="none" w:sz="0" w:space="0" w:color="auto"/>
      </w:divBdr>
    </w:div>
    <w:div w:id="996609440">
      <w:bodyDiv w:val="1"/>
      <w:marLeft w:val="0"/>
      <w:marRight w:val="0"/>
      <w:marTop w:val="0"/>
      <w:marBottom w:val="0"/>
      <w:divBdr>
        <w:top w:val="none" w:sz="0" w:space="0" w:color="auto"/>
        <w:left w:val="none" w:sz="0" w:space="0" w:color="auto"/>
        <w:bottom w:val="none" w:sz="0" w:space="0" w:color="auto"/>
        <w:right w:val="none" w:sz="0" w:space="0" w:color="auto"/>
      </w:divBdr>
    </w:div>
    <w:div w:id="1028724906">
      <w:bodyDiv w:val="1"/>
      <w:marLeft w:val="0"/>
      <w:marRight w:val="0"/>
      <w:marTop w:val="0"/>
      <w:marBottom w:val="0"/>
      <w:divBdr>
        <w:top w:val="none" w:sz="0" w:space="0" w:color="auto"/>
        <w:left w:val="none" w:sz="0" w:space="0" w:color="auto"/>
        <w:bottom w:val="none" w:sz="0" w:space="0" w:color="auto"/>
        <w:right w:val="none" w:sz="0" w:space="0" w:color="auto"/>
      </w:divBdr>
    </w:div>
    <w:div w:id="1048796019">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1657949801">
      <w:bodyDiv w:val="1"/>
      <w:marLeft w:val="0"/>
      <w:marRight w:val="0"/>
      <w:marTop w:val="0"/>
      <w:marBottom w:val="0"/>
      <w:divBdr>
        <w:top w:val="none" w:sz="0" w:space="0" w:color="auto"/>
        <w:left w:val="none" w:sz="0" w:space="0" w:color="auto"/>
        <w:bottom w:val="none" w:sz="0" w:space="0" w:color="auto"/>
        <w:right w:val="none" w:sz="0" w:space="0" w:color="auto"/>
      </w:divBdr>
    </w:div>
    <w:div w:id="187815477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 w:id="20803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13</cp:revision>
  <dcterms:created xsi:type="dcterms:W3CDTF">2021-02-17T10:14:00Z</dcterms:created>
  <dcterms:modified xsi:type="dcterms:W3CDTF">2021-02-17T16:21:00Z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