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5CBD4" w14:textId="7F40046C" w:rsidR="00360308" w:rsidRDefault="00866B43">
      <w:pPr>
        <w:rPr>
          <w:rFonts w:ascii="Segoe UI" w:hAnsi="Segoe UI" w:cs="Segoe UI"/>
          <w:color w:val="1E1E1E"/>
          <w:shd w:val="clear" w:color="auto" w:fill="F5F5F5"/>
        </w:rPr>
      </w:pPr>
      <w:r>
        <w:rPr>
          <w:rFonts w:ascii="Segoe UI" w:hAnsi="Segoe UI" w:cs="Segoe UI"/>
          <w:color w:val="1E1E1E"/>
          <w:shd w:val="clear" w:color="auto" w:fill="F5F5F5"/>
        </w:rPr>
        <w:t>Salesforce CPQ and its product rules are designed to help sales reps get the right products on the quote the first time around. Think of product rules as guardrails, there to help sales reps stay on course when navigating complex combinations of products and services. As an admin, putting a small amount of effort into creating product rules can save huge amounts of time and money for your business, while keeping your customers happy.</w:t>
      </w:r>
    </w:p>
    <w:p w14:paraId="55F6A4C9" w14:textId="721C8F1B" w:rsidR="0099125F" w:rsidRDefault="0099125F">
      <w:pPr>
        <w:rPr>
          <w:rFonts w:ascii="Segoe UI" w:hAnsi="Segoe UI" w:cs="Segoe UI"/>
          <w:color w:val="1E1E1E"/>
          <w:shd w:val="clear" w:color="auto" w:fill="F5F5F5"/>
        </w:rPr>
      </w:pPr>
    </w:p>
    <w:p w14:paraId="5C9F5693" w14:textId="77777777" w:rsidR="0099125F" w:rsidRPr="0099125F" w:rsidRDefault="0099125F" w:rsidP="0099125F">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rPr>
      </w:pPr>
      <w:r w:rsidRPr="0099125F">
        <w:rPr>
          <w:rFonts w:ascii="Segoe UI" w:eastAsia="Times New Roman" w:hAnsi="Segoe UI" w:cs="Segoe UI"/>
          <w:b/>
          <w:bCs/>
          <w:color w:val="333333"/>
          <w:sz w:val="36"/>
          <w:szCs w:val="36"/>
        </w:rPr>
        <w:t>Product Rules for All Occasions</w:t>
      </w:r>
    </w:p>
    <w:p w14:paraId="67C935DE" w14:textId="77777777" w:rsidR="0099125F" w:rsidRPr="0099125F" w:rsidRDefault="0099125F" w:rsidP="0099125F">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99125F">
        <w:rPr>
          <w:rFonts w:ascii="Segoe UI" w:eastAsia="Times New Roman" w:hAnsi="Segoe UI" w:cs="Segoe UI"/>
          <w:color w:val="1E1E1E"/>
          <w:sz w:val="24"/>
          <w:szCs w:val="24"/>
        </w:rPr>
        <w:t>Product rules come in four flavors. Let’s look at the different types and the different ways you can use them to help your sales reps.</w:t>
      </w:r>
    </w:p>
    <w:tbl>
      <w:tblPr>
        <w:tblW w:w="0" w:type="auto"/>
        <w:shd w:val="clear" w:color="auto" w:fill="F5F5F5"/>
        <w:tblCellMar>
          <w:top w:w="15" w:type="dxa"/>
          <w:left w:w="15" w:type="dxa"/>
          <w:bottom w:w="15" w:type="dxa"/>
          <w:right w:w="15" w:type="dxa"/>
        </w:tblCellMar>
        <w:tblLook w:val="04A0" w:firstRow="1" w:lastRow="0" w:firstColumn="1" w:lastColumn="0" w:noHBand="0" w:noVBand="1"/>
      </w:tblPr>
      <w:tblGrid>
        <w:gridCol w:w="1097"/>
        <w:gridCol w:w="3984"/>
        <w:gridCol w:w="4263"/>
      </w:tblGrid>
      <w:tr w:rsidR="0099125F" w:rsidRPr="0099125F" w14:paraId="6F96D3E6" w14:textId="77777777" w:rsidTr="0099125F">
        <w:trPr>
          <w:tblHeader/>
        </w:trPr>
        <w:tc>
          <w:tcPr>
            <w:tcW w:w="0" w:type="auto"/>
            <w:tcBorders>
              <w:top w:val="single" w:sz="6" w:space="0" w:color="E2E2E2"/>
              <w:left w:val="single" w:sz="6" w:space="0" w:color="E2E2E2"/>
              <w:bottom w:val="single" w:sz="24" w:space="0" w:color="E2E2E2"/>
              <w:right w:val="single" w:sz="6" w:space="0" w:color="E2E2E2"/>
            </w:tcBorders>
            <w:shd w:val="clear" w:color="auto" w:fill="FFFFFF"/>
            <w:vAlign w:val="center"/>
            <w:hideMark/>
          </w:tcPr>
          <w:p w14:paraId="2D247824" w14:textId="77777777" w:rsidR="0099125F" w:rsidRPr="0099125F" w:rsidRDefault="0099125F" w:rsidP="0099125F">
            <w:pPr>
              <w:spacing w:after="0" w:line="240" w:lineRule="auto"/>
              <w:rPr>
                <w:rFonts w:ascii="Segoe UI" w:eastAsia="Times New Roman" w:hAnsi="Segoe UI" w:cs="Segoe UI"/>
                <w:b/>
                <w:bCs/>
                <w:color w:val="1E1E1C"/>
                <w:sz w:val="24"/>
                <w:szCs w:val="24"/>
              </w:rPr>
            </w:pPr>
            <w:r w:rsidRPr="0099125F">
              <w:rPr>
                <w:rFonts w:ascii="Segoe UI" w:eastAsia="Times New Roman" w:hAnsi="Segoe UI" w:cs="Segoe UI"/>
                <w:b/>
                <w:bCs/>
                <w:color w:val="1E1E1C"/>
                <w:sz w:val="24"/>
                <w:szCs w:val="24"/>
              </w:rPr>
              <w:t>Type</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6B21C588" w14:textId="77777777" w:rsidR="0099125F" w:rsidRPr="0099125F" w:rsidRDefault="0099125F" w:rsidP="0099125F">
            <w:pPr>
              <w:spacing w:after="0" w:line="240" w:lineRule="auto"/>
              <w:rPr>
                <w:rFonts w:ascii="Segoe UI" w:eastAsia="Times New Roman" w:hAnsi="Segoe UI" w:cs="Segoe UI"/>
                <w:b/>
                <w:bCs/>
                <w:color w:val="1E1E1C"/>
                <w:sz w:val="24"/>
                <w:szCs w:val="24"/>
              </w:rPr>
            </w:pPr>
            <w:r w:rsidRPr="0099125F">
              <w:rPr>
                <w:rFonts w:ascii="Segoe UI" w:eastAsia="Times New Roman" w:hAnsi="Segoe UI" w:cs="Segoe UI"/>
                <w:b/>
                <w:bCs/>
                <w:color w:val="1E1E1C"/>
                <w:sz w:val="24"/>
                <w:szCs w:val="24"/>
              </w:rPr>
              <w:t>Purpose</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09A3E50D" w14:textId="77777777" w:rsidR="0099125F" w:rsidRPr="0099125F" w:rsidRDefault="0099125F" w:rsidP="0099125F">
            <w:pPr>
              <w:spacing w:after="0" w:line="240" w:lineRule="auto"/>
              <w:rPr>
                <w:rFonts w:ascii="Segoe UI" w:eastAsia="Times New Roman" w:hAnsi="Segoe UI" w:cs="Segoe UI"/>
                <w:b/>
                <w:bCs/>
                <w:color w:val="1E1E1C"/>
                <w:sz w:val="24"/>
                <w:szCs w:val="24"/>
              </w:rPr>
            </w:pPr>
            <w:r w:rsidRPr="0099125F">
              <w:rPr>
                <w:rFonts w:ascii="Segoe UI" w:eastAsia="Times New Roman" w:hAnsi="Segoe UI" w:cs="Segoe UI"/>
                <w:b/>
                <w:bCs/>
                <w:color w:val="1E1E1C"/>
                <w:sz w:val="24"/>
                <w:szCs w:val="24"/>
              </w:rPr>
              <w:t>Example</w:t>
            </w:r>
          </w:p>
        </w:tc>
      </w:tr>
      <w:tr w:rsidR="0099125F" w:rsidRPr="0099125F" w14:paraId="6BD753E1" w14:textId="77777777" w:rsidTr="0099125F">
        <w:tc>
          <w:tcPr>
            <w:tcW w:w="0" w:type="auto"/>
            <w:tcBorders>
              <w:left w:val="single" w:sz="6" w:space="0" w:color="DEDEDE"/>
              <w:bottom w:val="single" w:sz="6" w:space="0" w:color="DEDEDE"/>
              <w:right w:val="single" w:sz="6" w:space="0" w:color="DEDEDE"/>
            </w:tcBorders>
            <w:shd w:val="clear" w:color="auto" w:fill="FFFFFF"/>
            <w:hideMark/>
          </w:tcPr>
          <w:p w14:paraId="084C16E5" w14:textId="77777777" w:rsidR="0099125F" w:rsidRPr="0099125F" w:rsidRDefault="0099125F" w:rsidP="0099125F">
            <w:pPr>
              <w:spacing w:after="0" w:line="240" w:lineRule="auto"/>
              <w:rPr>
                <w:rFonts w:ascii="Segoe UI" w:eastAsia="Times New Roman" w:hAnsi="Segoe UI" w:cs="Segoe UI"/>
                <w:color w:val="1E1E1C"/>
                <w:sz w:val="24"/>
                <w:szCs w:val="24"/>
              </w:rPr>
            </w:pPr>
            <w:r w:rsidRPr="0099125F">
              <w:rPr>
                <w:rFonts w:ascii="Segoe UI" w:eastAsia="Times New Roman" w:hAnsi="Segoe UI" w:cs="Segoe UI"/>
                <w:color w:val="1E1E1C"/>
                <w:sz w:val="24"/>
                <w:szCs w:val="24"/>
              </w:rPr>
              <w:t>Alert</w:t>
            </w:r>
          </w:p>
        </w:tc>
        <w:tc>
          <w:tcPr>
            <w:tcW w:w="0" w:type="auto"/>
            <w:tcBorders>
              <w:bottom w:val="single" w:sz="6" w:space="0" w:color="DEDEDE"/>
              <w:right w:val="single" w:sz="6" w:space="0" w:color="DEDEDE"/>
            </w:tcBorders>
            <w:shd w:val="clear" w:color="auto" w:fill="FFFFFF"/>
            <w:hideMark/>
          </w:tcPr>
          <w:p w14:paraId="6A16F7E0" w14:textId="51BD4826" w:rsidR="0099125F" w:rsidRPr="0099125F" w:rsidRDefault="0099125F" w:rsidP="0099125F">
            <w:pPr>
              <w:spacing w:after="0" w:line="240" w:lineRule="auto"/>
              <w:rPr>
                <w:rFonts w:ascii="Segoe UI" w:eastAsia="Times New Roman" w:hAnsi="Segoe UI" w:cs="Segoe UI"/>
                <w:color w:val="1E1E1C"/>
                <w:sz w:val="24"/>
                <w:szCs w:val="24"/>
              </w:rPr>
            </w:pPr>
            <w:r w:rsidRPr="0099125F">
              <w:rPr>
                <w:rFonts w:ascii="Segoe UI" w:eastAsia="Times New Roman" w:hAnsi="Segoe UI" w:cs="Segoe UI"/>
                <w:color w:val="1E1E1C"/>
                <w:sz w:val="24"/>
                <w:szCs w:val="24"/>
              </w:rPr>
              <w:t xml:space="preserve">Shows a message to your sales reps about a potential </w:t>
            </w:r>
            <w:r w:rsidRPr="0099125F">
              <w:rPr>
                <w:rFonts w:ascii="Segoe UI" w:eastAsia="Times New Roman" w:hAnsi="Segoe UI" w:cs="Segoe UI"/>
                <w:color w:val="1E1E1C"/>
                <w:sz w:val="24"/>
                <w:szCs w:val="24"/>
              </w:rPr>
              <w:t>issue but</w:t>
            </w:r>
            <w:r w:rsidRPr="0099125F">
              <w:rPr>
                <w:rFonts w:ascii="Segoe UI" w:eastAsia="Times New Roman" w:hAnsi="Segoe UI" w:cs="Segoe UI"/>
                <w:color w:val="1E1E1C"/>
                <w:sz w:val="24"/>
                <w:szCs w:val="24"/>
              </w:rPr>
              <w:t xml:space="preserve"> allows them to ignore it.</w:t>
            </w:r>
          </w:p>
        </w:tc>
        <w:tc>
          <w:tcPr>
            <w:tcW w:w="0" w:type="auto"/>
            <w:tcBorders>
              <w:bottom w:val="single" w:sz="6" w:space="0" w:color="DEDEDE"/>
              <w:right w:val="single" w:sz="6" w:space="0" w:color="DEDEDE"/>
            </w:tcBorders>
            <w:shd w:val="clear" w:color="auto" w:fill="FFFFFF"/>
            <w:hideMark/>
          </w:tcPr>
          <w:p w14:paraId="0E303E6B" w14:textId="77777777" w:rsidR="0099125F" w:rsidRPr="0099125F" w:rsidRDefault="0099125F" w:rsidP="0099125F">
            <w:pPr>
              <w:spacing w:after="0" w:line="240" w:lineRule="auto"/>
              <w:rPr>
                <w:rFonts w:ascii="Segoe UI" w:eastAsia="Times New Roman" w:hAnsi="Segoe UI" w:cs="Segoe UI"/>
                <w:color w:val="1E1E1C"/>
                <w:sz w:val="24"/>
                <w:szCs w:val="24"/>
              </w:rPr>
            </w:pPr>
            <w:r w:rsidRPr="0099125F">
              <w:rPr>
                <w:rFonts w:ascii="Segoe UI" w:eastAsia="Times New Roman" w:hAnsi="Segoe UI" w:cs="Segoe UI"/>
                <w:color w:val="1E1E1C"/>
                <w:sz w:val="24"/>
                <w:szCs w:val="24"/>
              </w:rPr>
              <w:t>Reminds sales reps of an upsell opportunity when they add a specific product to the quote.</w:t>
            </w:r>
          </w:p>
        </w:tc>
      </w:tr>
      <w:tr w:rsidR="0099125F" w:rsidRPr="0099125F" w14:paraId="256824DB" w14:textId="77777777" w:rsidTr="0099125F">
        <w:tc>
          <w:tcPr>
            <w:tcW w:w="0" w:type="auto"/>
            <w:tcBorders>
              <w:left w:val="single" w:sz="6" w:space="0" w:color="DEDEDE"/>
              <w:bottom w:val="single" w:sz="6" w:space="0" w:color="DEDEDE"/>
              <w:right w:val="single" w:sz="6" w:space="0" w:color="DEDEDE"/>
            </w:tcBorders>
            <w:shd w:val="clear" w:color="auto" w:fill="FFFFFF"/>
            <w:hideMark/>
          </w:tcPr>
          <w:p w14:paraId="3EB9C3BE" w14:textId="77777777" w:rsidR="0099125F" w:rsidRPr="0099125F" w:rsidRDefault="0099125F" w:rsidP="0099125F">
            <w:pPr>
              <w:spacing w:after="0" w:line="240" w:lineRule="auto"/>
              <w:rPr>
                <w:rFonts w:ascii="Segoe UI" w:eastAsia="Times New Roman" w:hAnsi="Segoe UI" w:cs="Segoe UI"/>
                <w:color w:val="1E1E1C"/>
                <w:sz w:val="24"/>
                <w:szCs w:val="24"/>
              </w:rPr>
            </w:pPr>
            <w:r w:rsidRPr="0099125F">
              <w:rPr>
                <w:rFonts w:ascii="Segoe UI" w:eastAsia="Times New Roman" w:hAnsi="Segoe UI" w:cs="Segoe UI"/>
                <w:color w:val="1E1E1C"/>
                <w:sz w:val="24"/>
                <w:szCs w:val="24"/>
              </w:rPr>
              <w:t>Validation</w:t>
            </w:r>
          </w:p>
        </w:tc>
        <w:tc>
          <w:tcPr>
            <w:tcW w:w="0" w:type="auto"/>
            <w:tcBorders>
              <w:bottom w:val="single" w:sz="6" w:space="0" w:color="DEDEDE"/>
              <w:right w:val="single" w:sz="6" w:space="0" w:color="DEDEDE"/>
            </w:tcBorders>
            <w:shd w:val="clear" w:color="auto" w:fill="FFFFFF"/>
            <w:hideMark/>
          </w:tcPr>
          <w:p w14:paraId="7797242A" w14:textId="77777777" w:rsidR="0099125F" w:rsidRPr="0099125F" w:rsidRDefault="0099125F" w:rsidP="0099125F">
            <w:pPr>
              <w:spacing w:after="0" w:line="240" w:lineRule="auto"/>
              <w:rPr>
                <w:rFonts w:ascii="Segoe UI" w:eastAsia="Times New Roman" w:hAnsi="Segoe UI" w:cs="Segoe UI"/>
                <w:color w:val="1E1E1C"/>
                <w:sz w:val="24"/>
                <w:szCs w:val="24"/>
              </w:rPr>
            </w:pPr>
            <w:r w:rsidRPr="0099125F">
              <w:rPr>
                <w:rFonts w:ascii="Segoe UI" w:eastAsia="Times New Roman" w:hAnsi="Segoe UI" w:cs="Segoe UI"/>
                <w:color w:val="1E1E1C"/>
                <w:sz w:val="24"/>
                <w:szCs w:val="24"/>
              </w:rPr>
              <w:t>Shows a message to your sales reps about a problem they must fix before they’re allowed to save the configuration or quote.</w:t>
            </w:r>
          </w:p>
        </w:tc>
        <w:tc>
          <w:tcPr>
            <w:tcW w:w="0" w:type="auto"/>
            <w:tcBorders>
              <w:bottom w:val="single" w:sz="6" w:space="0" w:color="DEDEDE"/>
              <w:right w:val="single" w:sz="6" w:space="0" w:color="DEDEDE"/>
            </w:tcBorders>
            <w:shd w:val="clear" w:color="auto" w:fill="FFFFFF"/>
            <w:hideMark/>
          </w:tcPr>
          <w:p w14:paraId="7C535EC8" w14:textId="593A8538" w:rsidR="0099125F" w:rsidRPr="0099125F" w:rsidRDefault="0099125F" w:rsidP="0099125F">
            <w:pPr>
              <w:spacing w:after="0" w:line="240" w:lineRule="auto"/>
              <w:rPr>
                <w:rFonts w:ascii="Segoe UI" w:eastAsia="Times New Roman" w:hAnsi="Segoe UI" w:cs="Segoe UI"/>
                <w:color w:val="1E1E1C"/>
                <w:sz w:val="24"/>
                <w:szCs w:val="24"/>
              </w:rPr>
            </w:pPr>
            <w:r w:rsidRPr="0099125F">
              <w:rPr>
                <w:rFonts w:ascii="Segoe UI" w:eastAsia="Times New Roman" w:hAnsi="Segoe UI" w:cs="Segoe UI"/>
                <w:color w:val="1E1E1C"/>
                <w:sz w:val="24"/>
                <w:szCs w:val="24"/>
              </w:rPr>
              <w:t xml:space="preserve">Tells sales reps they’ve selected the wrong toner for the printer they’re trying to </w:t>
            </w:r>
            <w:r w:rsidRPr="0099125F">
              <w:rPr>
                <w:rFonts w:ascii="Segoe UI" w:eastAsia="Times New Roman" w:hAnsi="Segoe UI" w:cs="Segoe UI"/>
                <w:color w:val="1E1E1C"/>
                <w:sz w:val="24"/>
                <w:szCs w:val="24"/>
              </w:rPr>
              <w:t>add and</w:t>
            </w:r>
            <w:r w:rsidRPr="0099125F">
              <w:rPr>
                <w:rFonts w:ascii="Segoe UI" w:eastAsia="Times New Roman" w:hAnsi="Segoe UI" w:cs="Segoe UI"/>
                <w:color w:val="1E1E1C"/>
                <w:sz w:val="24"/>
                <w:szCs w:val="24"/>
              </w:rPr>
              <w:t xml:space="preserve"> stops them from saving the illegal configuration.</w:t>
            </w:r>
          </w:p>
        </w:tc>
      </w:tr>
      <w:tr w:rsidR="0099125F" w:rsidRPr="0099125F" w14:paraId="0DCFA208" w14:textId="77777777" w:rsidTr="0099125F">
        <w:tc>
          <w:tcPr>
            <w:tcW w:w="0" w:type="auto"/>
            <w:tcBorders>
              <w:left w:val="single" w:sz="6" w:space="0" w:color="DEDEDE"/>
              <w:bottom w:val="single" w:sz="6" w:space="0" w:color="DEDEDE"/>
              <w:right w:val="single" w:sz="6" w:space="0" w:color="DEDEDE"/>
            </w:tcBorders>
            <w:shd w:val="clear" w:color="auto" w:fill="FFFFFF"/>
            <w:hideMark/>
          </w:tcPr>
          <w:p w14:paraId="275AA553" w14:textId="77777777" w:rsidR="0099125F" w:rsidRPr="0099125F" w:rsidRDefault="0099125F" w:rsidP="0099125F">
            <w:pPr>
              <w:spacing w:after="0" w:line="240" w:lineRule="auto"/>
              <w:rPr>
                <w:rFonts w:ascii="Segoe UI" w:eastAsia="Times New Roman" w:hAnsi="Segoe UI" w:cs="Segoe UI"/>
                <w:color w:val="1E1E1C"/>
                <w:sz w:val="24"/>
                <w:szCs w:val="24"/>
              </w:rPr>
            </w:pPr>
            <w:r w:rsidRPr="0099125F">
              <w:rPr>
                <w:rFonts w:ascii="Segoe UI" w:eastAsia="Times New Roman" w:hAnsi="Segoe UI" w:cs="Segoe UI"/>
                <w:color w:val="1E1E1C"/>
                <w:sz w:val="24"/>
                <w:szCs w:val="24"/>
              </w:rPr>
              <w:t>Selection</w:t>
            </w:r>
          </w:p>
        </w:tc>
        <w:tc>
          <w:tcPr>
            <w:tcW w:w="0" w:type="auto"/>
            <w:tcBorders>
              <w:bottom w:val="single" w:sz="6" w:space="0" w:color="DEDEDE"/>
              <w:right w:val="single" w:sz="6" w:space="0" w:color="DEDEDE"/>
            </w:tcBorders>
            <w:shd w:val="clear" w:color="auto" w:fill="FFFFFF"/>
            <w:hideMark/>
          </w:tcPr>
          <w:p w14:paraId="5B852ABB" w14:textId="77777777" w:rsidR="0099125F" w:rsidRPr="0099125F" w:rsidRDefault="0099125F" w:rsidP="0099125F">
            <w:pPr>
              <w:spacing w:after="0" w:line="240" w:lineRule="auto"/>
              <w:rPr>
                <w:rFonts w:ascii="Segoe UI" w:eastAsia="Times New Roman" w:hAnsi="Segoe UI" w:cs="Segoe UI"/>
                <w:color w:val="1E1E1C"/>
                <w:sz w:val="24"/>
                <w:szCs w:val="24"/>
              </w:rPr>
            </w:pPr>
            <w:r w:rsidRPr="0099125F">
              <w:rPr>
                <w:rFonts w:ascii="Segoe UI" w:eastAsia="Times New Roman" w:hAnsi="Segoe UI" w:cs="Segoe UI"/>
                <w:color w:val="1E1E1C"/>
                <w:sz w:val="24"/>
                <w:szCs w:val="24"/>
              </w:rPr>
              <w:t>Automatically adds, removes, or hides products during bundle configuration. Also, automatically adds products to a quote.</w:t>
            </w:r>
          </w:p>
        </w:tc>
        <w:tc>
          <w:tcPr>
            <w:tcW w:w="0" w:type="auto"/>
            <w:tcBorders>
              <w:bottom w:val="single" w:sz="6" w:space="0" w:color="DEDEDE"/>
              <w:right w:val="single" w:sz="6" w:space="0" w:color="DEDEDE"/>
            </w:tcBorders>
            <w:shd w:val="clear" w:color="auto" w:fill="FFFFFF"/>
            <w:hideMark/>
          </w:tcPr>
          <w:p w14:paraId="1EC53003" w14:textId="77777777" w:rsidR="0099125F" w:rsidRPr="0099125F" w:rsidRDefault="0099125F" w:rsidP="0099125F">
            <w:pPr>
              <w:spacing w:after="0" w:line="240" w:lineRule="auto"/>
              <w:rPr>
                <w:rFonts w:ascii="Segoe UI" w:eastAsia="Times New Roman" w:hAnsi="Segoe UI" w:cs="Segoe UI"/>
                <w:color w:val="1E1E1C"/>
                <w:sz w:val="24"/>
                <w:szCs w:val="24"/>
              </w:rPr>
            </w:pPr>
            <w:r w:rsidRPr="0099125F">
              <w:rPr>
                <w:rFonts w:ascii="Segoe UI" w:eastAsia="Times New Roman" w:hAnsi="Segoe UI" w:cs="Segoe UI"/>
                <w:color w:val="1E1E1C"/>
                <w:sz w:val="24"/>
                <w:szCs w:val="24"/>
              </w:rPr>
              <w:t>Pre-checks options in a bundle based on the account’s industry type; unchecks and hides options known to be incompatible.</w:t>
            </w:r>
          </w:p>
        </w:tc>
      </w:tr>
      <w:tr w:rsidR="0099125F" w:rsidRPr="0099125F" w14:paraId="15290948" w14:textId="77777777" w:rsidTr="0099125F">
        <w:tc>
          <w:tcPr>
            <w:tcW w:w="0" w:type="auto"/>
            <w:tcBorders>
              <w:left w:val="single" w:sz="6" w:space="0" w:color="DEDEDE"/>
              <w:bottom w:val="single" w:sz="6" w:space="0" w:color="DEDEDE"/>
              <w:right w:val="single" w:sz="6" w:space="0" w:color="DEDEDE"/>
            </w:tcBorders>
            <w:shd w:val="clear" w:color="auto" w:fill="FFFFFF"/>
            <w:hideMark/>
          </w:tcPr>
          <w:p w14:paraId="7187D68F" w14:textId="77777777" w:rsidR="0099125F" w:rsidRPr="0099125F" w:rsidRDefault="0099125F" w:rsidP="0099125F">
            <w:pPr>
              <w:spacing w:after="0" w:line="240" w:lineRule="auto"/>
              <w:rPr>
                <w:rFonts w:ascii="Segoe UI" w:eastAsia="Times New Roman" w:hAnsi="Segoe UI" w:cs="Segoe UI"/>
                <w:color w:val="1E1E1C"/>
                <w:sz w:val="24"/>
                <w:szCs w:val="24"/>
              </w:rPr>
            </w:pPr>
            <w:r w:rsidRPr="0099125F">
              <w:rPr>
                <w:rFonts w:ascii="Segoe UI" w:eastAsia="Times New Roman" w:hAnsi="Segoe UI" w:cs="Segoe UI"/>
                <w:color w:val="1E1E1C"/>
                <w:sz w:val="24"/>
                <w:szCs w:val="24"/>
              </w:rPr>
              <w:t>Filter</w:t>
            </w:r>
          </w:p>
        </w:tc>
        <w:tc>
          <w:tcPr>
            <w:tcW w:w="0" w:type="auto"/>
            <w:tcBorders>
              <w:bottom w:val="single" w:sz="6" w:space="0" w:color="DEDEDE"/>
              <w:right w:val="single" w:sz="6" w:space="0" w:color="DEDEDE"/>
            </w:tcBorders>
            <w:shd w:val="clear" w:color="auto" w:fill="FFFFFF"/>
            <w:hideMark/>
          </w:tcPr>
          <w:p w14:paraId="033F1AFF" w14:textId="77777777" w:rsidR="0099125F" w:rsidRPr="0099125F" w:rsidRDefault="0099125F" w:rsidP="0099125F">
            <w:pPr>
              <w:spacing w:after="0" w:line="240" w:lineRule="auto"/>
              <w:rPr>
                <w:rFonts w:ascii="Segoe UI" w:eastAsia="Times New Roman" w:hAnsi="Segoe UI" w:cs="Segoe UI"/>
                <w:color w:val="1E1E1C"/>
                <w:sz w:val="24"/>
                <w:szCs w:val="24"/>
              </w:rPr>
            </w:pPr>
            <w:r w:rsidRPr="0099125F">
              <w:rPr>
                <w:rFonts w:ascii="Segoe UI" w:eastAsia="Times New Roman" w:hAnsi="Segoe UI" w:cs="Segoe UI"/>
                <w:color w:val="1E1E1C"/>
                <w:sz w:val="24"/>
                <w:szCs w:val="24"/>
              </w:rPr>
              <w:t>Shows only specific products in a feature that uses the Dynamic selection option.</w:t>
            </w:r>
          </w:p>
        </w:tc>
        <w:tc>
          <w:tcPr>
            <w:tcW w:w="0" w:type="auto"/>
            <w:tcBorders>
              <w:bottom w:val="single" w:sz="6" w:space="0" w:color="DEDEDE"/>
              <w:right w:val="single" w:sz="6" w:space="0" w:color="DEDEDE"/>
            </w:tcBorders>
            <w:shd w:val="clear" w:color="auto" w:fill="FFFFFF"/>
            <w:hideMark/>
          </w:tcPr>
          <w:p w14:paraId="26FB639B" w14:textId="77777777" w:rsidR="0099125F" w:rsidRPr="0099125F" w:rsidRDefault="0099125F" w:rsidP="0099125F">
            <w:pPr>
              <w:spacing w:after="0" w:line="240" w:lineRule="auto"/>
              <w:rPr>
                <w:rFonts w:ascii="Segoe UI" w:eastAsia="Times New Roman" w:hAnsi="Segoe UI" w:cs="Segoe UI"/>
                <w:color w:val="1E1E1C"/>
                <w:sz w:val="24"/>
                <w:szCs w:val="24"/>
              </w:rPr>
            </w:pPr>
            <w:r w:rsidRPr="0099125F">
              <w:rPr>
                <w:rFonts w:ascii="Segoe UI" w:eastAsia="Times New Roman" w:hAnsi="Segoe UI" w:cs="Segoe UI"/>
                <w:color w:val="1E1E1C"/>
                <w:sz w:val="24"/>
                <w:szCs w:val="24"/>
              </w:rPr>
              <w:t>Lists only products with a product code that contains the letters “cable” in a mini product selection page.</w:t>
            </w:r>
          </w:p>
        </w:tc>
      </w:tr>
    </w:tbl>
    <w:p w14:paraId="4CAAE1B7" w14:textId="35159A0C" w:rsidR="0099125F" w:rsidRDefault="0099125F"/>
    <w:p w14:paraId="6346AE94" w14:textId="77777777" w:rsidR="0099125F" w:rsidRDefault="0099125F" w:rsidP="0099125F">
      <w:pPr>
        <w:pStyle w:val="NormalWeb"/>
        <w:shd w:val="clear" w:color="auto" w:fill="F5F5F5"/>
        <w:rPr>
          <w:rFonts w:ascii="Segoe UI" w:hAnsi="Segoe UI" w:cs="Segoe UI"/>
          <w:color w:val="1E1E1E"/>
        </w:rPr>
      </w:pPr>
      <w:r>
        <w:rPr>
          <w:rFonts w:ascii="Segoe UI" w:hAnsi="Segoe UI" w:cs="Segoe UI"/>
          <w:color w:val="1E1E1E"/>
        </w:rPr>
        <w:t>When CPQ admins talk about product rules, they usually abbreviate the name of the rule. For example, they frequently shorten “validation product rule” to just “validation rule.” It’s OK to call it that. Just remember that it’s really a product rule of a certain type, and you go to the same tab in Salesforce to create all types of product rules.</w:t>
      </w:r>
    </w:p>
    <w:p w14:paraId="29A45702" w14:textId="77777777" w:rsidR="0099125F" w:rsidRDefault="0099125F" w:rsidP="0099125F">
      <w:pPr>
        <w:pStyle w:val="Heading2"/>
        <w:shd w:val="clear" w:color="auto" w:fill="F5F5F5"/>
        <w:rPr>
          <w:rFonts w:ascii="Segoe UI" w:hAnsi="Segoe UI" w:cs="Segoe UI"/>
          <w:color w:val="333333"/>
        </w:rPr>
      </w:pPr>
      <w:r>
        <w:rPr>
          <w:rFonts w:ascii="Segoe UI" w:hAnsi="Segoe UI" w:cs="Segoe UI"/>
          <w:color w:val="333333"/>
        </w:rPr>
        <w:t>Product Rules Are a Team Effort</w:t>
      </w:r>
    </w:p>
    <w:p w14:paraId="20AAA924" w14:textId="77777777" w:rsidR="0099125F" w:rsidRDefault="0099125F" w:rsidP="0099125F">
      <w:pPr>
        <w:pStyle w:val="NormalWeb"/>
        <w:shd w:val="clear" w:color="auto" w:fill="F5F5F5"/>
        <w:rPr>
          <w:rFonts w:ascii="Segoe UI" w:hAnsi="Segoe UI" w:cs="Segoe UI"/>
          <w:color w:val="1E1E1E"/>
        </w:rPr>
      </w:pPr>
      <w:r>
        <w:rPr>
          <w:rFonts w:ascii="Segoe UI" w:hAnsi="Segoe UI" w:cs="Segoe UI"/>
          <w:color w:val="1E1E1E"/>
        </w:rPr>
        <w:t xml:space="preserve">CPQ administration usually requires you to create or update records of some sort, often across multiple objects. Product rules are no different. Each object related to product </w:t>
      </w:r>
      <w:r>
        <w:rPr>
          <w:rFonts w:ascii="Segoe UI" w:hAnsi="Segoe UI" w:cs="Segoe UI"/>
          <w:color w:val="1E1E1E"/>
        </w:rPr>
        <w:lastRenderedPageBreak/>
        <w:t>rules has a specific role to play in the show we call “Quote the Right Thing.” Let’s meet the cast of characters, starting with our star performer.</w:t>
      </w:r>
    </w:p>
    <w:p w14:paraId="4E279382" w14:textId="77777777" w:rsidR="0099125F" w:rsidRDefault="0099125F" w:rsidP="0099125F">
      <w:pPr>
        <w:pStyle w:val="NormalWeb"/>
        <w:shd w:val="clear" w:color="auto" w:fill="F5F5F5"/>
        <w:rPr>
          <w:rFonts w:ascii="Segoe UI" w:hAnsi="Segoe UI" w:cs="Segoe UI"/>
          <w:color w:val="1E1E1E"/>
        </w:rPr>
      </w:pPr>
      <w:r>
        <w:rPr>
          <w:rStyle w:val="Strong"/>
          <w:rFonts w:ascii="Segoe UI" w:hAnsi="Segoe UI" w:cs="Segoe UI"/>
          <w:color w:val="1E1E1E"/>
        </w:rPr>
        <w:t>Product Rule</w:t>
      </w:r>
    </w:p>
    <w:p w14:paraId="5F52BC5D" w14:textId="77777777" w:rsidR="0099125F" w:rsidRDefault="0099125F" w:rsidP="0099125F">
      <w:pPr>
        <w:pStyle w:val="NormalWeb"/>
        <w:shd w:val="clear" w:color="auto" w:fill="F5F5F5"/>
        <w:rPr>
          <w:rFonts w:ascii="Segoe UI" w:hAnsi="Segoe UI" w:cs="Segoe UI"/>
          <w:color w:val="1E1E1E"/>
        </w:rPr>
      </w:pPr>
      <w:r>
        <w:rPr>
          <w:rFonts w:ascii="Segoe UI" w:hAnsi="Segoe UI" w:cs="Segoe UI"/>
          <w:color w:val="1E1E1E"/>
        </w:rPr>
        <w:t>The phrase </w:t>
      </w:r>
      <w:r>
        <w:rPr>
          <w:rStyle w:val="Emphasis"/>
          <w:rFonts w:ascii="Segoe UI" w:hAnsi="Segoe UI" w:cs="Segoe UI"/>
          <w:color w:val="1E1E1E"/>
        </w:rPr>
        <w:t>product rule</w:t>
      </w:r>
      <w:r>
        <w:rPr>
          <w:rFonts w:ascii="Segoe UI" w:hAnsi="Segoe UI" w:cs="Segoe UI"/>
          <w:color w:val="1E1E1E"/>
        </w:rPr>
        <w:t> has two meanings. First, it’s meant to describe the concept of business logic that helps sales reps get the right products onto the quote. Second, it refers to the actual object named product rule.</w:t>
      </w:r>
    </w:p>
    <w:p w14:paraId="04112956" w14:textId="77777777" w:rsidR="0099125F" w:rsidRDefault="0099125F" w:rsidP="0099125F">
      <w:pPr>
        <w:pStyle w:val="NormalWeb"/>
        <w:shd w:val="clear" w:color="auto" w:fill="F5F5F5"/>
        <w:rPr>
          <w:rFonts w:ascii="Segoe UI" w:hAnsi="Segoe UI" w:cs="Segoe UI"/>
          <w:color w:val="1E1E1E"/>
        </w:rPr>
      </w:pPr>
      <w:r>
        <w:rPr>
          <w:rFonts w:ascii="Segoe UI" w:hAnsi="Segoe UI" w:cs="Segoe UI"/>
          <w:color w:val="1E1E1E"/>
        </w:rPr>
        <w:t>A product rule record has a few details about how the rule should behave, but mainly it acts as a container, or point of contact for any records on other objects related to the rule. There are four other objects that look up to it. A product rule can technically work without related records, but it won’t do much. To really make the best of product rules, you must include at least one of the other (following) related objects.</w:t>
      </w:r>
    </w:p>
    <w:p w14:paraId="216B6AC9" w14:textId="7AA00699" w:rsidR="0099125F" w:rsidRDefault="0099125F" w:rsidP="0099125F">
      <w:pPr>
        <w:pStyle w:val="NormalWeb"/>
        <w:shd w:val="clear" w:color="auto" w:fill="F5F5F5"/>
        <w:rPr>
          <w:rFonts w:ascii="Segoe UI" w:hAnsi="Segoe UI" w:cs="Segoe UI"/>
          <w:color w:val="1E1E1E"/>
        </w:rPr>
      </w:pPr>
      <w:r>
        <w:rPr>
          <w:rFonts w:ascii="Segoe UI" w:hAnsi="Segoe UI" w:cs="Segoe UI"/>
          <w:noProof/>
          <w:color w:val="1E1E1E"/>
        </w:rPr>
        <w:drawing>
          <wp:inline distT="0" distB="0" distL="0" distR="0" wp14:anchorId="40182C43" wp14:editId="1A20E28D">
            <wp:extent cx="2324100" cy="2444750"/>
            <wp:effectExtent l="0" t="0" r="0" b="0"/>
            <wp:docPr id="3" name="Picture 3" descr="Diagram of relationships related to product r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relationships related to product rul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24100" cy="2444750"/>
                    </a:xfrm>
                    <a:prstGeom prst="rect">
                      <a:avLst/>
                    </a:prstGeom>
                    <a:noFill/>
                    <a:ln>
                      <a:noFill/>
                    </a:ln>
                  </pic:spPr>
                </pic:pic>
              </a:graphicData>
            </a:graphic>
          </wp:inline>
        </w:drawing>
      </w:r>
    </w:p>
    <w:p w14:paraId="30EC70BF" w14:textId="77777777" w:rsidR="0099125F" w:rsidRDefault="0099125F" w:rsidP="0099125F">
      <w:pPr>
        <w:pStyle w:val="NormalWeb"/>
        <w:shd w:val="clear" w:color="auto" w:fill="F5F5F5"/>
        <w:rPr>
          <w:rFonts w:ascii="Segoe UI" w:hAnsi="Segoe UI" w:cs="Segoe UI"/>
          <w:color w:val="1E1E1E"/>
        </w:rPr>
      </w:pPr>
      <w:r>
        <w:rPr>
          <w:rStyle w:val="Strong"/>
          <w:rFonts w:ascii="Segoe UI" w:hAnsi="Segoe UI" w:cs="Segoe UI"/>
          <w:color w:val="1E1E1E"/>
        </w:rPr>
        <w:t>Error Condition</w:t>
      </w:r>
    </w:p>
    <w:p w14:paraId="79AE0D0D" w14:textId="77777777" w:rsidR="0099125F" w:rsidRDefault="0099125F" w:rsidP="0099125F">
      <w:pPr>
        <w:pStyle w:val="NormalWeb"/>
        <w:shd w:val="clear" w:color="auto" w:fill="F5F5F5"/>
        <w:rPr>
          <w:rFonts w:ascii="Segoe UI" w:hAnsi="Segoe UI" w:cs="Segoe UI"/>
          <w:color w:val="1E1E1E"/>
        </w:rPr>
      </w:pPr>
      <w:r>
        <w:rPr>
          <w:rFonts w:ascii="Segoe UI" w:hAnsi="Segoe UI" w:cs="Segoe UI"/>
          <w:color w:val="1E1E1E"/>
        </w:rPr>
        <w:t>Simply put, error conditions control when rules trigger. With the right error conditions, your rules will only run when they need to.</w:t>
      </w:r>
    </w:p>
    <w:p w14:paraId="2537985F" w14:textId="77777777" w:rsidR="0099125F" w:rsidRDefault="0099125F" w:rsidP="0099125F">
      <w:pPr>
        <w:pStyle w:val="NormalWeb"/>
        <w:shd w:val="clear" w:color="auto" w:fill="F5F5F5"/>
        <w:rPr>
          <w:rFonts w:ascii="Segoe UI" w:hAnsi="Segoe UI" w:cs="Segoe UI"/>
          <w:color w:val="1E1E1E"/>
        </w:rPr>
      </w:pPr>
      <w:r>
        <w:rPr>
          <w:rStyle w:val="Strong"/>
          <w:rFonts w:ascii="Segoe UI" w:hAnsi="Segoe UI" w:cs="Segoe UI"/>
          <w:color w:val="1E1E1E"/>
        </w:rPr>
        <w:t>Action</w:t>
      </w:r>
    </w:p>
    <w:p w14:paraId="60DD36AC" w14:textId="77777777" w:rsidR="0099125F" w:rsidRDefault="0099125F" w:rsidP="0099125F">
      <w:pPr>
        <w:pStyle w:val="NormalWeb"/>
        <w:shd w:val="clear" w:color="auto" w:fill="F5F5F5"/>
        <w:rPr>
          <w:rFonts w:ascii="Segoe UI" w:hAnsi="Segoe UI" w:cs="Segoe UI"/>
          <w:color w:val="1E1E1E"/>
        </w:rPr>
      </w:pPr>
      <w:r>
        <w:rPr>
          <w:rFonts w:ascii="Segoe UI" w:hAnsi="Segoe UI" w:cs="Segoe UI"/>
          <w:color w:val="1E1E1E"/>
        </w:rPr>
        <w:t xml:space="preserve">Actions are records that hold the instructions for how CPQ should make changes to the way a bundle is configured. They’re mostly used for selection </w:t>
      </w:r>
      <w:proofErr w:type="gramStart"/>
      <w:r>
        <w:rPr>
          <w:rFonts w:ascii="Segoe UI" w:hAnsi="Segoe UI" w:cs="Segoe UI"/>
          <w:color w:val="1E1E1E"/>
        </w:rPr>
        <w:t>rules, but</w:t>
      </w:r>
      <w:proofErr w:type="gramEnd"/>
      <w:r>
        <w:rPr>
          <w:rFonts w:ascii="Segoe UI" w:hAnsi="Segoe UI" w:cs="Segoe UI"/>
          <w:color w:val="1E1E1E"/>
        </w:rPr>
        <w:t xml:space="preserve"> have a small role in filter rules too.</w:t>
      </w:r>
    </w:p>
    <w:p w14:paraId="21874D3C" w14:textId="77777777" w:rsidR="0099125F" w:rsidRDefault="0099125F" w:rsidP="0099125F">
      <w:pPr>
        <w:pStyle w:val="NormalWeb"/>
        <w:shd w:val="clear" w:color="auto" w:fill="F5F5F5"/>
        <w:rPr>
          <w:rFonts w:ascii="Segoe UI" w:hAnsi="Segoe UI" w:cs="Segoe UI"/>
          <w:color w:val="1E1E1E"/>
        </w:rPr>
      </w:pPr>
      <w:r>
        <w:rPr>
          <w:rStyle w:val="Strong"/>
          <w:rFonts w:ascii="Segoe UI" w:hAnsi="Segoe UI" w:cs="Segoe UI"/>
          <w:color w:val="1E1E1E"/>
        </w:rPr>
        <w:t>Lookup Query</w:t>
      </w:r>
    </w:p>
    <w:p w14:paraId="5EAACE16" w14:textId="77777777" w:rsidR="0099125F" w:rsidRDefault="0099125F" w:rsidP="0099125F">
      <w:pPr>
        <w:pStyle w:val="NormalWeb"/>
        <w:shd w:val="clear" w:color="auto" w:fill="F5F5F5"/>
        <w:rPr>
          <w:rFonts w:ascii="Segoe UI" w:hAnsi="Segoe UI" w:cs="Segoe UI"/>
          <w:color w:val="1E1E1E"/>
        </w:rPr>
      </w:pPr>
      <w:r>
        <w:rPr>
          <w:rFonts w:ascii="Segoe UI" w:hAnsi="Segoe UI" w:cs="Segoe UI"/>
          <w:color w:val="1E1E1E"/>
        </w:rPr>
        <w:lastRenderedPageBreak/>
        <w:t>Sometimes businesses have many product rules that differ by only a little bit. In that scenario you can create one rule that looks to a data set to drive behavior. Lookup queries tie a product rule to the object that houses the data set.</w:t>
      </w:r>
    </w:p>
    <w:p w14:paraId="59B11348" w14:textId="77777777" w:rsidR="0099125F" w:rsidRDefault="0099125F" w:rsidP="0099125F">
      <w:pPr>
        <w:pStyle w:val="NormalWeb"/>
        <w:shd w:val="clear" w:color="auto" w:fill="F5F5F5"/>
        <w:rPr>
          <w:rFonts w:ascii="Segoe UI" w:hAnsi="Segoe UI" w:cs="Segoe UI"/>
          <w:color w:val="1E1E1E"/>
        </w:rPr>
      </w:pPr>
      <w:r>
        <w:rPr>
          <w:rStyle w:val="Strong"/>
          <w:rFonts w:ascii="Segoe UI" w:hAnsi="Segoe UI" w:cs="Segoe UI"/>
          <w:color w:val="1E1E1E"/>
        </w:rPr>
        <w:t>Configuration Rule</w:t>
      </w:r>
    </w:p>
    <w:p w14:paraId="793DA392" w14:textId="77777777" w:rsidR="0099125F" w:rsidRDefault="0099125F" w:rsidP="0099125F">
      <w:pPr>
        <w:pStyle w:val="NormalWeb"/>
        <w:shd w:val="clear" w:color="auto" w:fill="F5F5F5"/>
        <w:rPr>
          <w:rFonts w:ascii="Segoe UI" w:hAnsi="Segoe UI" w:cs="Segoe UI"/>
          <w:color w:val="1E1E1E"/>
        </w:rPr>
      </w:pPr>
      <w:r>
        <w:rPr>
          <w:rFonts w:ascii="Segoe UI" w:hAnsi="Segoe UI" w:cs="Segoe UI"/>
          <w:color w:val="1E1E1E"/>
        </w:rPr>
        <w:t>You create a configuration rule to tell CPQ that a product rule applies to a specific configurable bundle. If you need the rule to apply to more than one bundle, you just create more configuration rule records.</w:t>
      </w:r>
    </w:p>
    <w:p w14:paraId="4CB8FFE4" w14:textId="77777777" w:rsidR="0099125F" w:rsidRDefault="0099125F" w:rsidP="0099125F">
      <w:pPr>
        <w:pStyle w:val="Heading2"/>
        <w:shd w:val="clear" w:color="auto" w:fill="F5F5F5"/>
        <w:rPr>
          <w:rFonts w:ascii="Segoe UI" w:hAnsi="Segoe UI" w:cs="Segoe UI"/>
          <w:color w:val="333333"/>
        </w:rPr>
      </w:pPr>
      <w:r>
        <w:rPr>
          <w:rFonts w:ascii="Segoe UI" w:hAnsi="Segoe UI" w:cs="Segoe UI"/>
          <w:color w:val="333333"/>
        </w:rPr>
        <w:t>Other Contributors</w:t>
      </w:r>
    </w:p>
    <w:p w14:paraId="703D9E60" w14:textId="77777777" w:rsidR="0099125F" w:rsidRDefault="0099125F" w:rsidP="0099125F">
      <w:pPr>
        <w:pStyle w:val="NormalWeb"/>
        <w:shd w:val="clear" w:color="auto" w:fill="F5F5F5"/>
        <w:rPr>
          <w:rFonts w:ascii="Segoe UI" w:hAnsi="Segoe UI" w:cs="Segoe UI"/>
          <w:color w:val="1E1E1E"/>
        </w:rPr>
      </w:pPr>
      <w:r>
        <w:rPr>
          <w:rFonts w:ascii="Segoe UI" w:hAnsi="Segoe UI" w:cs="Segoe UI"/>
          <w:color w:val="1E1E1E"/>
        </w:rPr>
        <w:t>In addition to the four main objects related to product rules, there are a few other objects that often contribute to how product rules behave.</w:t>
      </w:r>
    </w:p>
    <w:p w14:paraId="06F1ACD5" w14:textId="409DF7B0" w:rsidR="0099125F" w:rsidRDefault="0099125F" w:rsidP="0099125F">
      <w:pPr>
        <w:pStyle w:val="NormalWeb"/>
        <w:shd w:val="clear" w:color="auto" w:fill="F5F5F5"/>
        <w:rPr>
          <w:rFonts w:ascii="Segoe UI" w:hAnsi="Segoe UI" w:cs="Segoe UI"/>
          <w:color w:val="1E1E1E"/>
        </w:rPr>
      </w:pPr>
      <w:r>
        <w:rPr>
          <w:rFonts w:ascii="Segoe UI" w:hAnsi="Segoe UI" w:cs="Segoe UI"/>
          <w:noProof/>
          <w:color w:val="1E1E1E"/>
        </w:rPr>
        <w:drawing>
          <wp:inline distT="0" distB="0" distL="0" distR="0" wp14:anchorId="7A66D83C" wp14:editId="4FBDD4EA">
            <wp:extent cx="5943600" cy="2400300"/>
            <wp:effectExtent l="0" t="0" r="0" b="0"/>
            <wp:docPr id="2" name="Picture 2" descr="Diagram of Product Rule object relationships including Summary Variables and Configuration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of Product Rule object relationships including Summary Variables and Configuration Attribut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400300"/>
                    </a:xfrm>
                    <a:prstGeom prst="rect">
                      <a:avLst/>
                    </a:prstGeom>
                    <a:noFill/>
                    <a:ln>
                      <a:noFill/>
                    </a:ln>
                  </pic:spPr>
                </pic:pic>
              </a:graphicData>
            </a:graphic>
          </wp:inline>
        </w:drawing>
      </w:r>
    </w:p>
    <w:p w14:paraId="008026D9" w14:textId="77777777" w:rsidR="0099125F" w:rsidRDefault="0099125F" w:rsidP="0099125F">
      <w:pPr>
        <w:pStyle w:val="NormalWeb"/>
        <w:shd w:val="clear" w:color="auto" w:fill="F5F5F5"/>
        <w:rPr>
          <w:rFonts w:ascii="Segoe UI" w:hAnsi="Segoe UI" w:cs="Segoe UI"/>
          <w:color w:val="1E1E1E"/>
        </w:rPr>
      </w:pPr>
      <w:r>
        <w:rPr>
          <w:rStyle w:val="Strong"/>
          <w:rFonts w:ascii="Segoe UI" w:hAnsi="Segoe UI" w:cs="Segoe UI"/>
          <w:color w:val="1E1E1E"/>
        </w:rPr>
        <w:t>Configuration Attributes</w:t>
      </w:r>
    </w:p>
    <w:p w14:paraId="4F5F008A" w14:textId="77777777" w:rsidR="0099125F" w:rsidRDefault="0099125F" w:rsidP="0099125F">
      <w:pPr>
        <w:pStyle w:val="NormalWeb"/>
        <w:shd w:val="clear" w:color="auto" w:fill="F5F5F5"/>
        <w:rPr>
          <w:rFonts w:ascii="Segoe UI" w:hAnsi="Segoe UI" w:cs="Segoe UI"/>
          <w:color w:val="1E1E1E"/>
        </w:rPr>
      </w:pPr>
      <w:r>
        <w:rPr>
          <w:rFonts w:ascii="Segoe UI" w:hAnsi="Segoe UI" w:cs="Segoe UI"/>
          <w:color w:val="1E1E1E"/>
        </w:rPr>
        <w:t>Configuration attributes take the form of a field that sales reps can set during product configuration.</w:t>
      </w:r>
    </w:p>
    <w:p w14:paraId="0AA48055" w14:textId="27D71E93" w:rsidR="0099125F" w:rsidRDefault="0099125F" w:rsidP="0099125F">
      <w:pPr>
        <w:pStyle w:val="NormalWeb"/>
        <w:shd w:val="clear" w:color="auto" w:fill="F5F5F5"/>
        <w:rPr>
          <w:rFonts w:ascii="Segoe UI" w:hAnsi="Segoe UI" w:cs="Segoe UI"/>
          <w:color w:val="1E1E1E"/>
        </w:rPr>
      </w:pPr>
      <w:r>
        <w:rPr>
          <w:rFonts w:ascii="Segoe UI" w:hAnsi="Segoe UI" w:cs="Segoe UI"/>
          <w:noProof/>
          <w:color w:val="1E1E1E"/>
        </w:rPr>
        <w:lastRenderedPageBreak/>
        <w:drawing>
          <wp:inline distT="0" distB="0" distL="0" distR="0" wp14:anchorId="56826417" wp14:editId="0CC2CA4A">
            <wp:extent cx="3746500" cy="2381250"/>
            <wp:effectExtent l="0" t="0" r="6350" b="0"/>
            <wp:docPr id="1" name="Picture 1" descr="Configuration attributes on the Product Configuratio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figuration attributes on the Product Configuration p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46500" cy="2381250"/>
                    </a:xfrm>
                    <a:prstGeom prst="rect">
                      <a:avLst/>
                    </a:prstGeom>
                    <a:noFill/>
                    <a:ln>
                      <a:noFill/>
                    </a:ln>
                  </pic:spPr>
                </pic:pic>
              </a:graphicData>
            </a:graphic>
          </wp:inline>
        </w:drawing>
      </w:r>
    </w:p>
    <w:p w14:paraId="63DC05C8" w14:textId="77777777" w:rsidR="0099125F" w:rsidRDefault="0099125F" w:rsidP="0099125F">
      <w:pPr>
        <w:pStyle w:val="NormalWeb"/>
        <w:shd w:val="clear" w:color="auto" w:fill="F5F5F5"/>
        <w:rPr>
          <w:rFonts w:ascii="Segoe UI" w:hAnsi="Segoe UI" w:cs="Segoe UI"/>
          <w:color w:val="1E1E1E"/>
        </w:rPr>
      </w:pPr>
      <w:r>
        <w:rPr>
          <w:rFonts w:ascii="Segoe UI" w:hAnsi="Segoe UI" w:cs="Segoe UI"/>
          <w:color w:val="1E1E1E"/>
        </w:rPr>
        <w:t>Although configuration attributes are not directly related to product rules, they’re often used as part of error conditions, and sometimes as part of lookup queries.</w:t>
      </w:r>
    </w:p>
    <w:p w14:paraId="0AD6BFBF" w14:textId="77777777" w:rsidR="0099125F" w:rsidRDefault="0099125F" w:rsidP="0099125F">
      <w:pPr>
        <w:pStyle w:val="NormalWeb"/>
        <w:shd w:val="clear" w:color="auto" w:fill="F5F5F5"/>
        <w:rPr>
          <w:rFonts w:ascii="Segoe UI" w:hAnsi="Segoe UI" w:cs="Segoe UI"/>
          <w:color w:val="1E1E1E"/>
        </w:rPr>
      </w:pPr>
      <w:r>
        <w:rPr>
          <w:rStyle w:val="Strong"/>
          <w:rFonts w:ascii="Segoe UI" w:hAnsi="Segoe UI" w:cs="Segoe UI"/>
          <w:color w:val="1E1E1E"/>
        </w:rPr>
        <w:t>Summary Variable</w:t>
      </w:r>
    </w:p>
    <w:p w14:paraId="6B86C00D" w14:textId="77777777" w:rsidR="0099125F" w:rsidRDefault="0099125F" w:rsidP="0099125F">
      <w:pPr>
        <w:pStyle w:val="NormalWeb"/>
        <w:shd w:val="clear" w:color="auto" w:fill="F5F5F5"/>
        <w:rPr>
          <w:rFonts w:ascii="Segoe UI" w:hAnsi="Segoe UI" w:cs="Segoe UI"/>
          <w:color w:val="1E1E1E"/>
        </w:rPr>
      </w:pPr>
      <w:r>
        <w:rPr>
          <w:rFonts w:ascii="Segoe UI" w:hAnsi="Segoe UI" w:cs="Segoe UI"/>
          <w:color w:val="1E1E1E"/>
        </w:rPr>
        <w:t>A summary variable is another CPQ-specific tool sometimes seen in product rules, and it does one simple task: add up values across many CPQ-related records. It’s a little like a rollup summary field, but with some advantages specific to CPQ. Summary variables are often used in error conditions, and sometimes actions.</w:t>
      </w:r>
    </w:p>
    <w:p w14:paraId="2B829F5F" w14:textId="77777777" w:rsidR="0099125F" w:rsidRDefault="0099125F" w:rsidP="0099125F">
      <w:pPr>
        <w:pStyle w:val="NormalWeb"/>
        <w:shd w:val="clear" w:color="auto" w:fill="F5F5F5"/>
        <w:rPr>
          <w:rFonts w:ascii="Segoe UI" w:hAnsi="Segoe UI" w:cs="Segoe UI"/>
          <w:color w:val="1E1E1E"/>
        </w:rPr>
      </w:pPr>
      <w:r>
        <w:rPr>
          <w:rFonts w:ascii="Segoe UI" w:hAnsi="Segoe UI" w:cs="Segoe UI"/>
          <w:color w:val="1E1E1E"/>
        </w:rPr>
        <w:t>So those are the objects that can possibly contribute to a product rule. Some rules use only a few objects, and others use all of them. By the time you’re done with this module, you’ll have created rules that use all parts.</w:t>
      </w:r>
    </w:p>
    <w:p w14:paraId="18C39CFF" w14:textId="2DC40B60" w:rsidR="0099125F" w:rsidRDefault="0099125F"/>
    <w:p w14:paraId="785F99AF" w14:textId="77777777" w:rsidR="00973ECB" w:rsidRDefault="00973ECB" w:rsidP="00973ECB">
      <w:pPr>
        <w:pStyle w:val="Heading2"/>
        <w:shd w:val="clear" w:color="auto" w:fill="F5F5F5"/>
        <w:rPr>
          <w:rFonts w:ascii="Segoe UI" w:hAnsi="Segoe UI" w:cs="Segoe UI"/>
          <w:color w:val="333333"/>
        </w:rPr>
      </w:pPr>
      <w:r>
        <w:rPr>
          <w:rFonts w:ascii="Segoe UI" w:hAnsi="Segoe UI" w:cs="Segoe UI"/>
          <w:color w:val="333333"/>
        </w:rPr>
        <w:t>Under the Right Conditions</w:t>
      </w:r>
    </w:p>
    <w:p w14:paraId="54F522C3" w14:textId="4995F599" w:rsidR="00973ECB" w:rsidRDefault="00973ECB">
      <w:pPr>
        <w:rPr>
          <w:rFonts w:ascii="Segoe UI" w:hAnsi="Segoe UI" w:cs="Segoe UI"/>
          <w:color w:val="1E1E1E"/>
          <w:shd w:val="clear" w:color="auto" w:fill="F5F5F5"/>
        </w:rPr>
      </w:pPr>
      <w:r>
        <w:rPr>
          <w:rFonts w:ascii="Segoe UI" w:hAnsi="Segoe UI" w:cs="Segoe UI"/>
          <w:color w:val="1E1E1E"/>
          <w:shd w:val="clear" w:color="auto" w:fill="F5F5F5"/>
        </w:rPr>
        <w:t>An error condition is basically a test, the pass/fail kind of test. It looks at some data (like a quote line’s product code) and compares it to other data (like the string “CLOUDSTORAGE”). In this example, it checks if they’re equal. If so, the test passes and the rule is one step closer to running.</w:t>
      </w:r>
    </w:p>
    <w:p w14:paraId="18FBD443" w14:textId="77777777" w:rsidR="00973ECB" w:rsidRDefault="00973ECB"/>
    <w:sectPr w:rsidR="00973E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B15"/>
    <w:rsid w:val="00360308"/>
    <w:rsid w:val="00381B15"/>
    <w:rsid w:val="00866B43"/>
    <w:rsid w:val="00973ECB"/>
    <w:rsid w:val="0099125F"/>
    <w:rsid w:val="00C94E4A"/>
    <w:rsid w:val="00E25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DD325"/>
  <w15:chartTrackingRefBased/>
  <w15:docId w15:val="{2749394F-1572-4FC0-A692-5AED7A2B0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912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125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912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125F"/>
    <w:rPr>
      <w:b/>
      <w:bCs/>
    </w:rPr>
  </w:style>
  <w:style w:type="character" w:styleId="Emphasis">
    <w:name w:val="Emphasis"/>
    <w:basedOn w:val="DefaultParagraphFont"/>
    <w:uiPriority w:val="20"/>
    <w:qFormat/>
    <w:rsid w:val="009912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8891321">
      <w:bodyDiv w:val="1"/>
      <w:marLeft w:val="0"/>
      <w:marRight w:val="0"/>
      <w:marTop w:val="0"/>
      <w:marBottom w:val="0"/>
      <w:divBdr>
        <w:top w:val="none" w:sz="0" w:space="0" w:color="auto"/>
        <w:left w:val="none" w:sz="0" w:space="0" w:color="auto"/>
        <w:bottom w:val="none" w:sz="0" w:space="0" w:color="auto"/>
        <w:right w:val="none" w:sz="0" w:space="0" w:color="auto"/>
      </w:divBdr>
    </w:div>
    <w:div w:id="1005330242">
      <w:bodyDiv w:val="1"/>
      <w:marLeft w:val="0"/>
      <w:marRight w:val="0"/>
      <w:marTop w:val="0"/>
      <w:marBottom w:val="0"/>
      <w:divBdr>
        <w:top w:val="none" w:sz="0" w:space="0" w:color="auto"/>
        <w:left w:val="none" w:sz="0" w:space="0" w:color="auto"/>
        <w:bottom w:val="none" w:sz="0" w:space="0" w:color="auto"/>
        <w:right w:val="none" w:sz="0" w:space="0" w:color="auto"/>
      </w:divBdr>
    </w:div>
    <w:div w:id="124171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4</Pages>
  <Words>761</Words>
  <Characters>4343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Pramod A.</dc:creator>
  <cp:keywords/>
  <dc:description/>
  <cp:lastModifiedBy>Jana, Pramod A.</cp:lastModifiedBy>
  <cp:revision>4</cp:revision>
  <dcterms:created xsi:type="dcterms:W3CDTF">2021-02-12T03:56:00Z</dcterms:created>
  <dcterms:modified xsi:type="dcterms:W3CDTF">2021-02-12T05:09:00Z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c0f418-96a4-4caf-9d7c-ccc5ec7f9d91_Enabled">
    <vt:lpwstr>true</vt:lpwstr>
  </property>
  <property fmtid="{D5CDD505-2E9C-101B-9397-08002B2CF9AE}" pid="3" name="MSIP_Label_1bc0f418-96a4-4caf-9d7c-ccc5ec7f9d91_SetDate">
    <vt:lpwstr>2021-02-12T04:03:16Z</vt:lpwstr>
  </property>
  <property fmtid="{D5CDD505-2E9C-101B-9397-08002B2CF9AE}" pid="4" name="MSIP_Label_1bc0f418-96a4-4caf-9d7c-ccc5ec7f9d91_Method">
    <vt:lpwstr>Privileged</vt:lpwstr>
  </property>
  <property fmtid="{D5CDD505-2E9C-101B-9397-08002B2CF9AE}" pid="5" name="MSIP_Label_1bc0f418-96a4-4caf-9d7c-ccc5ec7f9d91_Name">
    <vt:lpwstr>1bc0f418-96a4-4caf-9d7c-ccc5ec7f9d91</vt:lpwstr>
  </property>
  <property fmtid="{D5CDD505-2E9C-101B-9397-08002B2CF9AE}" pid="6" name="MSIP_Label_1bc0f418-96a4-4caf-9d7c-ccc5ec7f9d91_SiteId">
    <vt:lpwstr>e0793d39-0939-496d-b129-198edd916feb</vt:lpwstr>
  </property>
  <property fmtid="{D5CDD505-2E9C-101B-9397-08002B2CF9AE}" pid="7" name="MSIP_Label_1bc0f418-96a4-4caf-9d7c-ccc5ec7f9d91_ActionId">
    <vt:lpwstr>a72407bd-bfa8-48a5-affb-4e8f87030d85</vt:lpwstr>
  </property>
  <property fmtid="{D5CDD505-2E9C-101B-9397-08002B2CF9AE}" pid="8" name="MSIP_Label_1bc0f418-96a4-4caf-9d7c-ccc5ec7f9d91_ContentBits">
    <vt:lpwstr>0</vt:lpwstr>
  </property>
</Properties>
</file>